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713519">
      <w:pPr>
        <w:rPr>
          <w:rFonts w:hint="eastAsia" w:ascii="仿宋_GB2312" w:hAnsi="仿宋_GB2312" w:eastAsia="仿宋_GB2312" w:cs="仿宋_GB2312"/>
          <w:color w:val="auto"/>
          <w:sz w:val="36"/>
          <w:szCs w:val="36"/>
        </w:rPr>
      </w:pPr>
    </w:p>
    <w:p w14:paraId="320586D3">
      <w:pPr>
        <w:rPr>
          <w:rFonts w:hint="eastAsia" w:ascii="仿宋_GB2312" w:hAnsi="仿宋_GB2312" w:eastAsia="仿宋_GB2312" w:cs="仿宋_GB2312"/>
          <w:color w:val="auto"/>
          <w:sz w:val="36"/>
          <w:szCs w:val="36"/>
        </w:rPr>
      </w:pPr>
    </w:p>
    <w:p w14:paraId="5F20D489">
      <w:pPr>
        <w:adjustRightInd w:val="0"/>
        <w:snapToGrid w:val="0"/>
        <w:jc w:val="center"/>
        <w:outlineLvl w:val="0"/>
        <w:rPr>
          <w:rFonts w:hint="eastAsia" w:ascii="方正小标宋_GBK" w:eastAsia="方正小标宋_GBK"/>
          <w:bCs/>
          <w:color w:val="auto"/>
          <w:sz w:val="72"/>
          <w:szCs w:val="72"/>
        </w:rPr>
      </w:pPr>
      <w:r>
        <w:rPr>
          <w:rFonts w:hint="eastAsia" w:ascii="方正小标宋_GBK" w:eastAsia="方正小标宋_GBK"/>
          <w:bCs/>
          <w:color w:val="auto"/>
          <w:sz w:val="72"/>
          <w:szCs w:val="72"/>
        </w:rPr>
        <w:t>建设项目环境影响报告表</w:t>
      </w:r>
    </w:p>
    <w:p w14:paraId="3957319F">
      <w:pPr>
        <w:adjustRightInd w:val="0"/>
        <w:snapToGrid w:val="0"/>
        <w:spacing w:before="192" w:beforeLines="80"/>
        <w:jc w:val="center"/>
        <w:rPr>
          <w:rFonts w:hint="eastAsia" w:ascii="楷体_GB2312" w:eastAsia="楷体_GB2312"/>
          <w:bCs/>
          <w:color w:val="auto"/>
          <w:sz w:val="48"/>
          <w:szCs w:val="48"/>
        </w:rPr>
      </w:pPr>
      <w:r>
        <w:rPr>
          <w:rFonts w:hint="eastAsia" w:ascii="楷体_GB2312" w:eastAsia="楷体_GB2312"/>
          <w:bCs/>
          <w:color w:val="auto"/>
          <w:sz w:val="48"/>
          <w:szCs w:val="48"/>
        </w:rPr>
        <w:t>（污染影响类）</w:t>
      </w:r>
    </w:p>
    <w:p w14:paraId="3AE99B78">
      <w:pPr>
        <w:adjustRightInd w:val="0"/>
        <w:snapToGrid w:val="0"/>
        <w:spacing w:line="288" w:lineRule="auto"/>
        <w:jc w:val="center"/>
        <w:outlineLvl w:val="0"/>
        <w:rPr>
          <w:rFonts w:ascii="华文仿宋" w:hAnsi="华文仿宋" w:eastAsia="华文仿宋" w:cs="华文仿宋"/>
          <w:color w:val="auto"/>
          <w:kern w:val="44"/>
          <w:sz w:val="44"/>
          <w:szCs w:val="44"/>
        </w:rPr>
      </w:pPr>
    </w:p>
    <w:p w14:paraId="6849DFA1">
      <w:pPr>
        <w:jc w:val="center"/>
        <w:rPr>
          <w:rFonts w:eastAsia="仿宋"/>
          <w:color w:val="auto"/>
          <w:sz w:val="52"/>
          <w:szCs w:val="52"/>
        </w:rPr>
      </w:pPr>
    </w:p>
    <w:p w14:paraId="18FDC0B8">
      <w:pPr>
        <w:ind w:firstLine="1040"/>
        <w:rPr>
          <w:rFonts w:eastAsia="仿宋"/>
          <w:color w:val="auto"/>
          <w:sz w:val="44"/>
          <w:szCs w:val="44"/>
        </w:rPr>
      </w:pPr>
    </w:p>
    <w:p w14:paraId="3E5D6AFE">
      <w:pPr>
        <w:ind w:firstLine="1040"/>
        <w:rPr>
          <w:rFonts w:eastAsia="仿宋"/>
          <w:color w:val="auto"/>
          <w:sz w:val="44"/>
          <w:szCs w:val="44"/>
        </w:rPr>
      </w:pPr>
    </w:p>
    <w:p w14:paraId="45953442">
      <w:pPr>
        <w:ind w:firstLine="1040"/>
        <w:rPr>
          <w:rFonts w:eastAsia="仿宋"/>
          <w:color w:val="auto"/>
          <w:sz w:val="44"/>
          <w:szCs w:val="44"/>
        </w:rPr>
      </w:pPr>
    </w:p>
    <w:p w14:paraId="1109FA6E">
      <w:pPr>
        <w:ind w:firstLine="1040"/>
        <w:rPr>
          <w:rFonts w:eastAsia="仿宋"/>
          <w:color w:val="auto"/>
          <w:sz w:val="44"/>
          <w:szCs w:val="44"/>
        </w:rPr>
      </w:pPr>
    </w:p>
    <w:tbl>
      <w:tblPr>
        <w:tblStyle w:val="21"/>
        <w:tblW w:w="0" w:type="auto"/>
        <w:jc w:val="center"/>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3016"/>
        <w:gridCol w:w="5506"/>
      </w:tblGrid>
      <w:tr w14:paraId="6FA33E6C">
        <w:trPr>
          <w:jc w:val="center"/>
        </w:trPr>
        <w:tc>
          <w:tcPr>
            <w:tcW w:w="3016" w:type="dxa"/>
            <w:tcBorders>
              <w:bottom w:val="nil"/>
            </w:tcBorders>
            <w:noWrap w:val="0"/>
            <w:vAlign w:val="top"/>
          </w:tcPr>
          <w:p w14:paraId="244D3CE2">
            <w:pPr>
              <w:rPr>
                <w:rFonts w:hint="eastAsia" w:eastAsia="宋体"/>
                <w:color w:val="auto"/>
                <w:vertAlign w:val="baseline"/>
                <w:lang w:eastAsia="zh-CN"/>
              </w:rPr>
            </w:pPr>
            <w:r>
              <w:rPr>
                <w:rFonts w:hint="eastAsia" w:ascii="仿宋_GB2312" w:eastAsia="仿宋_GB2312"/>
                <w:color w:val="auto"/>
                <w:sz w:val="36"/>
                <w:szCs w:val="36"/>
              </w:rPr>
              <w:t>项目名称：</w:t>
            </w:r>
          </w:p>
        </w:tc>
        <w:tc>
          <w:tcPr>
            <w:tcW w:w="5506" w:type="dxa"/>
            <w:tcBorders>
              <w:tl2br w:val="nil"/>
              <w:tr2bl w:val="nil"/>
            </w:tcBorders>
            <w:noWrap w:val="0"/>
            <w:vAlign w:val="bottom"/>
          </w:tcPr>
          <w:p w14:paraId="2A728744">
            <w:pPr>
              <w:jc w:val="center"/>
              <w:rPr>
                <w:rFonts w:hint="default" w:ascii="Times New Roman" w:hAnsi="Times New Roman" w:eastAsia="宋体"/>
                <w:color w:val="auto"/>
                <w:sz w:val="30"/>
                <w:szCs w:val="30"/>
                <w:vertAlign w:val="baseline"/>
                <w:lang w:val="en-US"/>
              </w:rPr>
            </w:pPr>
            <w:r>
              <w:rPr>
                <w:rFonts w:hint="eastAsia" w:ascii="Times New Roman" w:hAnsi="Times New Roman" w:eastAsia="宋体"/>
                <w:color w:val="auto"/>
                <w:sz w:val="30"/>
                <w:szCs w:val="30"/>
                <w:u w:val="none"/>
                <w:lang w:val="en-US" w:eastAsia="zh-CN"/>
              </w:rPr>
              <w:t>淮安挑战者饮料有限公司饮料生产项目</w:t>
            </w:r>
          </w:p>
        </w:tc>
      </w:tr>
      <w:tr w14:paraId="178812E0">
        <w:trPr>
          <w:jc w:val="center"/>
        </w:trPr>
        <w:tc>
          <w:tcPr>
            <w:tcW w:w="3016" w:type="dxa"/>
            <w:tcBorders>
              <w:top w:val="nil"/>
              <w:bottom w:val="nil"/>
            </w:tcBorders>
            <w:noWrap w:val="0"/>
            <w:vAlign w:val="top"/>
          </w:tcPr>
          <w:p w14:paraId="66FEA057">
            <w:pPr>
              <w:rPr>
                <w:rFonts w:hint="default" w:ascii="Times New Roman" w:hAnsi="Times New Roman" w:eastAsia="宋体" w:cs="Times New Roman"/>
                <w:color w:val="auto"/>
                <w:sz w:val="36"/>
                <w:szCs w:val="36"/>
              </w:rPr>
            </w:pPr>
          </w:p>
        </w:tc>
        <w:tc>
          <w:tcPr>
            <w:tcW w:w="5506" w:type="dxa"/>
            <w:tcBorders>
              <w:tl2br w:val="nil"/>
              <w:tr2bl w:val="nil"/>
            </w:tcBorders>
            <w:noWrap w:val="0"/>
            <w:vAlign w:val="bottom"/>
          </w:tcPr>
          <w:p w14:paraId="5B50C626">
            <w:pPr>
              <w:jc w:val="center"/>
              <w:rPr>
                <w:rFonts w:hint="eastAsia" w:ascii="Times New Roman" w:hAnsi="Times New Roman" w:eastAsia="宋体" w:cs="Times New Roman"/>
                <w:color w:val="auto"/>
                <w:sz w:val="30"/>
                <w:szCs w:val="30"/>
                <w:u w:val="none"/>
                <w:lang w:eastAsia="zh-CN"/>
              </w:rPr>
            </w:pPr>
            <w:r>
              <w:rPr>
                <w:rFonts w:hint="eastAsia" w:ascii="Times New Roman" w:hAnsi="Times New Roman" w:eastAsia="宋体"/>
                <w:color w:val="auto"/>
                <w:sz w:val="30"/>
                <w:szCs w:val="30"/>
                <w:u w:val="none"/>
                <w:lang w:val="en-US" w:eastAsia="zh-CN"/>
              </w:rPr>
              <w:t>（不含碳酸饮料和酒）</w:t>
            </w:r>
          </w:p>
        </w:tc>
      </w:tr>
      <w:tr w14:paraId="6BC323F8">
        <w:trPr>
          <w:jc w:val="center"/>
        </w:trPr>
        <w:tc>
          <w:tcPr>
            <w:tcW w:w="3016" w:type="dxa"/>
            <w:tcBorders>
              <w:top w:val="nil"/>
              <w:bottom w:val="nil"/>
            </w:tcBorders>
            <w:noWrap w:val="0"/>
            <w:vAlign w:val="top"/>
          </w:tcPr>
          <w:p w14:paraId="3AB83F28">
            <w:pPr>
              <w:rPr>
                <w:rFonts w:hint="eastAsia" w:eastAsia="宋体"/>
                <w:color w:val="auto"/>
                <w:vertAlign w:val="baseline"/>
                <w:lang w:eastAsia="zh-CN"/>
              </w:rPr>
            </w:pPr>
            <w:r>
              <w:rPr>
                <w:rFonts w:hint="eastAsia" w:ascii="仿宋_GB2312" w:eastAsia="仿宋_GB2312"/>
                <w:color w:val="auto"/>
                <w:sz w:val="36"/>
                <w:szCs w:val="36"/>
              </w:rPr>
              <w:t>建设单位（盖章）：</w:t>
            </w:r>
          </w:p>
        </w:tc>
        <w:tc>
          <w:tcPr>
            <w:tcW w:w="5506" w:type="dxa"/>
            <w:tcBorders>
              <w:tl2br w:val="nil"/>
              <w:tr2bl w:val="nil"/>
            </w:tcBorders>
            <w:noWrap w:val="0"/>
            <w:vAlign w:val="bottom"/>
          </w:tcPr>
          <w:p w14:paraId="385AC83B">
            <w:pPr>
              <w:jc w:val="center"/>
              <w:rPr>
                <w:rFonts w:ascii="Times New Roman" w:hAnsi="Times New Roman" w:eastAsia="宋体"/>
                <w:color w:val="auto"/>
                <w:sz w:val="30"/>
                <w:szCs w:val="30"/>
                <w:u w:val="none"/>
                <w:vertAlign w:val="baseline"/>
              </w:rPr>
            </w:pPr>
            <w:r>
              <w:rPr>
                <w:rFonts w:hint="eastAsia" w:ascii="Times New Roman" w:hAnsi="Times New Roman" w:eastAsia="宋体"/>
                <w:color w:val="auto"/>
                <w:sz w:val="30"/>
                <w:szCs w:val="30"/>
                <w:u w:val="none"/>
                <w:lang w:val="en-US" w:eastAsia="zh-CN"/>
              </w:rPr>
              <w:t>淮安挑战者饮料有限公司</w:t>
            </w:r>
          </w:p>
        </w:tc>
      </w:tr>
      <w:tr w14:paraId="4BAE8BAD">
        <w:trPr>
          <w:jc w:val="center"/>
        </w:trPr>
        <w:tc>
          <w:tcPr>
            <w:tcW w:w="3016" w:type="dxa"/>
            <w:tcBorders>
              <w:top w:val="nil"/>
              <w:bottom w:val="nil"/>
            </w:tcBorders>
            <w:noWrap w:val="0"/>
            <w:vAlign w:val="top"/>
          </w:tcPr>
          <w:p w14:paraId="0672F2DB">
            <w:pPr>
              <w:rPr>
                <w:rFonts w:hint="eastAsia" w:eastAsia="宋体"/>
                <w:color w:val="auto"/>
                <w:u w:val="none"/>
                <w:vertAlign w:val="baseline"/>
                <w:lang w:eastAsia="zh-CN"/>
              </w:rPr>
            </w:pPr>
            <w:r>
              <w:rPr>
                <w:rFonts w:hint="eastAsia" w:ascii="仿宋_GB2312" w:eastAsia="仿宋_GB2312"/>
                <w:color w:val="auto"/>
                <w:sz w:val="36"/>
                <w:szCs w:val="36"/>
              </w:rPr>
              <w:t>编制日期</w:t>
            </w:r>
          </w:p>
        </w:tc>
        <w:tc>
          <w:tcPr>
            <w:tcW w:w="5506" w:type="dxa"/>
            <w:tcBorders>
              <w:tl2br w:val="nil"/>
              <w:tr2bl w:val="nil"/>
            </w:tcBorders>
            <w:noWrap w:val="0"/>
            <w:vAlign w:val="bottom"/>
          </w:tcPr>
          <w:p w14:paraId="3898F381">
            <w:pPr>
              <w:jc w:val="center"/>
              <w:rPr>
                <w:rFonts w:ascii="Times New Roman" w:hAnsi="Times New Roman" w:eastAsia="宋体"/>
                <w:color w:val="auto"/>
                <w:sz w:val="30"/>
                <w:szCs w:val="30"/>
                <w:u w:val="none"/>
                <w:vertAlign w:val="baseline"/>
              </w:rPr>
            </w:pPr>
            <w:r>
              <w:rPr>
                <w:rFonts w:hint="eastAsia" w:ascii="Times New Roman" w:hAnsi="Times New Roman" w:eastAsia="宋体"/>
                <w:color w:val="auto"/>
                <w:sz w:val="30"/>
                <w:szCs w:val="30"/>
                <w:u w:val="none"/>
              </w:rPr>
              <w:t>2</w:t>
            </w:r>
            <w:r>
              <w:rPr>
                <w:rFonts w:ascii="Times New Roman" w:hAnsi="Times New Roman" w:eastAsia="宋体"/>
                <w:color w:val="auto"/>
                <w:sz w:val="30"/>
                <w:szCs w:val="30"/>
                <w:u w:val="none"/>
              </w:rPr>
              <w:t>02</w:t>
            </w:r>
            <w:r>
              <w:rPr>
                <w:rFonts w:hint="eastAsia" w:ascii="Times New Roman" w:hAnsi="Times New Roman" w:eastAsia="宋体"/>
                <w:color w:val="auto"/>
                <w:sz w:val="30"/>
                <w:szCs w:val="30"/>
                <w:u w:val="none"/>
                <w:lang w:val="en-US" w:eastAsia="zh-CN"/>
              </w:rPr>
              <w:t>5</w:t>
            </w:r>
            <w:r>
              <w:rPr>
                <w:rFonts w:ascii="Times New Roman" w:hAnsi="Times New Roman" w:eastAsia="宋体"/>
                <w:color w:val="auto"/>
                <w:sz w:val="30"/>
                <w:szCs w:val="30"/>
                <w:u w:val="none"/>
              </w:rPr>
              <w:t>年</w:t>
            </w:r>
            <w:r>
              <w:rPr>
                <w:rFonts w:hint="eastAsia" w:ascii="Times New Roman" w:hAnsi="Times New Roman" w:eastAsia="宋体" w:cs="Times New Roman"/>
                <w:color w:val="auto"/>
                <w:sz w:val="30"/>
                <w:szCs w:val="30"/>
                <w:u w:val="none"/>
                <w:lang w:val="en-US" w:eastAsia="zh-CN"/>
              </w:rPr>
              <w:t>8</w:t>
            </w:r>
            <w:r>
              <w:rPr>
                <w:rFonts w:hint="eastAsia" w:ascii="Times New Roman" w:hAnsi="Times New Roman" w:eastAsia="宋体"/>
                <w:color w:val="auto"/>
                <w:sz w:val="30"/>
                <w:szCs w:val="30"/>
                <w:u w:val="none"/>
              </w:rPr>
              <w:t>月</w:t>
            </w:r>
          </w:p>
        </w:tc>
      </w:tr>
    </w:tbl>
    <w:p w14:paraId="76CAD422">
      <w:pPr>
        <w:adjustRightInd w:val="0"/>
        <w:snapToGrid w:val="0"/>
        <w:spacing w:line="288" w:lineRule="auto"/>
        <w:ind w:firstLine="1040"/>
        <w:rPr>
          <w:rFonts w:ascii="仿宋_GB2312" w:eastAsia="仿宋_GB2312"/>
          <w:color w:val="auto"/>
          <w:sz w:val="36"/>
          <w:szCs w:val="36"/>
        </w:rPr>
      </w:pPr>
    </w:p>
    <w:p w14:paraId="36A6FFBE">
      <w:pPr>
        <w:adjustRightInd w:val="0"/>
        <w:snapToGrid w:val="0"/>
        <w:spacing w:line="288" w:lineRule="auto"/>
        <w:ind w:firstLine="1040"/>
        <w:rPr>
          <w:rFonts w:ascii="仿宋_GB2312" w:eastAsia="仿宋_GB2312"/>
          <w:color w:val="auto"/>
          <w:sz w:val="36"/>
          <w:szCs w:val="36"/>
        </w:rPr>
      </w:pPr>
    </w:p>
    <w:p w14:paraId="7E77FDD5">
      <w:pPr>
        <w:adjustRightInd w:val="0"/>
        <w:snapToGrid w:val="0"/>
        <w:spacing w:line="288" w:lineRule="auto"/>
        <w:ind w:firstLine="1040"/>
        <w:rPr>
          <w:rFonts w:hint="eastAsia" w:ascii="仿宋_GB2312" w:eastAsia="仿宋_GB2312"/>
          <w:color w:val="auto"/>
          <w:sz w:val="36"/>
          <w:szCs w:val="36"/>
        </w:rPr>
      </w:pPr>
    </w:p>
    <w:p w14:paraId="08DA5D58">
      <w:pPr>
        <w:adjustRightInd w:val="0"/>
        <w:snapToGrid w:val="0"/>
        <w:spacing w:line="288" w:lineRule="auto"/>
        <w:ind w:firstLine="1040"/>
        <w:rPr>
          <w:rFonts w:hint="eastAsia" w:ascii="仿宋_GB2312" w:eastAsia="仿宋_GB2312"/>
          <w:color w:val="auto"/>
          <w:sz w:val="36"/>
          <w:szCs w:val="36"/>
        </w:rPr>
      </w:pPr>
    </w:p>
    <w:p w14:paraId="2B57D0A9">
      <w:pPr>
        <w:pStyle w:val="17"/>
        <w:rPr>
          <w:rFonts w:hint="eastAsia" w:ascii="仿宋_GB2312" w:eastAsia="仿宋_GB2312"/>
          <w:color w:val="auto"/>
          <w:sz w:val="36"/>
          <w:szCs w:val="36"/>
        </w:rPr>
      </w:pPr>
    </w:p>
    <w:p w14:paraId="34ED2C7F">
      <w:pPr>
        <w:pStyle w:val="16"/>
        <w:rPr>
          <w:rFonts w:hint="eastAsia" w:ascii="仿宋_GB2312" w:eastAsia="仿宋_GB2312"/>
          <w:color w:val="auto"/>
          <w:sz w:val="36"/>
          <w:szCs w:val="36"/>
        </w:rPr>
      </w:pPr>
    </w:p>
    <w:p w14:paraId="2051F2A1">
      <w:pPr>
        <w:pStyle w:val="17"/>
        <w:rPr>
          <w:rFonts w:hint="eastAsia" w:ascii="仿宋_GB2312" w:eastAsia="仿宋_GB2312"/>
          <w:color w:val="auto"/>
          <w:sz w:val="36"/>
          <w:szCs w:val="36"/>
        </w:rPr>
      </w:pPr>
    </w:p>
    <w:p w14:paraId="700565DF">
      <w:pPr>
        <w:pStyle w:val="16"/>
        <w:rPr>
          <w:rFonts w:hint="eastAsia"/>
          <w:color w:val="auto"/>
        </w:rPr>
      </w:pPr>
    </w:p>
    <w:p w14:paraId="7101CAB0">
      <w:pPr>
        <w:adjustRightInd w:val="0"/>
        <w:snapToGrid w:val="0"/>
        <w:spacing w:line="288" w:lineRule="auto"/>
        <w:jc w:val="center"/>
        <w:rPr>
          <w:rFonts w:hint="eastAsia" w:ascii="楷体_GB2312" w:eastAsia="楷体_GB2312"/>
          <w:color w:val="auto"/>
          <w:sz w:val="36"/>
          <w:szCs w:val="36"/>
        </w:rPr>
      </w:pPr>
      <w:r>
        <w:rPr>
          <w:rFonts w:hint="eastAsia" w:ascii="楷体_GB2312" w:eastAsia="楷体_GB2312"/>
          <w:color w:val="auto"/>
          <w:sz w:val="36"/>
          <w:szCs w:val="36"/>
        </w:rPr>
        <w:t>中华人民共和国生态环境部制</w:t>
      </w:r>
    </w:p>
    <w:p w14:paraId="5F0F41C2">
      <w:pPr>
        <w:adjustRightInd w:val="0"/>
        <w:snapToGrid w:val="0"/>
        <w:spacing w:line="288" w:lineRule="auto"/>
        <w:ind w:firstLine="1040"/>
        <w:rPr>
          <w:rFonts w:ascii="仿宋_GB2312" w:eastAsia="仿宋_GB2312"/>
          <w:color w:val="auto"/>
          <w:sz w:val="36"/>
          <w:szCs w:val="36"/>
        </w:rPr>
      </w:pPr>
    </w:p>
    <w:p w14:paraId="04626E66">
      <w:pPr>
        <w:pStyle w:val="14"/>
        <w:jc w:val="center"/>
        <w:outlineLvl w:val="0"/>
        <w:rPr>
          <w:rFonts w:hint="eastAsia" w:ascii="黑体" w:hAnsi="黑体" w:eastAsia="黑体"/>
          <w:snapToGrid w:val="0"/>
          <w:color w:val="auto"/>
          <w:sz w:val="30"/>
          <w:szCs w:val="30"/>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28E9BD32">
      <w:pPr>
        <w:pStyle w:val="14"/>
        <w:jc w:val="center"/>
        <w:outlineLvl w:val="0"/>
        <w:rPr>
          <w:rFonts w:hint="eastAsia" w:ascii="黑体" w:hAnsi="黑体" w:eastAsia="黑体"/>
          <w:snapToGrid w:val="0"/>
          <w:color w:val="auto"/>
          <w:sz w:val="30"/>
          <w:szCs w:val="30"/>
        </w:rPr>
      </w:pPr>
      <w:r>
        <w:rPr>
          <w:rFonts w:hint="eastAsia" w:ascii="黑体" w:hAnsi="黑体" w:eastAsia="黑体"/>
          <w:snapToGrid w:val="0"/>
          <w:color w:val="auto"/>
          <w:sz w:val="30"/>
          <w:szCs w:val="30"/>
        </w:rPr>
        <w:t>一、建设项目基本情况</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17"/>
        <w:gridCol w:w="2981"/>
        <w:gridCol w:w="2200"/>
        <w:gridCol w:w="2872"/>
      </w:tblGrid>
      <w:tr w14:paraId="3B3EC312">
        <w:trPr>
          <w:trHeight w:val="497" w:hRule="atLeast"/>
          <w:jc w:val="center"/>
        </w:trPr>
        <w:tc>
          <w:tcPr>
            <w:tcW w:w="817" w:type="dxa"/>
            <w:noWrap w:val="0"/>
            <w:tcMar>
              <w:top w:w="16" w:type="dxa"/>
              <w:left w:w="16" w:type="dxa"/>
              <w:right w:w="16" w:type="dxa"/>
            </w:tcMar>
            <w:vAlign w:val="center"/>
          </w:tcPr>
          <w:p w14:paraId="4B9862E9">
            <w:pPr>
              <w:adjustRightInd w:val="0"/>
              <w:snapToGrid w:val="0"/>
              <w:jc w:val="center"/>
              <w:rPr>
                <w:rFonts w:ascii="宋体" w:hAnsi="宋体" w:cs="宋体"/>
                <w:color w:val="auto"/>
                <w:szCs w:val="21"/>
              </w:rPr>
            </w:pPr>
            <w:r>
              <w:rPr>
                <w:rFonts w:hint="eastAsia" w:ascii="宋体" w:hAnsi="宋体" w:cs="宋体"/>
                <w:color w:val="auto"/>
                <w:szCs w:val="21"/>
              </w:rPr>
              <w:t>建设项目名称</w:t>
            </w:r>
          </w:p>
        </w:tc>
        <w:tc>
          <w:tcPr>
            <w:tcW w:w="8053" w:type="dxa"/>
            <w:gridSpan w:val="3"/>
            <w:noWrap w:val="0"/>
            <w:vAlign w:val="center"/>
          </w:tcPr>
          <w:p w14:paraId="28F18049">
            <w:pPr>
              <w:keepNext w:val="0"/>
              <w:keepLines w:val="0"/>
              <w:suppressLineNumbers w:val="0"/>
              <w:adjustRightInd w:val="0"/>
              <w:snapToGrid w:val="0"/>
              <w:spacing w:before="0" w:beforeAutospacing="0" w:after="0" w:afterAutospacing="0"/>
              <w:ind w:left="0" w:leftChars="0" w:right="0" w:rightChars="0"/>
              <w:jc w:val="center"/>
              <w:rPr>
                <w:rFonts w:hint="eastAsia" w:cs="宋体"/>
                <w:color w:val="auto"/>
                <w:kern w:val="2"/>
                <w:sz w:val="21"/>
                <w:szCs w:val="21"/>
                <w:lang w:val="en-US" w:eastAsia="zh-CN" w:bidi="ar-SA"/>
              </w:rPr>
            </w:pPr>
            <w:r>
              <w:rPr>
                <w:rFonts w:hint="eastAsia" w:cs="宋体"/>
                <w:color w:val="auto"/>
                <w:szCs w:val="21"/>
                <w:lang w:val="en-US" w:eastAsia="zh-CN"/>
              </w:rPr>
              <w:t>淮安挑战者饮料有限公司饮料生产项目（不含碳酸饮料和酒）</w:t>
            </w:r>
          </w:p>
        </w:tc>
      </w:tr>
      <w:tr w14:paraId="560F56EF">
        <w:trPr>
          <w:trHeight w:val="497" w:hRule="atLeast"/>
          <w:jc w:val="center"/>
        </w:trPr>
        <w:tc>
          <w:tcPr>
            <w:tcW w:w="817" w:type="dxa"/>
            <w:noWrap w:val="0"/>
            <w:tcMar>
              <w:top w:w="16" w:type="dxa"/>
              <w:left w:w="16" w:type="dxa"/>
              <w:right w:w="16" w:type="dxa"/>
            </w:tcMar>
            <w:vAlign w:val="center"/>
          </w:tcPr>
          <w:p w14:paraId="7FE0383F">
            <w:pPr>
              <w:adjustRightInd w:val="0"/>
              <w:snapToGrid w:val="0"/>
              <w:jc w:val="center"/>
              <w:rPr>
                <w:rFonts w:ascii="宋体" w:hAnsi="宋体" w:cs="宋体"/>
                <w:color w:val="auto"/>
                <w:szCs w:val="21"/>
              </w:rPr>
            </w:pPr>
            <w:r>
              <w:rPr>
                <w:rFonts w:hint="eastAsia" w:ascii="宋体" w:hAnsi="宋体" w:cs="宋体"/>
                <w:color w:val="auto"/>
                <w:szCs w:val="21"/>
              </w:rPr>
              <w:t>项目代码</w:t>
            </w:r>
          </w:p>
        </w:tc>
        <w:tc>
          <w:tcPr>
            <w:tcW w:w="8053" w:type="dxa"/>
            <w:gridSpan w:val="3"/>
            <w:noWrap w:val="0"/>
            <w:vAlign w:val="center"/>
          </w:tcPr>
          <w:p w14:paraId="5177FFA1">
            <w:pPr>
              <w:keepNext w:val="0"/>
              <w:keepLines w:val="0"/>
              <w:suppressLineNumbers w:val="0"/>
              <w:adjustRightInd w:val="0"/>
              <w:snapToGrid w:val="0"/>
              <w:spacing w:before="0" w:beforeAutospacing="0" w:after="0" w:afterAutospacing="0"/>
              <w:ind w:left="0" w:leftChars="0" w:right="0" w:rightChars="0"/>
              <w:jc w:val="center"/>
              <w:rPr>
                <w:rFonts w:hint="eastAsia" w:eastAsia="宋体" w:cs="宋体"/>
                <w:color w:val="auto"/>
                <w:kern w:val="2"/>
                <w:sz w:val="21"/>
                <w:szCs w:val="21"/>
                <w:lang w:val="en-US" w:eastAsia="zh-CN" w:bidi="ar-SA"/>
              </w:rPr>
            </w:pPr>
            <w:r>
              <w:rPr>
                <w:rFonts w:hint="eastAsia" w:cs="宋体"/>
                <w:color w:val="auto"/>
                <w:szCs w:val="21"/>
                <w:lang w:eastAsia="zh-CN"/>
              </w:rPr>
              <w:t>2504-320860-89-01-701696</w:t>
            </w:r>
          </w:p>
        </w:tc>
      </w:tr>
      <w:tr w14:paraId="013FD355">
        <w:trPr>
          <w:trHeight w:val="497" w:hRule="atLeast"/>
          <w:jc w:val="center"/>
        </w:trPr>
        <w:tc>
          <w:tcPr>
            <w:tcW w:w="817" w:type="dxa"/>
            <w:noWrap w:val="0"/>
            <w:tcMar>
              <w:top w:w="16" w:type="dxa"/>
              <w:left w:w="16" w:type="dxa"/>
              <w:right w:w="16" w:type="dxa"/>
            </w:tcMar>
            <w:vAlign w:val="center"/>
          </w:tcPr>
          <w:p w14:paraId="4D69FB84">
            <w:pPr>
              <w:adjustRightInd w:val="0"/>
              <w:snapToGrid w:val="0"/>
              <w:jc w:val="center"/>
              <w:rPr>
                <w:rFonts w:hint="eastAsia" w:ascii="宋体" w:hAnsi="宋体" w:cs="宋体"/>
                <w:color w:val="auto"/>
                <w:szCs w:val="21"/>
              </w:rPr>
            </w:pPr>
            <w:r>
              <w:rPr>
                <w:rFonts w:hint="eastAsia" w:ascii="宋体" w:hAnsi="宋体" w:cs="宋体"/>
                <w:color w:val="auto"/>
                <w:szCs w:val="21"/>
              </w:rPr>
              <w:t>建设单位联系人</w:t>
            </w:r>
          </w:p>
        </w:tc>
        <w:tc>
          <w:tcPr>
            <w:tcW w:w="2981" w:type="dxa"/>
            <w:noWrap w:val="0"/>
            <w:vAlign w:val="center"/>
          </w:tcPr>
          <w:p w14:paraId="6527D30E">
            <w:pPr>
              <w:keepNext w:val="0"/>
              <w:keepLines w:val="0"/>
              <w:suppressLineNumbers w:val="0"/>
              <w:adjustRightInd w:val="0"/>
              <w:snapToGrid w:val="0"/>
              <w:spacing w:before="0" w:beforeAutospacing="0" w:after="0" w:afterAutospacing="0"/>
              <w:ind w:left="0" w:leftChars="0" w:right="0" w:rightChars="0"/>
              <w:jc w:val="center"/>
              <w:rPr>
                <w:rFonts w:hint="default" w:eastAsia="宋体" w:cs="宋体"/>
                <w:color w:val="auto"/>
                <w:kern w:val="2"/>
                <w:sz w:val="21"/>
                <w:szCs w:val="21"/>
                <w:lang w:val="en-US" w:eastAsia="zh-CN" w:bidi="ar-SA"/>
              </w:rPr>
            </w:pPr>
          </w:p>
        </w:tc>
        <w:tc>
          <w:tcPr>
            <w:tcW w:w="2200" w:type="dxa"/>
            <w:noWrap w:val="0"/>
            <w:vAlign w:val="center"/>
          </w:tcPr>
          <w:p w14:paraId="4AFA03ED">
            <w:pPr>
              <w:keepNext w:val="0"/>
              <w:keepLines w:val="0"/>
              <w:suppressLineNumbers w:val="0"/>
              <w:adjustRightInd w:val="0"/>
              <w:snapToGrid w:val="0"/>
              <w:spacing w:before="0" w:beforeAutospacing="0" w:after="0" w:afterAutospacing="0"/>
              <w:ind w:left="0" w:leftChars="0" w:right="0" w:rightChars="0"/>
              <w:jc w:val="center"/>
              <w:rPr>
                <w:rFonts w:hint="default" w:cs="宋体"/>
                <w:color w:val="auto"/>
                <w:kern w:val="2"/>
                <w:sz w:val="21"/>
                <w:szCs w:val="21"/>
                <w:lang w:val="en-US" w:eastAsia="zh-CN" w:bidi="ar-SA"/>
              </w:rPr>
            </w:pPr>
            <w:r>
              <w:rPr>
                <w:rFonts w:hint="eastAsia" w:cs="宋体"/>
                <w:color w:val="auto"/>
                <w:szCs w:val="21"/>
              </w:rPr>
              <w:t>联系方式</w:t>
            </w:r>
          </w:p>
        </w:tc>
        <w:tc>
          <w:tcPr>
            <w:tcW w:w="2872" w:type="dxa"/>
            <w:noWrap w:val="0"/>
            <w:vAlign w:val="center"/>
          </w:tcPr>
          <w:p w14:paraId="0B908ABD">
            <w:pPr>
              <w:keepNext w:val="0"/>
              <w:keepLines w:val="0"/>
              <w:suppressLineNumbers w:val="0"/>
              <w:adjustRightInd w:val="0"/>
              <w:snapToGrid w:val="0"/>
              <w:spacing w:before="0" w:beforeAutospacing="0" w:after="0" w:afterAutospacing="0"/>
              <w:ind w:left="0" w:leftChars="0" w:right="0" w:rightChars="0"/>
              <w:jc w:val="center"/>
              <w:rPr>
                <w:rFonts w:hint="default" w:eastAsia="宋体" w:cs="宋体"/>
                <w:color w:val="auto"/>
                <w:kern w:val="2"/>
                <w:sz w:val="21"/>
                <w:szCs w:val="21"/>
                <w:lang w:val="en-US" w:eastAsia="zh-CN" w:bidi="ar-SA"/>
              </w:rPr>
            </w:pPr>
          </w:p>
        </w:tc>
      </w:tr>
      <w:tr w14:paraId="5CA07F24">
        <w:trPr>
          <w:trHeight w:val="497" w:hRule="atLeast"/>
          <w:jc w:val="center"/>
        </w:trPr>
        <w:tc>
          <w:tcPr>
            <w:tcW w:w="817" w:type="dxa"/>
            <w:noWrap w:val="0"/>
            <w:tcMar>
              <w:top w:w="16" w:type="dxa"/>
              <w:left w:w="16" w:type="dxa"/>
              <w:right w:w="16" w:type="dxa"/>
            </w:tcMar>
            <w:vAlign w:val="center"/>
          </w:tcPr>
          <w:p w14:paraId="21A4ECFB">
            <w:pPr>
              <w:adjustRightInd w:val="0"/>
              <w:snapToGrid w:val="0"/>
              <w:jc w:val="center"/>
              <w:rPr>
                <w:rFonts w:ascii="宋体" w:hAnsi="宋体" w:cs="宋体"/>
                <w:color w:val="auto"/>
                <w:szCs w:val="21"/>
              </w:rPr>
            </w:pPr>
            <w:r>
              <w:rPr>
                <w:rFonts w:hint="eastAsia" w:ascii="宋体" w:hAnsi="宋体" w:cs="宋体"/>
                <w:color w:val="auto"/>
                <w:szCs w:val="21"/>
              </w:rPr>
              <w:t>建设地点</w:t>
            </w:r>
          </w:p>
        </w:tc>
        <w:tc>
          <w:tcPr>
            <w:tcW w:w="8053" w:type="dxa"/>
            <w:gridSpan w:val="3"/>
            <w:noWrap w:val="0"/>
            <w:vAlign w:val="center"/>
          </w:tcPr>
          <w:p w14:paraId="25FE5F5C">
            <w:pPr>
              <w:adjustRightInd w:val="0"/>
              <w:snapToGrid w:val="0"/>
              <w:jc w:val="center"/>
              <w:rPr>
                <w:rFonts w:cs="宋体"/>
                <w:color w:val="auto"/>
                <w:szCs w:val="21"/>
              </w:rPr>
            </w:pPr>
            <w:r>
              <w:rPr>
                <w:rFonts w:hint="eastAsia" w:cs="宋体"/>
                <w:color w:val="auto"/>
                <w:szCs w:val="21"/>
                <w:u w:val="single"/>
              </w:rPr>
              <w:t>江苏</w:t>
            </w:r>
            <w:r>
              <w:rPr>
                <w:rFonts w:hint="eastAsia" w:cs="宋体"/>
                <w:color w:val="auto"/>
                <w:szCs w:val="21"/>
              </w:rPr>
              <w:t>省</w:t>
            </w:r>
            <w:r>
              <w:rPr>
                <w:rFonts w:hint="eastAsia" w:cs="宋体"/>
                <w:color w:val="auto"/>
                <w:szCs w:val="21"/>
                <w:u w:val="single"/>
              </w:rPr>
              <w:t>淮安</w:t>
            </w:r>
            <w:r>
              <w:rPr>
                <w:rFonts w:hint="eastAsia" w:cs="宋体"/>
                <w:color w:val="auto"/>
                <w:szCs w:val="21"/>
              </w:rPr>
              <w:t>市</w:t>
            </w:r>
            <w:r>
              <w:rPr>
                <w:rFonts w:hint="eastAsia" w:cs="宋体"/>
                <w:color w:val="auto"/>
                <w:szCs w:val="21"/>
                <w:u w:val="single"/>
              </w:rPr>
              <w:t>涟水</w:t>
            </w:r>
            <w:r>
              <w:rPr>
                <w:rFonts w:hint="eastAsia" w:cs="宋体"/>
                <w:color w:val="auto"/>
                <w:szCs w:val="21"/>
              </w:rPr>
              <w:t>县</w:t>
            </w:r>
            <w:r>
              <w:rPr>
                <w:rFonts w:hint="eastAsia" w:ascii="Times New Roman" w:hAnsi="Times New Roman" w:eastAsia="宋体" w:cs="宋体"/>
                <w:color w:val="auto"/>
                <w:szCs w:val="21"/>
                <w:u w:val="single"/>
                <w:lang w:val="en-US" w:eastAsia="zh-CN"/>
              </w:rPr>
              <w:t>江苏涟水经济开发区兴旺路28号（兴旺路北侧、高坚科技东侧）</w:t>
            </w:r>
          </w:p>
        </w:tc>
      </w:tr>
      <w:tr w14:paraId="0AC3274B">
        <w:trPr>
          <w:trHeight w:val="497" w:hRule="atLeast"/>
          <w:jc w:val="center"/>
        </w:trPr>
        <w:tc>
          <w:tcPr>
            <w:tcW w:w="817" w:type="dxa"/>
            <w:noWrap w:val="0"/>
            <w:tcMar>
              <w:top w:w="16" w:type="dxa"/>
              <w:left w:w="16" w:type="dxa"/>
              <w:right w:w="16" w:type="dxa"/>
            </w:tcMar>
            <w:vAlign w:val="center"/>
          </w:tcPr>
          <w:p w14:paraId="14CE6209">
            <w:pPr>
              <w:adjustRightInd w:val="0"/>
              <w:snapToGrid w:val="0"/>
              <w:jc w:val="center"/>
              <w:rPr>
                <w:rFonts w:ascii="宋体" w:hAnsi="宋体" w:cs="宋体"/>
                <w:color w:val="auto"/>
                <w:szCs w:val="21"/>
              </w:rPr>
            </w:pPr>
            <w:r>
              <w:rPr>
                <w:rFonts w:hint="eastAsia" w:ascii="宋体" w:hAnsi="宋体" w:cs="宋体"/>
                <w:color w:val="auto"/>
                <w:szCs w:val="21"/>
              </w:rPr>
              <w:t>地理坐标</w:t>
            </w:r>
          </w:p>
        </w:tc>
        <w:tc>
          <w:tcPr>
            <w:tcW w:w="8053" w:type="dxa"/>
            <w:gridSpan w:val="3"/>
            <w:noWrap w:val="0"/>
            <w:vAlign w:val="center"/>
          </w:tcPr>
          <w:p w14:paraId="597786BA">
            <w:pPr>
              <w:jc w:val="center"/>
              <w:rPr>
                <w:rFonts w:hint="eastAsia" w:cs="宋体"/>
                <w:color w:val="auto"/>
                <w:szCs w:val="21"/>
              </w:rPr>
            </w:pPr>
            <w:r>
              <w:rPr>
                <w:rFonts w:hint="eastAsia" w:cs="宋体"/>
                <w:color w:val="auto"/>
                <w:szCs w:val="21"/>
              </w:rPr>
              <w:t>北纬：</w:t>
            </w:r>
            <w:r>
              <w:rPr>
                <w:rFonts w:hint="eastAsia" w:cs="宋体"/>
                <w:color w:val="auto"/>
                <w:szCs w:val="21"/>
                <w:u w:val="single"/>
              </w:rPr>
              <w:t>3</w:t>
            </w:r>
            <w:r>
              <w:rPr>
                <w:rFonts w:hint="eastAsia" w:cs="宋体"/>
                <w:color w:val="auto"/>
                <w:szCs w:val="21"/>
                <w:u w:val="single"/>
                <w:lang w:val="en-US" w:eastAsia="zh-CN"/>
              </w:rPr>
              <w:t>3</w:t>
            </w:r>
            <w:r>
              <w:rPr>
                <w:rFonts w:hint="eastAsia" w:cs="宋体"/>
                <w:color w:val="auto"/>
                <w:szCs w:val="21"/>
              </w:rPr>
              <w:t>度</w:t>
            </w:r>
            <w:r>
              <w:rPr>
                <w:rFonts w:hint="eastAsia" w:cs="宋体"/>
                <w:color w:val="auto"/>
                <w:szCs w:val="21"/>
                <w:u w:val="single"/>
                <w:lang w:val="en-US" w:eastAsia="zh-CN"/>
              </w:rPr>
              <w:t>48</w:t>
            </w:r>
            <w:r>
              <w:rPr>
                <w:rFonts w:hint="eastAsia" w:cs="宋体"/>
                <w:color w:val="auto"/>
                <w:szCs w:val="21"/>
              </w:rPr>
              <w:t>分</w:t>
            </w:r>
            <w:r>
              <w:rPr>
                <w:rFonts w:hint="eastAsia" w:cs="宋体"/>
                <w:color w:val="auto"/>
                <w:szCs w:val="21"/>
                <w:u w:val="single"/>
                <w:lang w:val="en-US" w:eastAsia="zh-CN"/>
              </w:rPr>
              <w:t>14.229</w:t>
            </w:r>
            <w:r>
              <w:rPr>
                <w:rFonts w:hint="eastAsia" w:cs="宋体"/>
                <w:color w:val="auto"/>
                <w:szCs w:val="21"/>
              </w:rPr>
              <w:t>秒，东经：</w:t>
            </w:r>
            <w:r>
              <w:rPr>
                <w:rFonts w:hint="eastAsia" w:cs="宋体"/>
                <w:color w:val="auto"/>
                <w:szCs w:val="21"/>
                <w:u w:val="single"/>
              </w:rPr>
              <w:t>119</w:t>
            </w:r>
            <w:r>
              <w:rPr>
                <w:rFonts w:hint="eastAsia" w:cs="宋体"/>
                <w:color w:val="auto"/>
                <w:szCs w:val="21"/>
              </w:rPr>
              <w:t>度</w:t>
            </w:r>
            <w:r>
              <w:rPr>
                <w:rFonts w:hint="eastAsia" w:cs="宋体"/>
                <w:color w:val="auto"/>
                <w:szCs w:val="21"/>
                <w:u w:val="single"/>
                <w:lang w:val="en-US" w:eastAsia="zh-CN"/>
              </w:rPr>
              <w:t>14</w:t>
            </w:r>
            <w:r>
              <w:rPr>
                <w:rFonts w:hint="eastAsia" w:cs="宋体"/>
                <w:color w:val="auto"/>
                <w:szCs w:val="21"/>
              </w:rPr>
              <w:t>分</w:t>
            </w:r>
            <w:r>
              <w:rPr>
                <w:rFonts w:hint="eastAsia" w:cs="宋体"/>
                <w:color w:val="auto"/>
                <w:szCs w:val="21"/>
                <w:u w:val="single"/>
                <w:lang w:val="en-US" w:eastAsia="zh-CN"/>
              </w:rPr>
              <w:t>0.998</w:t>
            </w:r>
            <w:r>
              <w:rPr>
                <w:rFonts w:hint="eastAsia" w:cs="宋体"/>
                <w:color w:val="auto"/>
                <w:szCs w:val="21"/>
              </w:rPr>
              <w:t>秒</w:t>
            </w:r>
          </w:p>
        </w:tc>
      </w:tr>
      <w:tr w14:paraId="7E6E9C12">
        <w:trPr>
          <w:trHeight w:val="561" w:hRule="atLeast"/>
          <w:jc w:val="center"/>
        </w:trPr>
        <w:tc>
          <w:tcPr>
            <w:tcW w:w="817" w:type="dxa"/>
            <w:noWrap w:val="0"/>
            <w:tcMar>
              <w:top w:w="16" w:type="dxa"/>
              <w:left w:w="16" w:type="dxa"/>
              <w:right w:w="16" w:type="dxa"/>
            </w:tcMar>
            <w:vAlign w:val="center"/>
          </w:tcPr>
          <w:p w14:paraId="2024253B">
            <w:pPr>
              <w:adjustRightInd w:val="0"/>
              <w:snapToGrid w:val="0"/>
              <w:jc w:val="center"/>
              <w:rPr>
                <w:rFonts w:ascii="宋体" w:hAnsi="宋体" w:cs="宋体"/>
                <w:color w:val="auto"/>
                <w:szCs w:val="21"/>
              </w:rPr>
            </w:pPr>
            <w:r>
              <w:rPr>
                <w:rFonts w:hint="eastAsia" w:ascii="宋体" w:hAnsi="宋体" w:cs="宋体"/>
                <w:color w:val="auto"/>
                <w:szCs w:val="21"/>
              </w:rPr>
              <w:t>国民经济行业类别</w:t>
            </w:r>
          </w:p>
        </w:tc>
        <w:tc>
          <w:tcPr>
            <w:tcW w:w="2981" w:type="dxa"/>
            <w:noWrap w:val="0"/>
            <w:vAlign w:val="center"/>
          </w:tcPr>
          <w:p w14:paraId="4128DD8E">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C1523 果菜汁及果菜汁饮料制造</w:t>
            </w:r>
          </w:p>
          <w:p w14:paraId="41F1BFBD">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C1524 含乳饮料和植物蛋白饮料制造</w:t>
            </w:r>
          </w:p>
          <w:p w14:paraId="1D598400">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C1529 茶饮料及其他饮料制造</w:t>
            </w:r>
          </w:p>
          <w:p w14:paraId="0FABBA6C">
            <w:pPr>
              <w:keepNext w:val="0"/>
              <w:keepLines w:val="0"/>
              <w:suppressLineNumbers w:val="0"/>
              <w:adjustRightInd w:val="0"/>
              <w:snapToGrid w:val="0"/>
              <w:spacing w:before="0" w:beforeAutospacing="0" w:after="0" w:afterAutospacing="0"/>
              <w:ind w:left="0" w:leftChars="0" w:right="0" w:rightChars="0"/>
              <w:jc w:val="center"/>
              <w:rPr>
                <w:rFonts w:hint="eastAsia"/>
                <w:color w:val="auto"/>
                <w:lang w:val="en-US" w:eastAsia="zh-CN"/>
              </w:rPr>
            </w:pPr>
            <w:r>
              <w:rPr>
                <w:rFonts w:hint="eastAsia" w:ascii="Times New Roman" w:hAnsi="Times New Roman" w:eastAsia="宋体" w:cs="Times New Roman"/>
                <w:color w:val="auto"/>
                <w:lang w:eastAsia="zh-CN"/>
              </w:rPr>
              <w:t>C2926 塑料包装箱及容器制造</w:t>
            </w:r>
          </w:p>
        </w:tc>
        <w:tc>
          <w:tcPr>
            <w:tcW w:w="2200" w:type="dxa"/>
            <w:noWrap w:val="0"/>
            <w:vAlign w:val="center"/>
          </w:tcPr>
          <w:p w14:paraId="63305AA5">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建设项目</w:t>
            </w:r>
          </w:p>
          <w:p w14:paraId="319E65F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宋体"/>
                <w:color w:val="auto"/>
                <w:kern w:val="2"/>
                <w:sz w:val="21"/>
                <w:szCs w:val="21"/>
                <w:lang w:val="en-US" w:eastAsia="zh-CN" w:bidi="ar-SA"/>
              </w:rPr>
            </w:pPr>
            <w:r>
              <w:rPr>
                <w:rFonts w:hint="eastAsia" w:cs="宋体"/>
                <w:color w:val="auto"/>
                <w:szCs w:val="21"/>
              </w:rPr>
              <w:t>行业类别</w:t>
            </w:r>
          </w:p>
        </w:tc>
        <w:tc>
          <w:tcPr>
            <w:tcW w:w="2872" w:type="dxa"/>
            <w:noWrap w:val="0"/>
            <w:vAlign w:val="center"/>
          </w:tcPr>
          <w:p w14:paraId="498E0414">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十二、酒、饮料制造业15中26饮料制造152</w:t>
            </w:r>
          </w:p>
          <w:p w14:paraId="1AF23EF6">
            <w:pPr>
              <w:keepNext w:val="0"/>
              <w:keepLines w:val="0"/>
              <w:suppressLineNumbers w:val="0"/>
              <w:adjustRightInd w:val="0"/>
              <w:snapToGrid w:val="0"/>
              <w:spacing w:before="0" w:beforeAutospacing="0" w:after="0" w:afterAutospacing="0"/>
              <w:ind w:left="0" w:leftChars="0" w:right="0" w:rightChars="0"/>
              <w:jc w:val="center"/>
              <w:rPr>
                <w:rFonts w:hint="default"/>
                <w:color w:val="auto"/>
                <w:lang w:val="en-US" w:eastAsia="zh-CN"/>
              </w:rPr>
            </w:pPr>
            <w:r>
              <w:rPr>
                <w:rFonts w:hint="eastAsia" w:ascii="Times New Roman" w:hAnsi="Times New Roman" w:eastAsia="宋体" w:cs="Times New Roman"/>
                <w:color w:val="auto"/>
                <w:lang w:val="en-US" w:eastAsia="zh-CN"/>
              </w:rPr>
              <w:t>二十六、橡胶和塑料制品业28中53塑料制品业</w:t>
            </w:r>
          </w:p>
        </w:tc>
      </w:tr>
      <w:tr w14:paraId="173BE2BB">
        <w:trPr>
          <w:trHeight w:val="1219" w:hRule="atLeast"/>
          <w:jc w:val="center"/>
        </w:trPr>
        <w:tc>
          <w:tcPr>
            <w:tcW w:w="817" w:type="dxa"/>
            <w:noWrap w:val="0"/>
            <w:tcMar>
              <w:top w:w="16" w:type="dxa"/>
              <w:left w:w="16" w:type="dxa"/>
              <w:right w:w="16" w:type="dxa"/>
            </w:tcMar>
            <w:vAlign w:val="center"/>
          </w:tcPr>
          <w:p w14:paraId="3D9E685D">
            <w:pPr>
              <w:adjustRightInd w:val="0"/>
              <w:snapToGrid w:val="0"/>
              <w:jc w:val="center"/>
              <w:rPr>
                <w:rFonts w:ascii="宋体" w:hAnsi="宋体" w:cs="宋体"/>
                <w:color w:val="auto"/>
                <w:szCs w:val="21"/>
              </w:rPr>
            </w:pPr>
            <w:r>
              <w:rPr>
                <w:rFonts w:hint="eastAsia" w:ascii="宋体" w:hAnsi="宋体" w:cs="宋体"/>
                <w:color w:val="auto"/>
                <w:szCs w:val="21"/>
              </w:rPr>
              <w:t>建设性质</w:t>
            </w:r>
          </w:p>
        </w:tc>
        <w:tc>
          <w:tcPr>
            <w:tcW w:w="2981" w:type="dxa"/>
            <w:noWrap w:val="0"/>
            <w:vAlign w:val="center"/>
          </w:tcPr>
          <w:p w14:paraId="65F880B7">
            <w:pPr>
              <w:jc w:val="left"/>
              <w:rPr>
                <w:rFonts w:cs="宋体"/>
                <w:color w:val="auto"/>
                <w:szCs w:val="21"/>
              </w:rPr>
            </w:pPr>
            <w:r>
              <w:rPr>
                <w:rFonts w:hint="eastAsia" w:cs="宋体"/>
                <w:color w:val="auto"/>
                <w:szCs w:val="21"/>
              </w:rPr>
              <w:t>☑新建（迁建）</w:t>
            </w:r>
          </w:p>
          <w:p w14:paraId="410EC884">
            <w:pPr>
              <w:jc w:val="left"/>
              <w:rPr>
                <w:rFonts w:hint="eastAsia" w:cs="宋体"/>
                <w:color w:val="auto"/>
                <w:szCs w:val="21"/>
              </w:rPr>
            </w:pPr>
            <w:r>
              <w:rPr>
                <w:rFonts w:hint="eastAsia" w:cs="宋体"/>
                <w:color w:val="auto"/>
                <w:szCs w:val="21"/>
              </w:rPr>
              <w:t>□改建</w:t>
            </w:r>
          </w:p>
          <w:p w14:paraId="605EC682">
            <w:pPr>
              <w:jc w:val="left"/>
              <w:rPr>
                <w:rFonts w:hint="eastAsia" w:cs="宋体"/>
                <w:color w:val="auto"/>
                <w:szCs w:val="21"/>
              </w:rPr>
            </w:pPr>
            <w:r>
              <w:rPr>
                <w:rFonts w:hint="eastAsia" w:cs="宋体"/>
                <w:color w:val="auto"/>
                <w:szCs w:val="21"/>
              </w:rPr>
              <w:t>□扩建</w:t>
            </w:r>
          </w:p>
          <w:p w14:paraId="5C32A494">
            <w:pPr>
              <w:jc w:val="left"/>
              <w:rPr>
                <w:rFonts w:cs="宋体"/>
                <w:color w:val="auto"/>
                <w:szCs w:val="21"/>
              </w:rPr>
            </w:pPr>
            <w:r>
              <w:rPr>
                <w:rFonts w:hint="eastAsia" w:cs="宋体"/>
                <w:color w:val="auto"/>
                <w:szCs w:val="21"/>
              </w:rPr>
              <w:t>□技术改造</w:t>
            </w:r>
          </w:p>
        </w:tc>
        <w:tc>
          <w:tcPr>
            <w:tcW w:w="2200" w:type="dxa"/>
            <w:noWrap w:val="0"/>
            <w:vAlign w:val="center"/>
          </w:tcPr>
          <w:p w14:paraId="477C4DB6">
            <w:pPr>
              <w:adjustRightInd w:val="0"/>
              <w:snapToGrid w:val="0"/>
              <w:jc w:val="center"/>
              <w:rPr>
                <w:rFonts w:hint="eastAsia" w:cs="宋体"/>
                <w:color w:val="auto"/>
                <w:szCs w:val="21"/>
              </w:rPr>
            </w:pPr>
            <w:r>
              <w:rPr>
                <w:rFonts w:hint="eastAsia" w:cs="宋体"/>
                <w:color w:val="auto"/>
                <w:szCs w:val="21"/>
              </w:rPr>
              <w:t>建设项目</w:t>
            </w:r>
          </w:p>
          <w:p w14:paraId="4DEDF7AB">
            <w:pPr>
              <w:adjustRightInd w:val="0"/>
              <w:snapToGrid w:val="0"/>
              <w:jc w:val="center"/>
              <w:rPr>
                <w:rFonts w:cs="宋体"/>
                <w:color w:val="auto"/>
                <w:szCs w:val="21"/>
              </w:rPr>
            </w:pPr>
            <w:r>
              <w:rPr>
                <w:rFonts w:hint="eastAsia" w:cs="宋体"/>
                <w:color w:val="auto"/>
                <w:szCs w:val="21"/>
              </w:rPr>
              <w:t>申报情形</w:t>
            </w:r>
          </w:p>
        </w:tc>
        <w:tc>
          <w:tcPr>
            <w:tcW w:w="2872" w:type="dxa"/>
            <w:noWrap w:val="0"/>
            <w:vAlign w:val="center"/>
          </w:tcPr>
          <w:p w14:paraId="7C5F25C3">
            <w:pPr>
              <w:jc w:val="left"/>
              <w:rPr>
                <w:rFonts w:hint="eastAsia" w:cs="宋体"/>
                <w:color w:val="auto"/>
                <w:szCs w:val="21"/>
              </w:rPr>
            </w:pPr>
            <w:r>
              <w:rPr>
                <w:rFonts w:hint="eastAsia" w:cs="宋体"/>
                <w:color w:val="auto"/>
                <w:szCs w:val="21"/>
              </w:rPr>
              <w:t>☑首次申报项目</w:t>
            </w:r>
          </w:p>
          <w:p w14:paraId="7A7A91F6">
            <w:pPr>
              <w:jc w:val="left"/>
              <w:rPr>
                <w:rFonts w:cs="宋体"/>
                <w:color w:val="auto"/>
                <w:szCs w:val="21"/>
              </w:rPr>
            </w:pPr>
            <w:r>
              <w:rPr>
                <w:rFonts w:hint="eastAsia" w:cs="宋体"/>
                <w:color w:val="auto"/>
                <w:szCs w:val="21"/>
              </w:rPr>
              <w:t>□不予批准后再次申报项目</w:t>
            </w:r>
          </w:p>
          <w:p w14:paraId="165DD7C6">
            <w:pPr>
              <w:jc w:val="left"/>
              <w:rPr>
                <w:rFonts w:hint="eastAsia" w:cs="宋体"/>
                <w:color w:val="auto"/>
                <w:szCs w:val="21"/>
              </w:rPr>
            </w:pPr>
            <w:r>
              <w:rPr>
                <w:rFonts w:hint="eastAsia" w:cs="宋体"/>
                <w:color w:val="auto"/>
                <w:szCs w:val="21"/>
              </w:rPr>
              <w:t>□超五年重新审核项目</w:t>
            </w:r>
          </w:p>
          <w:p w14:paraId="573692D0">
            <w:pPr>
              <w:jc w:val="left"/>
              <w:rPr>
                <w:rFonts w:cs="宋体"/>
                <w:color w:val="auto"/>
                <w:szCs w:val="21"/>
              </w:rPr>
            </w:pPr>
            <w:r>
              <w:rPr>
                <w:rFonts w:hint="eastAsia" w:cs="宋体"/>
                <w:color w:val="auto"/>
                <w:szCs w:val="21"/>
              </w:rPr>
              <w:t>□重大变动重新报批项目</w:t>
            </w:r>
          </w:p>
        </w:tc>
      </w:tr>
      <w:tr w14:paraId="712E5B4E">
        <w:trPr>
          <w:trHeight w:val="851" w:hRule="atLeast"/>
          <w:jc w:val="center"/>
        </w:trPr>
        <w:tc>
          <w:tcPr>
            <w:tcW w:w="817" w:type="dxa"/>
            <w:noWrap w:val="0"/>
            <w:tcMar>
              <w:top w:w="16" w:type="dxa"/>
              <w:left w:w="16" w:type="dxa"/>
              <w:right w:w="16" w:type="dxa"/>
            </w:tcMar>
            <w:vAlign w:val="center"/>
          </w:tcPr>
          <w:p w14:paraId="7E897BC4">
            <w:pPr>
              <w:adjustRightInd w:val="0"/>
              <w:snapToGrid w:val="0"/>
              <w:jc w:val="center"/>
              <w:rPr>
                <w:rFonts w:ascii="宋体" w:hAnsi="宋体" w:cs="宋体"/>
                <w:color w:val="auto"/>
                <w:szCs w:val="21"/>
              </w:rPr>
            </w:pPr>
            <w:r>
              <w:rPr>
                <w:rFonts w:hint="eastAsia" w:ascii="宋体" w:hAnsi="宋体" w:cs="宋体"/>
                <w:color w:val="auto"/>
                <w:szCs w:val="21"/>
              </w:rPr>
              <w:t>项目审批（核准</w:t>
            </w:r>
            <w:r>
              <w:rPr>
                <w:rFonts w:ascii="宋体" w:hAnsi="宋体" w:cs="宋体"/>
                <w:color w:val="auto"/>
                <w:szCs w:val="21"/>
              </w:rPr>
              <w:t>/</w:t>
            </w:r>
            <w:r>
              <w:rPr>
                <w:rFonts w:hint="eastAsia" w:ascii="宋体" w:hAnsi="宋体" w:cs="宋体"/>
                <w:color w:val="auto"/>
                <w:szCs w:val="21"/>
              </w:rPr>
              <w:t>备案）部门（选填）</w:t>
            </w:r>
          </w:p>
        </w:tc>
        <w:tc>
          <w:tcPr>
            <w:tcW w:w="2981" w:type="dxa"/>
            <w:noWrap w:val="0"/>
            <w:vAlign w:val="center"/>
          </w:tcPr>
          <w:p w14:paraId="6EC4FB77">
            <w:pPr>
              <w:adjustRightInd w:val="0"/>
              <w:snapToGrid w:val="0"/>
              <w:jc w:val="center"/>
              <w:rPr>
                <w:rFonts w:hint="default" w:eastAsia="宋体" w:cs="宋体"/>
                <w:color w:val="auto"/>
                <w:szCs w:val="21"/>
                <w:lang w:val="en-US" w:eastAsia="zh-CN"/>
              </w:rPr>
            </w:pPr>
            <w:r>
              <w:rPr>
                <w:rFonts w:hint="eastAsia" w:cs="宋体"/>
                <w:color w:val="auto"/>
                <w:szCs w:val="21"/>
                <w:lang w:val="en-US" w:eastAsia="zh-CN"/>
              </w:rPr>
              <w:t>江苏涟水经济开发区管理委员会</w:t>
            </w:r>
          </w:p>
        </w:tc>
        <w:tc>
          <w:tcPr>
            <w:tcW w:w="2200" w:type="dxa"/>
            <w:noWrap w:val="0"/>
            <w:vAlign w:val="center"/>
          </w:tcPr>
          <w:p w14:paraId="124DFE6D">
            <w:pPr>
              <w:adjustRightInd w:val="0"/>
              <w:snapToGrid w:val="0"/>
              <w:jc w:val="center"/>
              <w:rPr>
                <w:rFonts w:hint="eastAsia" w:cs="宋体"/>
                <w:color w:val="auto"/>
                <w:szCs w:val="21"/>
              </w:rPr>
            </w:pPr>
            <w:r>
              <w:rPr>
                <w:rFonts w:hint="eastAsia" w:cs="宋体"/>
                <w:color w:val="auto"/>
                <w:szCs w:val="21"/>
              </w:rPr>
              <w:t>项目审批（核准</w:t>
            </w:r>
            <w:r>
              <w:rPr>
                <w:rFonts w:cs="宋体"/>
                <w:color w:val="auto"/>
                <w:szCs w:val="21"/>
              </w:rPr>
              <w:t>/</w:t>
            </w:r>
          </w:p>
          <w:p w14:paraId="192DD87D">
            <w:pPr>
              <w:adjustRightInd w:val="0"/>
              <w:snapToGrid w:val="0"/>
              <w:jc w:val="center"/>
              <w:rPr>
                <w:rFonts w:hint="eastAsia" w:cs="宋体"/>
                <w:color w:val="auto"/>
                <w:szCs w:val="21"/>
              </w:rPr>
            </w:pPr>
            <w:r>
              <w:rPr>
                <w:rFonts w:hint="eastAsia" w:cs="宋体"/>
                <w:color w:val="auto"/>
                <w:szCs w:val="21"/>
              </w:rPr>
              <w:t>备案）文号（选填）</w:t>
            </w:r>
          </w:p>
        </w:tc>
        <w:tc>
          <w:tcPr>
            <w:tcW w:w="2872" w:type="dxa"/>
            <w:noWrap w:val="0"/>
            <w:vAlign w:val="center"/>
          </w:tcPr>
          <w:p w14:paraId="7EC9D645">
            <w:pPr>
              <w:adjustRightInd w:val="0"/>
              <w:snapToGrid w:val="0"/>
              <w:jc w:val="center"/>
              <w:rPr>
                <w:rFonts w:cs="宋体"/>
                <w:color w:val="auto"/>
                <w:szCs w:val="21"/>
              </w:rPr>
            </w:pPr>
            <w:r>
              <w:rPr>
                <w:rFonts w:hint="eastAsia" w:cs="宋体"/>
                <w:color w:val="auto"/>
                <w:szCs w:val="21"/>
                <w:lang w:eastAsia="zh-CN"/>
              </w:rPr>
              <w:t>涟区开发备〔2025〕</w:t>
            </w:r>
            <w:r>
              <w:rPr>
                <w:rFonts w:hint="eastAsia" w:cs="宋体"/>
                <w:color w:val="auto"/>
                <w:szCs w:val="21"/>
                <w:lang w:val="en-US" w:eastAsia="zh-CN"/>
              </w:rPr>
              <w:t>109</w:t>
            </w:r>
            <w:r>
              <w:rPr>
                <w:rFonts w:hint="eastAsia" w:cs="宋体"/>
                <w:color w:val="auto"/>
                <w:szCs w:val="21"/>
                <w:lang w:eastAsia="zh-CN"/>
              </w:rPr>
              <w:t>号</w:t>
            </w:r>
          </w:p>
        </w:tc>
      </w:tr>
      <w:tr w14:paraId="211478C6">
        <w:trPr>
          <w:trHeight w:val="497" w:hRule="atLeast"/>
          <w:jc w:val="center"/>
        </w:trPr>
        <w:tc>
          <w:tcPr>
            <w:tcW w:w="817" w:type="dxa"/>
            <w:noWrap w:val="0"/>
            <w:tcMar>
              <w:top w:w="16" w:type="dxa"/>
              <w:left w:w="16" w:type="dxa"/>
              <w:right w:w="16" w:type="dxa"/>
            </w:tcMar>
            <w:vAlign w:val="center"/>
          </w:tcPr>
          <w:p w14:paraId="4B786CC1">
            <w:pPr>
              <w:adjustRightInd w:val="0"/>
              <w:snapToGrid w:val="0"/>
              <w:jc w:val="center"/>
              <w:rPr>
                <w:rFonts w:ascii="宋体" w:hAnsi="宋体" w:cs="宋体"/>
                <w:color w:val="auto"/>
                <w:szCs w:val="21"/>
              </w:rPr>
            </w:pPr>
            <w:r>
              <w:rPr>
                <w:rFonts w:hint="eastAsia" w:ascii="宋体" w:hAnsi="宋体" w:cs="宋体"/>
                <w:color w:val="auto"/>
                <w:szCs w:val="21"/>
              </w:rPr>
              <w:t>总投资（万元）</w:t>
            </w:r>
          </w:p>
        </w:tc>
        <w:tc>
          <w:tcPr>
            <w:tcW w:w="2981" w:type="dxa"/>
            <w:noWrap w:val="0"/>
            <w:vAlign w:val="center"/>
          </w:tcPr>
          <w:p w14:paraId="4F70D324">
            <w:pPr>
              <w:adjustRightInd w:val="0"/>
              <w:snapToGrid w:val="0"/>
              <w:jc w:val="center"/>
              <w:rPr>
                <w:rFonts w:hint="default" w:eastAsia="宋体" w:cs="宋体"/>
                <w:color w:val="auto"/>
                <w:szCs w:val="21"/>
                <w:lang w:val="en-US" w:eastAsia="zh-CN"/>
              </w:rPr>
            </w:pPr>
            <w:r>
              <w:rPr>
                <w:rFonts w:hint="eastAsia" w:cs="宋体"/>
                <w:color w:val="auto"/>
                <w:szCs w:val="21"/>
                <w:lang w:val="en-US" w:eastAsia="zh-CN"/>
              </w:rPr>
              <w:t>35000</w:t>
            </w:r>
          </w:p>
        </w:tc>
        <w:tc>
          <w:tcPr>
            <w:tcW w:w="2200" w:type="dxa"/>
            <w:noWrap w:val="0"/>
            <w:tcMar>
              <w:top w:w="16" w:type="dxa"/>
              <w:left w:w="16" w:type="dxa"/>
              <w:right w:w="16" w:type="dxa"/>
            </w:tcMar>
            <w:vAlign w:val="center"/>
          </w:tcPr>
          <w:p w14:paraId="46F69259">
            <w:pPr>
              <w:adjustRightInd w:val="0"/>
              <w:snapToGrid w:val="0"/>
              <w:jc w:val="center"/>
              <w:rPr>
                <w:rFonts w:cs="宋体"/>
                <w:color w:val="auto"/>
                <w:szCs w:val="21"/>
              </w:rPr>
            </w:pPr>
            <w:r>
              <w:rPr>
                <w:rFonts w:hint="eastAsia" w:cs="宋体"/>
                <w:color w:val="auto"/>
                <w:szCs w:val="21"/>
              </w:rPr>
              <w:t>环保投资（万元）</w:t>
            </w:r>
          </w:p>
        </w:tc>
        <w:tc>
          <w:tcPr>
            <w:tcW w:w="2872" w:type="dxa"/>
            <w:noWrap w:val="0"/>
            <w:vAlign w:val="center"/>
          </w:tcPr>
          <w:p w14:paraId="2FC47CBF">
            <w:pPr>
              <w:adjustRightInd w:val="0"/>
              <w:snapToGrid w:val="0"/>
              <w:jc w:val="center"/>
              <w:rPr>
                <w:rFonts w:hint="default" w:eastAsia="宋体" w:cs="宋体"/>
                <w:color w:val="auto"/>
                <w:szCs w:val="21"/>
                <w:lang w:val="en-US" w:eastAsia="zh-CN"/>
              </w:rPr>
            </w:pPr>
            <w:r>
              <w:rPr>
                <w:rFonts w:hint="eastAsia" w:cs="宋体"/>
                <w:color w:val="auto"/>
                <w:szCs w:val="21"/>
                <w:lang w:val="en-US" w:eastAsia="zh-CN"/>
              </w:rPr>
              <w:t>140</w:t>
            </w:r>
          </w:p>
        </w:tc>
      </w:tr>
      <w:tr w14:paraId="280FD41C">
        <w:trPr>
          <w:trHeight w:val="497" w:hRule="atLeast"/>
          <w:jc w:val="center"/>
        </w:trPr>
        <w:tc>
          <w:tcPr>
            <w:tcW w:w="817" w:type="dxa"/>
            <w:noWrap w:val="0"/>
            <w:tcMar>
              <w:top w:w="16" w:type="dxa"/>
              <w:left w:w="16" w:type="dxa"/>
              <w:right w:w="16" w:type="dxa"/>
            </w:tcMar>
            <w:vAlign w:val="center"/>
          </w:tcPr>
          <w:p w14:paraId="4A0A2AFD">
            <w:pPr>
              <w:adjustRightInd w:val="0"/>
              <w:snapToGrid w:val="0"/>
              <w:jc w:val="center"/>
              <w:rPr>
                <w:rFonts w:ascii="宋体" w:hAnsi="宋体" w:cs="宋体"/>
                <w:color w:val="auto"/>
                <w:szCs w:val="21"/>
              </w:rPr>
            </w:pPr>
            <w:r>
              <w:rPr>
                <w:rFonts w:hint="eastAsia" w:ascii="宋体" w:hAnsi="宋体" w:cs="宋体"/>
                <w:color w:val="auto"/>
                <w:szCs w:val="21"/>
              </w:rPr>
              <w:t>环保投资占比（</w:t>
            </w:r>
            <w:r>
              <w:rPr>
                <w:rFonts w:ascii="宋体" w:hAnsi="宋体" w:cs="宋体"/>
                <w:color w:val="auto"/>
                <w:szCs w:val="21"/>
              </w:rPr>
              <w:t>%</w:t>
            </w:r>
            <w:r>
              <w:rPr>
                <w:rFonts w:hint="eastAsia" w:ascii="宋体" w:hAnsi="宋体" w:cs="宋体"/>
                <w:color w:val="auto"/>
                <w:szCs w:val="21"/>
              </w:rPr>
              <w:t>）</w:t>
            </w:r>
          </w:p>
        </w:tc>
        <w:tc>
          <w:tcPr>
            <w:tcW w:w="2981" w:type="dxa"/>
            <w:noWrap w:val="0"/>
            <w:vAlign w:val="center"/>
          </w:tcPr>
          <w:p w14:paraId="3F045043">
            <w:pPr>
              <w:adjustRightInd w:val="0"/>
              <w:snapToGrid w:val="0"/>
              <w:jc w:val="center"/>
              <w:rPr>
                <w:rFonts w:hint="default" w:eastAsia="宋体" w:cs="宋体"/>
                <w:color w:val="auto"/>
                <w:szCs w:val="21"/>
                <w:lang w:val="en-US" w:eastAsia="zh-CN"/>
              </w:rPr>
            </w:pPr>
            <w:r>
              <w:rPr>
                <w:rFonts w:hint="eastAsia" w:cs="宋体"/>
                <w:color w:val="auto"/>
                <w:szCs w:val="21"/>
                <w:lang w:val="en-US" w:eastAsia="zh-CN"/>
              </w:rPr>
              <w:t>0.4</w:t>
            </w:r>
          </w:p>
        </w:tc>
        <w:tc>
          <w:tcPr>
            <w:tcW w:w="2200" w:type="dxa"/>
            <w:noWrap w:val="0"/>
            <w:tcMar>
              <w:top w:w="16" w:type="dxa"/>
              <w:left w:w="16" w:type="dxa"/>
              <w:right w:w="16" w:type="dxa"/>
            </w:tcMar>
            <w:vAlign w:val="center"/>
          </w:tcPr>
          <w:p w14:paraId="535FD392">
            <w:pPr>
              <w:adjustRightInd w:val="0"/>
              <w:snapToGrid w:val="0"/>
              <w:jc w:val="center"/>
              <w:rPr>
                <w:rFonts w:cs="宋体"/>
                <w:color w:val="auto"/>
                <w:szCs w:val="21"/>
              </w:rPr>
            </w:pPr>
            <w:r>
              <w:rPr>
                <w:rFonts w:hint="eastAsia" w:cs="宋体"/>
                <w:color w:val="auto"/>
                <w:szCs w:val="21"/>
              </w:rPr>
              <w:t>施工工期</w:t>
            </w:r>
          </w:p>
        </w:tc>
        <w:tc>
          <w:tcPr>
            <w:tcW w:w="2872" w:type="dxa"/>
            <w:noWrap w:val="0"/>
            <w:vAlign w:val="center"/>
          </w:tcPr>
          <w:p w14:paraId="4C8680E0">
            <w:pPr>
              <w:adjustRightInd w:val="0"/>
              <w:snapToGrid w:val="0"/>
              <w:jc w:val="center"/>
              <w:rPr>
                <w:rFonts w:hint="eastAsia" w:eastAsia="宋体" w:cs="宋体"/>
                <w:color w:val="auto"/>
                <w:szCs w:val="21"/>
                <w:lang w:val="en-US" w:eastAsia="zh-CN"/>
              </w:rPr>
            </w:pPr>
            <w:r>
              <w:rPr>
                <w:rFonts w:hint="eastAsia" w:cs="宋体"/>
                <w:color w:val="auto"/>
                <w:szCs w:val="21"/>
                <w:lang w:val="en-US" w:eastAsia="zh-CN"/>
              </w:rPr>
              <w:t>/</w:t>
            </w:r>
          </w:p>
        </w:tc>
      </w:tr>
      <w:tr w14:paraId="5496DA4C">
        <w:trPr>
          <w:trHeight w:val="497" w:hRule="atLeast"/>
          <w:jc w:val="center"/>
        </w:trPr>
        <w:tc>
          <w:tcPr>
            <w:tcW w:w="817" w:type="dxa"/>
            <w:noWrap w:val="0"/>
            <w:tcMar>
              <w:top w:w="16" w:type="dxa"/>
              <w:left w:w="16" w:type="dxa"/>
              <w:right w:w="16" w:type="dxa"/>
            </w:tcMar>
            <w:vAlign w:val="center"/>
          </w:tcPr>
          <w:p w14:paraId="30FFBD77">
            <w:pPr>
              <w:keepNext w:val="0"/>
              <w:keepLines w:val="0"/>
              <w:suppressLineNumbers w:val="0"/>
              <w:adjustRightInd w:val="0"/>
              <w:snapToGrid w:val="0"/>
              <w:spacing w:before="0" w:beforeAutospacing="0" w:after="0" w:afterAutospacing="0"/>
              <w:ind w:left="0" w:leftChars="0" w:right="0" w:rightChars="0"/>
              <w:jc w:val="center"/>
              <w:rPr>
                <w:rFonts w:hint="eastAsia" w:cs="宋体"/>
                <w:color w:val="auto"/>
                <w:kern w:val="2"/>
                <w:sz w:val="21"/>
                <w:szCs w:val="21"/>
                <w:lang w:val="en-US" w:eastAsia="zh-CN" w:bidi="ar-SA"/>
              </w:rPr>
            </w:pPr>
            <w:r>
              <w:rPr>
                <w:rFonts w:hint="eastAsia" w:cs="宋体"/>
                <w:color w:val="auto"/>
                <w:szCs w:val="21"/>
              </w:rPr>
              <w:t>是否开工建设</w:t>
            </w:r>
          </w:p>
        </w:tc>
        <w:tc>
          <w:tcPr>
            <w:tcW w:w="2981" w:type="dxa"/>
            <w:noWrap w:val="0"/>
            <w:vAlign w:val="center"/>
          </w:tcPr>
          <w:p w14:paraId="70624DFB">
            <w:pPr>
              <w:keepNext w:val="0"/>
              <w:keepLines w:val="0"/>
              <w:suppressLineNumbers w:val="0"/>
              <w:adjustRightInd w:val="0"/>
              <w:snapToGrid w:val="0"/>
              <w:spacing w:before="0" w:beforeAutospacing="0" w:after="0" w:afterAutospacing="0"/>
              <w:ind w:left="0" w:right="0"/>
              <w:rPr>
                <w:rFonts w:hint="default" w:cs="宋体"/>
                <w:color w:val="auto"/>
                <w:szCs w:val="21"/>
              </w:rPr>
            </w:pPr>
            <w:r>
              <w:rPr>
                <w:rFonts w:hint="eastAsia" w:cs="宋体"/>
                <w:color w:val="auto"/>
                <w:szCs w:val="21"/>
              </w:rPr>
              <w:t>☑否</w:t>
            </w:r>
          </w:p>
          <w:p w14:paraId="3805922E">
            <w:pPr>
              <w:keepNext w:val="0"/>
              <w:keepLines w:val="0"/>
              <w:suppressLineNumbers w:val="0"/>
              <w:adjustRightInd w:val="0"/>
              <w:snapToGrid w:val="0"/>
              <w:spacing w:before="0" w:beforeAutospacing="0" w:after="0" w:afterAutospacing="0"/>
              <w:ind w:left="0" w:leftChars="0" w:right="0" w:rightChars="0"/>
              <w:rPr>
                <w:rFonts w:hint="eastAsia" w:eastAsia="宋体" w:cs="宋体"/>
                <w:color w:val="auto"/>
                <w:kern w:val="2"/>
                <w:sz w:val="21"/>
                <w:szCs w:val="21"/>
                <w:lang w:val="en-US" w:eastAsia="zh-CN" w:bidi="ar-SA"/>
              </w:rPr>
            </w:pPr>
            <w:r>
              <w:rPr>
                <w:rFonts w:hint="eastAsia" w:cs="宋体"/>
                <w:color w:val="auto"/>
                <w:szCs w:val="21"/>
              </w:rPr>
              <w:t>□是：</w:t>
            </w:r>
          </w:p>
        </w:tc>
        <w:tc>
          <w:tcPr>
            <w:tcW w:w="2200" w:type="dxa"/>
            <w:noWrap w:val="0"/>
            <w:tcMar>
              <w:top w:w="16" w:type="dxa"/>
              <w:left w:w="16" w:type="dxa"/>
              <w:right w:w="16" w:type="dxa"/>
            </w:tcMar>
            <w:vAlign w:val="center"/>
          </w:tcPr>
          <w:p w14:paraId="7A5535C1">
            <w:pPr>
              <w:keepNext w:val="0"/>
              <w:keepLines w:val="0"/>
              <w:suppressLineNumbers w:val="0"/>
              <w:adjustRightInd w:val="0"/>
              <w:snapToGrid w:val="0"/>
              <w:spacing w:before="0" w:beforeAutospacing="0" w:after="0" w:afterAutospacing="0"/>
              <w:ind w:left="0" w:right="0"/>
              <w:jc w:val="center"/>
              <w:rPr>
                <w:rFonts w:hint="default" w:cs="宋体"/>
                <w:color w:val="auto"/>
                <w:spacing w:val="-6"/>
                <w:szCs w:val="21"/>
              </w:rPr>
            </w:pPr>
            <w:r>
              <w:rPr>
                <w:rFonts w:hint="eastAsia" w:cs="宋体"/>
                <w:color w:val="auto"/>
                <w:spacing w:val="-6"/>
                <w:szCs w:val="21"/>
              </w:rPr>
              <w:t>用地（用海）</w:t>
            </w:r>
          </w:p>
          <w:p w14:paraId="6A7CC69D">
            <w:pPr>
              <w:keepNext w:val="0"/>
              <w:keepLines w:val="0"/>
              <w:suppressLineNumbers w:val="0"/>
              <w:adjustRightInd w:val="0"/>
              <w:snapToGrid w:val="0"/>
              <w:spacing w:before="0" w:beforeAutospacing="0" w:after="0" w:afterAutospacing="0"/>
              <w:ind w:left="0" w:leftChars="0" w:right="0" w:rightChars="0"/>
              <w:jc w:val="center"/>
              <w:rPr>
                <w:rFonts w:hint="eastAsia" w:cs="宋体"/>
                <w:color w:val="auto"/>
                <w:kern w:val="2"/>
                <w:sz w:val="21"/>
                <w:szCs w:val="21"/>
                <w:lang w:val="en-US" w:eastAsia="zh-CN" w:bidi="ar-SA"/>
              </w:rPr>
            </w:pPr>
            <w:r>
              <w:rPr>
                <w:rFonts w:hint="eastAsia" w:cs="宋体"/>
                <w:color w:val="auto"/>
                <w:spacing w:val="-6"/>
                <w:szCs w:val="21"/>
              </w:rPr>
              <w:t>面积（</w:t>
            </w:r>
            <w:r>
              <w:rPr>
                <w:rFonts w:hint="default" w:cs="宋体"/>
                <w:color w:val="auto"/>
                <w:spacing w:val="-6"/>
                <w:szCs w:val="21"/>
              </w:rPr>
              <w:t>m</w:t>
            </w:r>
            <w:r>
              <w:rPr>
                <w:rFonts w:hint="default" w:cs="宋体"/>
                <w:color w:val="auto"/>
                <w:spacing w:val="-6"/>
                <w:szCs w:val="21"/>
                <w:vertAlign w:val="superscript"/>
              </w:rPr>
              <w:t>2</w:t>
            </w:r>
            <w:r>
              <w:rPr>
                <w:rFonts w:hint="eastAsia" w:cs="宋体"/>
                <w:color w:val="auto"/>
                <w:spacing w:val="-6"/>
                <w:szCs w:val="21"/>
              </w:rPr>
              <w:t>）</w:t>
            </w:r>
          </w:p>
        </w:tc>
        <w:tc>
          <w:tcPr>
            <w:tcW w:w="2872" w:type="dxa"/>
            <w:noWrap w:val="0"/>
            <w:vAlign w:val="center"/>
          </w:tcPr>
          <w:p w14:paraId="1DEE2411">
            <w:pPr>
              <w:keepNext w:val="0"/>
              <w:keepLines w:val="0"/>
              <w:suppressLineNumbers w:val="0"/>
              <w:adjustRightInd w:val="0"/>
              <w:snapToGrid w:val="0"/>
              <w:spacing w:before="0" w:beforeAutospacing="0" w:after="0" w:afterAutospacing="0"/>
              <w:ind w:left="0" w:leftChars="0" w:right="0" w:rightChars="0"/>
              <w:jc w:val="center"/>
              <w:rPr>
                <w:rFonts w:hint="default" w:cs="宋体"/>
                <w:color w:val="auto"/>
                <w:kern w:val="2"/>
                <w:sz w:val="21"/>
                <w:szCs w:val="21"/>
                <w:lang w:val="en-US" w:eastAsia="zh-CN" w:bidi="ar-SA"/>
              </w:rPr>
            </w:pPr>
            <w:r>
              <w:rPr>
                <w:rFonts w:hint="eastAsia" w:cs="宋体"/>
                <w:color w:val="auto"/>
                <w:szCs w:val="21"/>
                <w:lang w:val="en-US" w:eastAsia="zh-CN"/>
              </w:rPr>
              <w:t>19442</w:t>
            </w:r>
          </w:p>
        </w:tc>
      </w:tr>
      <w:tr w14:paraId="3A583BAB">
        <w:tblPrEx>
          <w:tblCellMar>
            <w:top w:w="0" w:type="dxa"/>
            <w:left w:w="108" w:type="dxa"/>
            <w:bottom w:w="0" w:type="dxa"/>
            <w:right w:w="108" w:type="dxa"/>
          </w:tblCellMar>
        </w:tblPrEx>
        <w:trPr>
          <w:trHeight w:val="1021" w:hRule="atLeast"/>
          <w:jc w:val="center"/>
        </w:trPr>
        <w:tc>
          <w:tcPr>
            <w:tcW w:w="817" w:type="dxa"/>
            <w:noWrap w:val="0"/>
            <w:vAlign w:val="center"/>
          </w:tcPr>
          <w:p w14:paraId="61E736EE">
            <w:pPr>
              <w:autoSpaceDE w:val="0"/>
              <w:autoSpaceDN w:val="0"/>
              <w:adjustRightInd w:val="0"/>
              <w:snapToGrid w:val="0"/>
              <w:jc w:val="center"/>
              <w:rPr>
                <w:rFonts w:ascii="宋体" w:hAnsi="宋体" w:cs="宋体"/>
                <w:color w:val="auto"/>
                <w:kern w:val="0"/>
                <w:szCs w:val="21"/>
              </w:rPr>
            </w:pPr>
            <w:r>
              <w:rPr>
                <w:rFonts w:hint="eastAsia" w:ascii="宋体" w:hAnsi="宋体" w:cs="宋体"/>
                <w:color w:val="auto"/>
                <w:kern w:val="0"/>
                <w:szCs w:val="21"/>
              </w:rPr>
              <w:t>专项评价设置情况</w:t>
            </w:r>
          </w:p>
        </w:tc>
        <w:tc>
          <w:tcPr>
            <w:tcW w:w="8053" w:type="dxa"/>
            <w:gridSpan w:val="3"/>
            <w:noWrap w:val="0"/>
            <w:vAlign w:val="center"/>
          </w:tcPr>
          <w:p w14:paraId="6C1650CB">
            <w:pPr>
              <w:autoSpaceDE w:val="0"/>
              <w:autoSpaceDN w:val="0"/>
              <w:adjustRightInd w:val="0"/>
              <w:snapToGrid w:val="0"/>
              <w:jc w:val="center"/>
              <w:rPr>
                <w:rFonts w:hint="default" w:eastAsia="宋体" w:cs="宋体"/>
                <w:color w:val="auto"/>
                <w:kern w:val="0"/>
                <w:szCs w:val="21"/>
                <w:lang w:val="en-US" w:eastAsia="zh-CN"/>
              </w:rPr>
            </w:pPr>
            <w:r>
              <w:rPr>
                <w:rFonts w:hint="eastAsia" w:cs="宋体"/>
                <w:color w:val="auto"/>
                <w:kern w:val="0"/>
                <w:szCs w:val="21"/>
                <w:lang w:val="en-US" w:eastAsia="zh-CN"/>
              </w:rPr>
              <w:t>无</w:t>
            </w:r>
          </w:p>
        </w:tc>
      </w:tr>
      <w:tr w14:paraId="22A095D7">
        <w:tblPrEx>
          <w:tblCellMar>
            <w:top w:w="0" w:type="dxa"/>
            <w:left w:w="108" w:type="dxa"/>
            <w:bottom w:w="0" w:type="dxa"/>
            <w:right w:w="108" w:type="dxa"/>
          </w:tblCellMar>
        </w:tblPrEx>
        <w:trPr>
          <w:trHeight w:val="2167" w:hRule="atLeast"/>
          <w:jc w:val="center"/>
        </w:trPr>
        <w:tc>
          <w:tcPr>
            <w:tcW w:w="817" w:type="dxa"/>
            <w:noWrap w:val="0"/>
            <w:vAlign w:val="center"/>
          </w:tcPr>
          <w:p w14:paraId="57B92C11">
            <w:pPr>
              <w:autoSpaceDE w:val="0"/>
              <w:autoSpaceDN w:val="0"/>
              <w:adjustRightInd w:val="0"/>
              <w:snapToGrid w:val="0"/>
              <w:jc w:val="center"/>
              <w:rPr>
                <w:rFonts w:hint="eastAsia" w:ascii="宋体" w:hAnsi="宋体" w:cs="宋体"/>
                <w:color w:val="auto"/>
                <w:kern w:val="0"/>
                <w:szCs w:val="21"/>
              </w:rPr>
            </w:pPr>
            <w:r>
              <w:rPr>
                <w:rFonts w:hint="eastAsia" w:ascii="宋体" w:hAnsi="宋体" w:cs="宋体"/>
                <w:color w:val="auto"/>
                <w:szCs w:val="21"/>
              </w:rPr>
              <w:t>规划情况</w:t>
            </w:r>
          </w:p>
        </w:tc>
        <w:tc>
          <w:tcPr>
            <w:tcW w:w="8053" w:type="dxa"/>
            <w:gridSpan w:val="3"/>
            <w:noWrap w:val="0"/>
            <w:vAlign w:val="center"/>
          </w:tcPr>
          <w:p w14:paraId="333E7AF2">
            <w:pPr>
              <w:keepNext w:val="0"/>
              <w:keepLines w:val="0"/>
              <w:pageBreakBefore w:val="0"/>
              <w:kinsoku/>
              <w:wordWrap/>
              <w:overflowPunct/>
              <w:topLinePunct w:val="0"/>
              <w:autoSpaceDE w:val="0"/>
              <w:autoSpaceDN w:val="0"/>
              <w:bidi w:val="0"/>
              <w:adjustRightInd w:val="0"/>
              <w:snapToGrid w:val="0"/>
              <w:spacing w:line="360" w:lineRule="auto"/>
              <w:textAlignment w:val="auto"/>
              <w:rPr>
                <w:rFonts w:hint="eastAsia"/>
                <w:b w:val="0"/>
                <w:bCs/>
                <w:color w:val="auto"/>
                <w:szCs w:val="21"/>
              </w:rPr>
            </w:pPr>
            <w:r>
              <w:rPr>
                <w:b w:val="0"/>
                <w:bCs/>
                <w:color w:val="auto"/>
                <w:szCs w:val="21"/>
              </w:rPr>
              <w:t>规划文件1：《涟水县经济开发区控制性详细规划》</w:t>
            </w:r>
          </w:p>
          <w:p w14:paraId="467B886E">
            <w:pPr>
              <w:pStyle w:val="5"/>
              <w:keepNext w:val="0"/>
              <w:keepLines w:val="0"/>
              <w:pageBreakBefore w:val="0"/>
              <w:kinsoku/>
              <w:wordWrap/>
              <w:overflowPunct/>
              <w:topLinePunct w:val="0"/>
              <w:bidi w:val="0"/>
              <w:snapToGrid w:val="0"/>
              <w:textAlignment w:val="auto"/>
              <w:rPr>
                <w:rFonts w:hint="eastAsia"/>
                <w:b w:val="0"/>
                <w:bCs/>
                <w:color w:val="auto"/>
                <w:kern w:val="2"/>
                <w:sz w:val="21"/>
                <w:szCs w:val="21"/>
                <w:lang w:val="en-US" w:eastAsia="zh-CN"/>
              </w:rPr>
            </w:pPr>
            <w:r>
              <w:rPr>
                <w:b w:val="0"/>
                <w:bCs/>
                <w:color w:val="auto"/>
                <w:kern w:val="2"/>
                <w:sz w:val="21"/>
                <w:szCs w:val="21"/>
                <w:lang w:val="en-US" w:eastAsia="zh-CN"/>
              </w:rPr>
              <w:t>批准机关及文号</w:t>
            </w:r>
            <w:r>
              <w:rPr>
                <w:rFonts w:hint="eastAsia"/>
                <w:b w:val="0"/>
                <w:bCs/>
                <w:color w:val="auto"/>
                <w:kern w:val="2"/>
                <w:sz w:val="21"/>
                <w:szCs w:val="21"/>
                <w:lang w:val="en-US" w:eastAsia="zh-CN"/>
              </w:rPr>
              <w:t>：</w:t>
            </w:r>
            <w:r>
              <w:rPr>
                <w:b w:val="0"/>
                <w:bCs/>
                <w:color w:val="auto"/>
                <w:kern w:val="2"/>
                <w:sz w:val="21"/>
                <w:szCs w:val="21"/>
                <w:lang w:val="en-US" w:eastAsia="zh-CN"/>
              </w:rPr>
              <w:t>涟水县人民政府、涟政复</w:t>
            </w:r>
            <w:r>
              <w:rPr>
                <w:rFonts w:hint="eastAsia"/>
                <w:b w:val="0"/>
                <w:bCs/>
                <w:color w:val="auto"/>
                <w:kern w:val="2"/>
                <w:sz w:val="21"/>
                <w:szCs w:val="21"/>
                <w:lang w:val="en-US" w:eastAsia="zh-CN"/>
              </w:rPr>
              <w:t>〔2007〕50号</w:t>
            </w:r>
          </w:p>
          <w:p w14:paraId="4AC4E8F6">
            <w:pPr>
              <w:keepNext w:val="0"/>
              <w:keepLines w:val="0"/>
              <w:pageBreakBefore w:val="0"/>
              <w:kinsoku/>
              <w:wordWrap/>
              <w:overflowPunct/>
              <w:topLinePunct w:val="0"/>
              <w:autoSpaceDE w:val="0"/>
              <w:autoSpaceDN w:val="0"/>
              <w:bidi w:val="0"/>
              <w:adjustRightInd w:val="0"/>
              <w:snapToGrid w:val="0"/>
              <w:spacing w:line="360" w:lineRule="auto"/>
              <w:textAlignment w:val="auto"/>
              <w:rPr>
                <w:b w:val="0"/>
                <w:bCs/>
                <w:color w:val="auto"/>
                <w:szCs w:val="21"/>
              </w:rPr>
            </w:pPr>
            <w:r>
              <w:rPr>
                <w:b w:val="0"/>
                <w:bCs/>
                <w:color w:val="auto"/>
                <w:szCs w:val="21"/>
              </w:rPr>
              <w:t>规划文件2：《涟水县城市总体规划（2013-2020）》</w:t>
            </w:r>
          </w:p>
          <w:p w14:paraId="49A237BB">
            <w:pPr>
              <w:keepNext w:val="0"/>
              <w:keepLines w:val="0"/>
              <w:pageBreakBefore w:val="0"/>
              <w:kinsoku/>
              <w:wordWrap/>
              <w:overflowPunct/>
              <w:topLinePunct w:val="0"/>
              <w:autoSpaceDE w:val="0"/>
              <w:autoSpaceDN w:val="0"/>
              <w:bidi w:val="0"/>
              <w:adjustRightInd w:val="0"/>
              <w:snapToGrid w:val="0"/>
              <w:spacing w:line="360" w:lineRule="auto"/>
              <w:textAlignment w:val="auto"/>
              <w:rPr>
                <w:b w:val="0"/>
                <w:bCs/>
                <w:color w:val="auto"/>
                <w:szCs w:val="21"/>
              </w:rPr>
            </w:pPr>
            <w:r>
              <w:rPr>
                <w:b w:val="0"/>
                <w:bCs/>
                <w:color w:val="auto"/>
                <w:szCs w:val="21"/>
              </w:rPr>
              <w:t>批准机关及文号</w:t>
            </w:r>
            <w:r>
              <w:rPr>
                <w:rFonts w:hint="eastAsia"/>
                <w:b w:val="0"/>
                <w:bCs/>
                <w:color w:val="auto"/>
                <w:szCs w:val="21"/>
                <w:lang w:eastAsia="zh-CN"/>
              </w:rPr>
              <w:t>：</w:t>
            </w:r>
            <w:r>
              <w:rPr>
                <w:b w:val="0"/>
                <w:bCs/>
                <w:color w:val="auto"/>
                <w:szCs w:val="21"/>
              </w:rPr>
              <w:t>淮安市人民政府、淮政复</w:t>
            </w:r>
            <w:r>
              <w:rPr>
                <w:rFonts w:hint="eastAsia"/>
                <w:b w:val="0"/>
                <w:bCs/>
                <w:color w:val="auto"/>
                <w:szCs w:val="21"/>
                <w:lang w:eastAsia="zh-CN"/>
              </w:rPr>
              <w:t>〔2016〕15号</w:t>
            </w:r>
          </w:p>
          <w:p w14:paraId="43A31240">
            <w:pPr>
              <w:keepNext w:val="0"/>
              <w:keepLines w:val="0"/>
              <w:pageBreakBefore w:val="0"/>
              <w:kinsoku/>
              <w:wordWrap/>
              <w:overflowPunct/>
              <w:topLinePunct w:val="0"/>
              <w:autoSpaceDE w:val="0"/>
              <w:autoSpaceDN w:val="0"/>
              <w:bidi w:val="0"/>
              <w:adjustRightInd w:val="0"/>
              <w:snapToGrid w:val="0"/>
              <w:jc w:val="both"/>
              <w:textAlignment w:val="auto"/>
              <w:rPr>
                <w:rFonts w:hint="eastAsia" w:ascii="Times New Roman" w:hAnsi="Times New Roman" w:eastAsia="宋体" w:cs="宋体"/>
                <w:color w:val="auto"/>
                <w:kern w:val="0"/>
                <w:sz w:val="21"/>
                <w:szCs w:val="21"/>
                <w:lang w:val="en-US" w:eastAsia="zh-CN"/>
              </w:rPr>
            </w:pPr>
            <w:r>
              <w:rPr>
                <w:rFonts w:hint="eastAsia"/>
                <w:b w:val="0"/>
                <w:bCs/>
                <w:color w:val="auto"/>
                <w:szCs w:val="21"/>
              </w:rPr>
              <w:t>规划文件3：《江苏涟水经济开发区开发建设规划（2022</w:t>
            </w:r>
            <w:r>
              <w:rPr>
                <w:rFonts w:hint="eastAsia"/>
                <w:b w:val="0"/>
                <w:bCs/>
                <w:color w:val="auto"/>
                <w:szCs w:val="21"/>
                <w:lang w:eastAsia="zh-CN"/>
              </w:rPr>
              <w:t>—</w:t>
            </w:r>
            <w:r>
              <w:rPr>
                <w:rFonts w:hint="eastAsia"/>
                <w:b w:val="0"/>
                <w:bCs/>
                <w:color w:val="auto"/>
                <w:szCs w:val="21"/>
              </w:rPr>
              <w:t>2035年）》</w:t>
            </w:r>
          </w:p>
        </w:tc>
      </w:tr>
      <w:tr w14:paraId="2BDF94CB">
        <w:tblPrEx>
          <w:tblCellMar>
            <w:top w:w="0" w:type="dxa"/>
            <w:left w:w="108" w:type="dxa"/>
            <w:bottom w:w="0" w:type="dxa"/>
            <w:right w:w="108" w:type="dxa"/>
          </w:tblCellMar>
        </w:tblPrEx>
        <w:trPr>
          <w:trHeight w:val="1021" w:hRule="atLeast"/>
          <w:jc w:val="center"/>
        </w:trPr>
        <w:tc>
          <w:tcPr>
            <w:tcW w:w="817" w:type="dxa"/>
            <w:noWrap w:val="0"/>
            <w:vAlign w:val="center"/>
          </w:tcPr>
          <w:p w14:paraId="192E5B9A">
            <w:pPr>
              <w:adjustRightInd w:val="0"/>
              <w:snapToGrid w:val="0"/>
              <w:jc w:val="center"/>
              <w:rPr>
                <w:rFonts w:ascii="宋体" w:hAnsi="宋体" w:cs="宋体"/>
                <w:color w:val="auto"/>
                <w:szCs w:val="21"/>
              </w:rPr>
            </w:pPr>
            <w:r>
              <w:rPr>
                <w:rFonts w:hint="eastAsia" w:ascii="宋体" w:hAnsi="宋体" w:cs="宋体"/>
                <w:color w:val="auto"/>
                <w:szCs w:val="21"/>
              </w:rPr>
              <w:t>规划环境影响</w:t>
            </w:r>
          </w:p>
          <w:p w14:paraId="07F497A5">
            <w:pPr>
              <w:adjustRightInd w:val="0"/>
              <w:snapToGrid w:val="0"/>
              <w:jc w:val="center"/>
              <w:rPr>
                <w:rFonts w:hint="eastAsia" w:ascii="宋体" w:hAnsi="宋体" w:cs="宋体"/>
                <w:color w:val="auto"/>
                <w:kern w:val="0"/>
                <w:szCs w:val="21"/>
              </w:rPr>
            </w:pPr>
            <w:r>
              <w:rPr>
                <w:rFonts w:hint="eastAsia" w:ascii="宋体" w:hAnsi="宋体" w:cs="宋体"/>
                <w:color w:val="auto"/>
                <w:szCs w:val="21"/>
              </w:rPr>
              <w:t>评价情况</w:t>
            </w:r>
          </w:p>
        </w:tc>
        <w:tc>
          <w:tcPr>
            <w:tcW w:w="8053" w:type="dxa"/>
            <w:gridSpan w:val="3"/>
            <w:noWrap w:val="0"/>
            <w:vAlign w:val="center"/>
          </w:tcPr>
          <w:p w14:paraId="3C1E8256">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cs="宋体"/>
                <w:color w:val="auto"/>
                <w:kern w:val="0"/>
                <w:szCs w:val="21"/>
              </w:rPr>
            </w:pPr>
            <w:r>
              <w:rPr>
                <w:rFonts w:hint="eastAsia" w:cs="宋体"/>
                <w:color w:val="auto"/>
                <w:kern w:val="0"/>
                <w:szCs w:val="21"/>
              </w:rPr>
              <w:t>规划环评文件名称：《江苏涟水经济开发区环境影响报告书》</w:t>
            </w:r>
          </w:p>
          <w:p w14:paraId="112BE98C">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cs="宋体"/>
                <w:color w:val="auto"/>
                <w:kern w:val="0"/>
                <w:szCs w:val="21"/>
              </w:rPr>
            </w:pPr>
            <w:r>
              <w:rPr>
                <w:rFonts w:hint="eastAsia" w:cs="宋体"/>
                <w:color w:val="auto"/>
                <w:kern w:val="0"/>
                <w:szCs w:val="21"/>
              </w:rPr>
              <w:t>审查机关：</w:t>
            </w:r>
            <w:r>
              <w:rPr>
                <w:rFonts w:hint="eastAsia" w:cs="宋体"/>
                <w:color w:val="auto"/>
                <w:kern w:val="0"/>
                <w:szCs w:val="21"/>
                <w:lang w:val="en-US" w:eastAsia="zh-CN"/>
              </w:rPr>
              <w:t>原</w:t>
            </w:r>
            <w:r>
              <w:rPr>
                <w:rFonts w:hint="eastAsia" w:cs="宋体"/>
                <w:color w:val="auto"/>
                <w:kern w:val="0"/>
                <w:szCs w:val="21"/>
              </w:rPr>
              <w:t>江苏省环境保护厅</w:t>
            </w:r>
          </w:p>
          <w:p w14:paraId="2E626EC5">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cs="宋体"/>
                <w:color w:val="auto"/>
                <w:kern w:val="0"/>
                <w:szCs w:val="21"/>
              </w:rPr>
            </w:pPr>
            <w:r>
              <w:rPr>
                <w:rFonts w:hint="eastAsia" w:cs="宋体"/>
                <w:color w:val="auto"/>
                <w:kern w:val="0"/>
                <w:szCs w:val="21"/>
              </w:rPr>
              <w:t>审查文件名称及文号：《关于对江苏涟水经济开发区环境影响报告书的批复》（苏环管〔2007〕173号）</w:t>
            </w:r>
          </w:p>
          <w:p w14:paraId="6E1F5E27">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cs="宋体"/>
                <w:color w:val="auto"/>
                <w:kern w:val="0"/>
                <w:szCs w:val="21"/>
              </w:rPr>
            </w:pPr>
            <w:r>
              <w:rPr>
                <w:rFonts w:hint="eastAsia" w:cs="宋体"/>
                <w:color w:val="auto"/>
                <w:kern w:val="0"/>
                <w:szCs w:val="21"/>
              </w:rPr>
              <w:t>规划环评文件名称：《江苏涟水经济开发区片区规划环境影响跟踪评价报告书》</w:t>
            </w:r>
          </w:p>
          <w:p w14:paraId="6FA24A88">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cs="宋体"/>
                <w:color w:val="auto"/>
                <w:kern w:val="0"/>
                <w:szCs w:val="21"/>
              </w:rPr>
            </w:pPr>
            <w:r>
              <w:rPr>
                <w:rFonts w:hint="eastAsia" w:cs="宋体"/>
                <w:color w:val="auto"/>
                <w:kern w:val="0"/>
                <w:szCs w:val="21"/>
              </w:rPr>
              <w:t>审查机关：</w:t>
            </w:r>
            <w:r>
              <w:rPr>
                <w:rFonts w:hint="eastAsia" w:cs="宋体"/>
                <w:color w:val="auto"/>
                <w:kern w:val="0"/>
                <w:szCs w:val="21"/>
                <w:lang w:val="en-US" w:eastAsia="zh-CN"/>
              </w:rPr>
              <w:t>原</w:t>
            </w:r>
            <w:r>
              <w:rPr>
                <w:rFonts w:hint="eastAsia" w:cs="宋体"/>
                <w:color w:val="auto"/>
                <w:kern w:val="0"/>
                <w:szCs w:val="21"/>
              </w:rPr>
              <w:t>江苏省环境保护厅</w:t>
            </w:r>
          </w:p>
          <w:p w14:paraId="0248D768">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cs="宋体"/>
                <w:color w:val="auto"/>
                <w:kern w:val="0"/>
                <w:szCs w:val="21"/>
              </w:rPr>
            </w:pPr>
            <w:r>
              <w:rPr>
                <w:rFonts w:hint="eastAsia" w:cs="宋体"/>
                <w:color w:val="auto"/>
                <w:kern w:val="0"/>
                <w:szCs w:val="21"/>
              </w:rPr>
              <w:t>审查文件名称及文号：《关于对江苏涟水经济开发区片区规划环境影响跟踪评价报告书的审核意见》（苏环审〔2015〕51号）</w:t>
            </w:r>
          </w:p>
          <w:p w14:paraId="75152D9C">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eastAsia="宋体" w:cs="宋体"/>
                <w:color w:val="auto"/>
                <w:kern w:val="0"/>
                <w:szCs w:val="21"/>
              </w:rPr>
            </w:pPr>
            <w:r>
              <w:rPr>
                <w:rFonts w:hint="eastAsia" w:eastAsia="宋体" w:cs="宋体"/>
                <w:color w:val="auto"/>
                <w:kern w:val="0"/>
                <w:szCs w:val="21"/>
              </w:rPr>
              <w:t>规划环评文件名称：《江苏涟水经济开发区开发建设规划</w:t>
            </w:r>
            <w:r>
              <w:rPr>
                <w:rFonts w:hint="eastAsia" w:eastAsia="宋体" w:cs="宋体"/>
                <w:color w:val="auto"/>
                <w:kern w:val="0"/>
                <w:szCs w:val="21"/>
                <w:lang w:eastAsia="zh-CN"/>
              </w:rPr>
              <w:t>（</w:t>
            </w:r>
            <w:r>
              <w:rPr>
                <w:rFonts w:hint="eastAsia" w:eastAsia="宋体" w:cs="宋体"/>
                <w:color w:val="auto"/>
                <w:kern w:val="0"/>
                <w:szCs w:val="21"/>
                <w:lang w:val="en-US" w:eastAsia="zh-CN"/>
              </w:rPr>
              <w:t>2022-2035</w:t>
            </w:r>
            <w:r>
              <w:rPr>
                <w:rFonts w:hint="eastAsia" w:eastAsia="宋体" w:cs="宋体"/>
                <w:color w:val="auto"/>
                <w:kern w:val="0"/>
                <w:szCs w:val="21"/>
                <w:lang w:eastAsia="zh-CN"/>
              </w:rPr>
              <w:t>）</w:t>
            </w:r>
            <w:r>
              <w:rPr>
                <w:rFonts w:hint="eastAsia" w:eastAsia="宋体" w:cs="宋体"/>
                <w:color w:val="auto"/>
                <w:kern w:val="0"/>
                <w:szCs w:val="21"/>
              </w:rPr>
              <w:t>环境影响报告书》</w:t>
            </w:r>
          </w:p>
          <w:p w14:paraId="274A77B7">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eastAsia="宋体" w:cs="宋体"/>
                <w:color w:val="auto"/>
                <w:kern w:val="0"/>
                <w:szCs w:val="21"/>
              </w:rPr>
            </w:pPr>
            <w:r>
              <w:rPr>
                <w:rFonts w:hint="eastAsia" w:cs="宋体"/>
                <w:color w:val="auto"/>
                <w:kern w:val="0"/>
                <w:szCs w:val="21"/>
                <w:lang w:val="en-US" w:eastAsia="zh-CN"/>
              </w:rPr>
              <w:t>召集</w:t>
            </w:r>
            <w:r>
              <w:rPr>
                <w:rFonts w:hint="eastAsia" w:eastAsia="宋体" w:cs="宋体"/>
                <w:color w:val="auto"/>
                <w:kern w:val="0"/>
                <w:szCs w:val="21"/>
              </w:rPr>
              <w:t>审查机关：江苏省环境保护厅</w:t>
            </w:r>
          </w:p>
          <w:p w14:paraId="4E913066">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color w:val="auto"/>
                <w:lang w:val="en-US" w:eastAsia="zh-CN"/>
              </w:rPr>
            </w:pPr>
            <w:r>
              <w:rPr>
                <w:rFonts w:hint="eastAsia" w:eastAsia="宋体" w:cs="宋体"/>
                <w:color w:val="auto"/>
                <w:kern w:val="0"/>
                <w:szCs w:val="21"/>
              </w:rPr>
              <w:t>审查文件名称及文号：《</w:t>
            </w:r>
            <w:r>
              <w:rPr>
                <w:rFonts w:hint="eastAsia" w:eastAsia="宋体" w:cs="宋体"/>
                <w:color w:val="auto"/>
                <w:kern w:val="0"/>
                <w:szCs w:val="21"/>
                <w:lang w:val="en-US" w:eastAsia="zh-CN"/>
              </w:rPr>
              <w:t>关于江苏涟水经济开发区开发建设规划（2022</w:t>
            </w:r>
            <w:r>
              <w:rPr>
                <w:rFonts w:hint="eastAsia" w:cs="宋体"/>
                <w:color w:val="auto"/>
                <w:kern w:val="0"/>
                <w:szCs w:val="21"/>
                <w:lang w:val="en-US" w:eastAsia="zh-CN"/>
              </w:rPr>
              <w:t>—</w:t>
            </w:r>
            <w:r>
              <w:rPr>
                <w:rFonts w:hint="eastAsia" w:eastAsia="宋体" w:cs="宋体"/>
                <w:color w:val="auto"/>
                <w:kern w:val="0"/>
                <w:szCs w:val="21"/>
                <w:lang w:val="en-US" w:eastAsia="zh-CN"/>
              </w:rPr>
              <w:t>2035年）环境影响报告书的审查意见</w:t>
            </w:r>
            <w:r>
              <w:rPr>
                <w:rFonts w:hint="eastAsia" w:eastAsia="宋体" w:cs="宋体"/>
                <w:color w:val="auto"/>
                <w:kern w:val="0"/>
                <w:szCs w:val="21"/>
              </w:rPr>
              <w:t>》（苏环</w:t>
            </w:r>
            <w:r>
              <w:rPr>
                <w:rFonts w:hint="eastAsia" w:eastAsia="宋体" w:cs="宋体"/>
                <w:color w:val="auto"/>
                <w:kern w:val="0"/>
                <w:szCs w:val="21"/>
                <w:lang w:val="en-US" w:eastAsia="zh-CN"/>
              </w:rPr>
              <w:t>审</w:t>
            </w:r>
            <w:r>
              <w:rPr>
                <w:rFonts w:hint="eastAsia" w:eastAsia="宋体" w:cs="宋体"/>
                <w:color w:val="auto"/>
                <w:kern w:val="0"/>
                <w:szCs w:val="21"/>
              </w:rPr>
              <w:t>〔20</w:t>
            </w:r>
            <w:r>
              <w:rPr>
                <w:rFonts w:hint="eastAsia" w:eastAsia="宋体" w:cs="宋体"/>
                <w:color w:val="auto"/>
                <w:kern w:val="0"/>
                <w:szCs w:val="21"/>
                <w:lang w:val="en-US" w:eastAsia="zh-CN"/>
              </w:rPr>
              <w:t>23</w:t>
            </w:r>
            <w:r>
              <w:rPr>
                <w:rFonts w:hint="eastAsia" w:eastAsia="宋体" w:cs="宋体"/>
                <w:color w:val="auto"/>
                <w:kern w:val="0"/>
                <w:szCs w:val="21"/>
              </w:rPr>
              <w:t>〕</w:t>
            </w:r>
            <w:r>
              <w:rPr>
                <w:rFonts w:hint="eastAsia" w:eastAsia="宋体" w:cs="宋体"/>
                <w:color w:val="auto"/>
                <w:kern w:val="0"/>
                <w:szCs w:val="21"/>
                <w:lang w:val="en-US" w:eastAsia="zh-CN"/>
              </w:rPr>
              <w:t>81</w:t>
            </w:r>
            <w:r>
              <w:rPr>
                <w:rFonts w:hint="eastAsia" w:eastAsia="宋体" w:cs="宋体"/>
                <w:color w:val="auto"/>
                <w:kern w:val="0"/>
                <w:szCs w:val="21"/>
              </w:rPr>
              <w:t>号）</w:t>
            </w:r>
          </w:p>
        </w:tc>
      </w:tr>
      <w:tr w14:paraId="651D7B94">
        <w:tblPrEx>
          <w:tblCellMar>
            <w:top w:w="0" w:type="dxa"/>
            <w:left w:w="108" w:type="dxa"/>
            <w:bottom w:w="0" w:type="dxa"/>
            <w:right w:w="108" w:type="dxa"/>
          </w:tblCellMar>
        </w:tblPrEx>
        <w:trPr>
          <w:trHeight w:val="1021" w:hRule="atLeast"/>
          <w:jc w:val="center"/>
        </w:trPr>
        <w:tc>
          <w:tcPr>
            <w:tcW w:w="817" w:type="dxa"/>
            <w:noWrap w:val="0"/>
            <w:vAlign w:val="center"/>
          </w:tcPr>
          <w:p w14:paraId="75D3D319">
            <w:pPr>
              <w:autoSpaceDE w:val="0"/>
              <w:autoSpaceDN w:val="0"/>
              <w:adjustRightInd w:val="0"/>
              <w:snapToGrid w:val="0"/>
              <w:jc w:val="center"/>
              <w:rPr>
                <w:rFonts w:ascii="宋体" w:hAnsi="宋体" w:cs="宋体"/>
                <w:color w:val="auto"/>
                <w:kern w:val="0"/>
                <w:szCs w:val="21"/>
              </w:rPr>
            </w:pPr>
            <w:r>
              <w:rPr>
                <w:rFonts w:hint="eastAsia" w:ascii="宋体" w:hAnsi="宋体" w:cs="宋体"/>
                <w:color w:val="auto"/>
                <w:kern w:val="0"/>
                <w:szCs w:val="21"/>
              </w:rPr>
              <w:t>规划及规划环境影响评价符合性分析</w:t>
            </w:r>
          </w:p>
        </w:tc>
        <w:tc>
          <w:tcPr>
            <w:tcW w:w="8053" w:type="dxa"/>
            <w:gridSpan w:val="3"/>
            <w:noWrap w:val="0"/>
            <w:vAlign w:val="center"/>
          </w:tcPr>
          <w:p w14:paraId="72082295">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rPr>
              <w:t>涟水县工业园成立于2000年6月</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总体规划面积7.16km</w:t>
            </w:r>
            <w:r>
              <w:rPr>
                <w:rFonts w:hint="eastAsia" w:ascii="Times New Roman" w:hAnsi="Times New Roman" w:eastAsia="宋体" w:cs="Times New Roman"/>
                <w:color w:val="auto"/>
                <w:sz w:val="24"/>
                <w:szCs w:val="24"/>
                <w:vertAlign w:val="superscript"/>
              </w:rPr>
              <w:t>2</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其中启动区面积4.86km</w:t>
            </w:r>
            <w:r>
              <w:rPr>
                <w:rFonts w:hint="eastAsia" w:ascii="Times New Roman" w:hAnsi="Times New Roman" w:eastAsia="宋体" w:cs="Times New Roman"/>
                <w:color w:val="auto"/>
                <w:sz w:val="24"/>
                <w:szCs w:val="24"/>
                <w:vertAlign w:val="superscript"/>
              </w:rPr>
              <w:t>2</w:t>
            </w:r>
            <w:r>
              <w:rPr>
                <w:rFonts w:hint="eastAsia" w:ascii="Times New Roman" w:hAnsi="Times New Roman" w:eastAsia="宋体" w:cs="Times New Roman"/>
                <w:color w:val="auto"/>
                <w:sz w:val="24"/>
                <w:szCs w:val="24"/>
              </w:rPr>
              <w:t>。后根据《关于进一步核减现有各类开发区（园区）规划面积的函》（苏国土资传发</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2004</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28号文）</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涟水工业园规划面积由7.16km</w:t>
            </w:r>
            <w:r>
              <w:rPr>
                <w:rFonts w:hint="eastAsia" w:ascii="Times New Roman" w:hAnsi="Times New Roman" w:eastAsia="宋体" w:cs="Times New Roman"/>
                <w:color w:val="auto"/>
                <w:sz w:val="24"/>
                <w:szCs w:val="24"/>
                <w:vertAlign w:val="superscript"/>
              </w:rPr>
              <w:t>2</w:t>
            </w:r>
            <w:r>
              <w:rPr>
                <w:rFonts w:hint="eastAsia" w:ascii="Times New Roman" w:hAnsi="Times New Roman" w:eastAsia="宋体" w:cs="Times New Roman"/>
                <w:color w:val="auto"/>
                <w:sz w:val="24"/>
                <w:szCs w:val="24"/>
              </w:rPr>
              <w:t>核减为2.5km</w:t>
            </w:r>
            <w:r>
              <w:rPr>
                <w:rFonts w:hint="eastAsia" w:ascii="Times New Roman" w:hAnsi="Times New Roman" w:eastAsia="宋体" w:cs="Times New Roman"/>
                <w:color w:val="auto"/>
                <w:sz w:val="24"/>
                <w:szCs w:val="24"/>
                <w:vertAlign w:val="superscript"/>
              </w:rPr>
              <w:t>2</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东至广陵路</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南至淮河路南335米处</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西至盐河</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北至炎黄大道。2006年5月</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根据</w:t>
            </w:r>
            <w:r>
              <w:rPr>
                <w:rFonts w:hint="eastAsia" w:cs="Times New Roman"/>
                <w:color w:val="auto"/>
                <w:sz w:val="24"/>
                <w:szCs w:val="24"/>
                <w:lang w:eastAsia="zh-CN"/>
              </w:rPr>
              <w:t>国家发展改革委〔2006〕37号</w:t>
            </w:r>
            <w:r>
              <w:rPr>
                <w:rFonts w:hint="eastAsia" w:ascii="Times New Roman" w:hAnsi="Times New Roman" w:eastAsia="宋体" w:cs="Times New Roman"/>
                <w:color w:val="auto"/>
                <w:sz w:val="24"/>
                <w:szCs w:val="24"/>
              </w:rPr>
              <w:t>公告</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涟水工业园被确定为省级开发区</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同时更名为江苏涟水经济开发区。《江苏涟水经济开发区环境影响报告书》于2007年8月14日通过原江苏省环境保护厅审批</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2015年5月涟水经济开发区管委会委托江苏省环科咨询股份有限公司编制了《江苏涟水经济开发区片区规划环境影响跟踪评价报告书》</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并获得省厅《关于对江苏涟水经济开发区片区规划环境影响跟踪评价报告书的审核意见》（苏环审</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2015</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51号）</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2022年，管委会委托编制了《江苏涟水经济开发区开发建设规划（2022</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2035年）》，</w:t>
            </w:r>
            <w:r>
              <w:rPr>
                <w:rFonts w:hint="eastAsia" w:ascii="Times New Roman" w:hAnsi="Times New Roman" w:eastAsia="宋体" w:cs="Times New Roman"/>
                <w:color w:val="auto"/>
                <w:sz w:val="24"/>
                <w:szCs w:val="24"/>
              </w:rPr>
              <w:t>《江苏涟水经济开发区开发建设规划</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2022-2035</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环境影响报告书》</w:t>
            </w:r>
            <w:r>
              <w:rPr>
                <w:rFonts w:hint="eastAsia" w:ascii="Times New Roman" w:hAnsi="Times New Roman" w:eastAsia="宋体" w:cs="Times New Roman"/>
                <w:color w:val="auto"/>
                <w:sz w:val="24"/>
                <w:szCs w:val="24"/>
                <w:lang w:val="en-US" w:eastAsia="zh-CN"/>
              </w:rPr>
              <w:t>于2023年10月获得了省生态环境厅《关于江苏涟水经济开发区开发建设规划（2022</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2035年）环境影响报告书的审查意见》（苏环审〔2023〕81号）。</w:t>
            </w:r>
          </w:p>
          <w:p w14:paraId="6A4EB5F2">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szCs w:val="24"/>
              </w:rPr>
            </w:pPr>
            <w:r>
              <w:rPr>
                <w:rFonts w:hint="eastAsia" w:cs="Times New Roman"/>
                <w:color w:val="auto"/>
                <w:sz w:val="24"/>
                <w:szCs w:val="24"/>
                <w:lang w:eastAsia="zh-CN"/>
              </w:rPr>
              <w:t>1.</w:t>
            </w:r>
            <w:r>
              <w:rPr>
                <w:rFonts w:hint="eastAsia" w:ascii="Times New Roman" w:hAnsi="Times New Roman" w:eastAsia="宋体" w:cs="Times New Roman"/>
                <w:color w:val="auto"/>
                <w:sz w:val="24"/>
                <w:szCs w:val="24"/>
              </w:rPr>
              <w:t>规划面积及规划范围</w:t>
            </w:r>
          </w:p>
          <w:p w14:paraId="282C3920">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江苏涟水经济开发区开发建设规划（2022</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2035年）</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规划总面积14.28km</w:t>
            </w:r>
            <w:r>
              <w:rPr>
                <w:rFonts w:hint="eastAsia" w:ascii="Times New Roman" w:hAnsi="Times New Roman" w:eastAsia="宋体" w:cs="Times New Roman"/>
                <w:color w:val="auto"/>
                <w:sz w:val="24"/>
                <w:szCs w:val="24"/>
                <w:vertAlign w:val="superscript"/>
              </w:rPr>
              <w:t>2</w:t>
            </w:r>
            <w:r>
              <w:rPr>
                <w:rFonts w:hint="eastAsia" w:ascii="Times New Roman" w:hAnsi="Times New Roman" w:eastAsia="宋体" w:cs="Times New Roman"/>
                <w:color w:val="auto"/>
                <w:sz w:val="24"/>
                <w:szCs w:val="24"/>
                <w:vertAlign w:val="baseline"/>
                <w:lang w:eastAsia="zh-CN"/>
              </w:rPr>
              <w:t>，</w:t>
            </w:r>
            <w:r>
              <w:rPr>
                <w:rFonts w:hint="eastAsia" w:ascii="Times New Roman" w:hAnsi="Times New Roman" w:eastAsia="宋体" w:cs="Times New Roman"/>
                <w:color w:val="auto"/>
                <w:sz w:val="24"/>
                <w:szCs w:val="24"/>
              </w:rPr>
              <w:t>以盐河为界</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分为东区2.9km</w:t>
            </w:r>
            <w:r>
              <w:rPr>
                <w:rFonts w:hint="eastAsia" w:ascii="Times New Roman" w:hAnsi="Times New Roman" w:eastAsia="宋体" w:cs="Times New Roman"/>
                <w:color w:val="auto"/>
                <w:sz w:val="24"/>
                <w:szCs w:val="24"/>
                <w:vertAlign w:val="superscript"/>
              </w:rPr>
              <w:t>2</w:t>
            </w:r>
            <w:r>
              <w:rPr>
                <w:rFonts w:hint="eastAsia" w:ascii="Times New Roman" w:hAnsi="Times New Roman" w:eastAsia="宋体" w:cs="Times New Roman"/>
                <w:color w:val="auto"/>
                <w:sz w:val="24"/>
                <w:szCs w:val="24"/>
              </w:rPr>
              <w:t>和西区11.38km</w:t>
            </w:r>
            <w:r>
              <w:rPr>
                <w:rFonts w:hint="eastAsia" w:ascii="Times New Roman" w:hAnsi="Times New Roman" w:eastAsia="宋体" w:cs="Times New Roman"/>
                <w:color w:val="auto"/>
                <w:sz w:val="24"/>
                <w:szCs w:val="24"/>
                <w:vertAlign w:val="superscript"/>
              </w:rPr>
              <w:t>2</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规划范围为北达北环路</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西临连淮扬镇铁路</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南至清涟大道、渠北西路</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东跨盐河至广陵路合围区域</w:t>
            </w:r>
            <w:r>
              <w:rPr>
                <w:rFonts w:hint="eastAsia" w:ascii="Times New Roman" w:hAnsi="Times New Roman" w:eastAsia="宋体" w:cs="Times New Roman"/>
                <w:color w:val="auto"/>
                <w:sz w:val="24"/>
                <w:szCs w:val="24"/>
                <w:lang w:eastAsia="zh-CN"/>
              </w:rPr>
              <w:t>。</w:t>
            </w:r>
          </w:p>
          <w:p w14:paraId="5C53FE19">
            <w:pPr>
              <w:autoSpaceDE w:val="0"/>
              <w:autoSpaceDN w:val="0"/>
              <w:adjustRightInd w:val="0"/>
              <w:snapToGrid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本项目位于江苏省淮安市涟水</w:t>
            </w:r>
            <w:r>
              <w:rPr>
                <w:rFonts w:hint="eastAsia" w:ascii="Times New Roman" w:hAnsi="Times New Roman" w:eastAsia="宋体" w:cs="Times New Roman"/>
                <w:color w:val="auto"/>
                <w:sz w:val="24"/>
                <w:szCs w:val="24"/>
                <w:lang w:eastAsia="zh-CN"/>
              </w:rPr>
              <w:t>经济开发区</w:t>
            </w:r>
            <w:r>
              <w:rPr>
                <w:rFonts w:hint="eastAsia" w:cs="Times New Roman"/>
                <w:color w:val="auto"/>
                <w:sz w:val="24"/>
                <w:szCs w:val="24"/>
                <w:lang w:eastAsia="zh-CN"/>
              </w:rPr>
              <w:t>兴旺路28号（兴旺路北侧、高坚科技东侧）</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rPr>
              <w:t>属于规划范围内的西区。</w:t>
            </w:r>
          </w:p>
          <w:p w14:paraId="2E9B250C">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eastAsia="zh-CN"/>
              </w:rPr>
              <w:t>2.</w:t>
            </w:r>
            <w:r>
              <w:rPr>
                <w:rFonts w:hint="eastAsia" w:ascii="Times New Roman" w:hAnsi="Times New Roman" w:eastAsia="宋体" w:cs="Times New Roman"/>
                <w:color w:val="auto"/>
                <w:sz w:val="24"/>
                <w:szCs w:val="24"/>
                <w:lang w:val="en-US" w:eastAsia="zh-CN"/>
              </w:rPr>
              <w:t>产业定位和布局</w:t>
            </w:r>
          </w:p>
          <w:p w14:paraId="770EF6C2">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高质量推动“项目引建、产业转型、园区升级”三大突破</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培育构建装备制造、纺织服装、电子信息、绿色食品4大主导产业</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实施“腾笼换鸟”</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优化产业布局</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形成四大主导产业组团</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即装备制造产业组团、纺织服装产业组团、电子信息产业组团、绿色食品产业组团。本次规划将保留符合上一轮规划产业定位的企业。随着新一轮规划的实施</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开发区将不再鼓励引进建材、医药等行业企业。</w:t>
            </w:r>
          </w:p>
          <w:p w14:paraId="7F23A30C">
            <w:pPr>
              <w:autoSpaceDE w:val="0"/>
              <w:autoSpaceDN w:val="0"/>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表1-</w:t>
            </w:r>
            <w:r>
              <w:rPr>
                <w:rFonts w:hint="eastAsia" w:cs="Times New Roman"/>
                <w:b/>
                <w:bCs/>
                <w:color w:val="auto"/>
                <w:sz w:val="21"/>
                <w:szCs w:val="21"/>
                <w:lang w:val="en-US" w:eastAsia="zh-CN"/>
              </w:rPr>
              <w:t xml:space="preserve">1  </w:t>
            </w:r>
            <w:r>
              <w:rPr>
                <w:rFonts w:hint="eastAsia" w:ascii="Times New Roman" w:hAnsi="Times New Roman" w:eastAsia="宋体" w:cs="Times New Roman"/>
                <w:b/>
                <w:bCs/>
                <w:color w:val="auto"/>
                <w:sz w:val="21"/>
                <w:szCs w:val="21"/>
                <w:lang w:val="en-US" w:eastAsia="zh-CN"/>
              </w:rPr>
              <w:t>江苏涟水经济开发区生态环境准入清单</w:t>
            </w:r>
          </w:p>
          <w:tbl>
            <w:tblPr>
              <w:tblStyle w:val="2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0"/>
              <w:gridCol w:w="730"/>
              <w:gridCol w:w="6704"/>
            </w:tblGrid>
            <w:tr w14:paraId="08684196">
              <w:tc>
                <w:tcPr>
                  <w:tcW w:w="721" w:type="pct"/>
                  <w:gridSpan w:val="2"/>
                  <w:tcBorders>
                    <w:tl2br w:val="nil"/>
                    <w:tr2bl w:val="nil"/>
                  </w:tcBorders>
                  <w:noWrap w:val="0"/>
                  <w:vAlign w:val="center"/>
                </w:tcPr>
                <w:p w14:paraId="58BA422C">
                  <w:pPr>
                    <w:adjustRightInd w:val="0"/>
                    <w:snapToGrid w:val="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类别</w:t>
                  </w:r>
                </w:p>
              </w:tc>
              <w:tc>
                <w:tcPr>
                  <w:tcW w:w="4278" w:type="pct"/>
                  <w:tcBorders>
                    <w:tl2br w:val="nil"/>
                    <w:tr2bl w:val="nil"/>
                  </w:tcBorders>
                  <w:noWrap w:val="0"/>
                  <w:vAlign w:val="center"/>
                </w:tcPr>
                <w:p w14:paraId="68D85B63">
                  <w:pPr>
                    <w:adjustRightInd w:val="0"/>
                    <w:snapToGrid w:val="0"/>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环境准入条件</w:t>
                  </w:r>
                </w:p>
              </w:tc>
            </w:tr>
            <w:tr w14:paraId="3A914817">
              <w:tc>
                <w:tcPr>
                  <w:tcW w:w="255" w:type="pct"/>
                  <w:vMerge w:val="restart"/>
                  <w:tcBorders>
                    <w:tl2br w:val="nil"/>
                    <w:tr2bl w:val="nil"/>
                  </w:tcBorders>
                  <w:noWrap w:val="0"/>
                  <w:vAlign w:val="center"/>
                </w:tcPr>
                <w:p w14:paraId="01E55053">
                  <w:pPr>
                    <w:adjustRightInd w:val="0"/>
                    <w:snapToGrid w:val="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产业准入</w:t>
                  </w:r>
                </w:p>
              </w:tc>
              <w:tc>
                <w:tcPr>
                  <w:tcW w:w="465" w:type="pct"/>
                  <w:tcBorders>
                    <w:tl2br w:val="nil"/>
                    <w:tr2bl w:val="nil"/>
                  </w:tcBorders>
                  <w:noWrap w:val="0"/>
                  <w:vAlign w:val="center"/>
                </w:tcPr>
                <w:p w14:paraId="5B01DC54">
                  <w:pPr>
                    <w:adjustRightInd w:val="0"/>
                    <w:snapToGrid w:val="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主导产业</w:t>
                  </w:r>
                </w:p>
              </w:tc>
              <w:tc>
                <w:tcPr>
                  <w:tcW w:w="4278" w:type="pct"/>
                  <w:tcBorders>
                    <w:tl2br w:val="nil"/>
                    <w:tr2bl w:val="nil"/>
                  </w:tcBorders>
                  <w:noWrap w:val="0"/>
                  <w:vAlign w:val="center"/>
                </w:tcPr>
                <w:p w14:paraId="7D74D9A4">
                  <w:pPr>
                    <w:keepNext w:val="0"/>
                    <w:keepLines w:val="0"/>
                    <w:widowControl/>
                    <w:suppressLineNumbers w:val="0"/>
                    <w:jc w:val="both"/>
                    <w:textAlignment w:val="center"/>
                    <w:rPr>
                      <w:rFonts w:hint="eastAsia" w:ascii="Times New Roman" w:hAnsi="Times New Roman" w:eastAsia="宋体" w:cs="Arial"/>
                      <w:b w:val="0"/>
                      <w:bCs w:val="0"/>
                      <w:i w:val="0"/>
                      <w:iCs w:val="0"/>
                      <w:color w:val="auto"/>
                      <w:kern w:val="2"/>
                      <w:sz w:val="21"/>
                      <w:szCs w:val="21"/>
                      <w:u w:val="none"/>
                      <w:lang w:val="en-US" w:eastAsia="zh-CN" w:bidi="ar-SA"/>
                    </w:rPr>
                  </w:pPr>
                  <w:r>
                    <w:rPr>
                      <w:rStyle w:val="53"/>
                      <w:rFonts w:ascii="Times New Roman" w:hAnsi="Times New Roman" w:eastAsia="宋体"/>
                      <w:b w:val="0"/>
                      <w:bCs w:val="0"/>
                      <w:color w:val="auto"/>
                      <w:sz w:val="21"/>
                      <w:szCs w:val="21"/>
                      <w:lang w:val="en-US" w:eastAsia="zh-CN" w:bidi="ar"/>
                    </w:rPr>
                    <w:t>主要发展装备制造、纺织服装、电子信息、绿色食品4大主导产业。保留符合上一轮规划产业定位的企业</w:t>
                  </w:r>
                  <w:r>
                    <w:rPr>
                      <w:rStyle w:val="53"/>
                      <w:rFonts w:hint="eastAsia" w:ascii="Times New Roman" w:hAnsi="Times New Roman" w:eastAsia="宋体"/>
                      <w:b w:val="0"/>
                      <w:bCs w:val="0"/>
                      <w:color w:val="auto"/>
                      <w:sz w:val="21"/>
                      <w:szCs w:val="21"/>
                      <w:lang w:val="en-US" w:eastAsia="zh-CN" w:bidi="ar"/>
                    </w:rPr>
                    <w:t>，</w:t>
                  </w:r>
                  <w:r>
                    <w:rPr>
                      <w:rStyle w:val="53"/>
                      <w:rFonts w:ascii="Times New Roman" w:hAnsi="Times New Roman" w:eastAsia="宋体"/>
                      <w:b w:val="0"/>
                      <w:bCs w:val="0"/>
                      <w:color w:val="auto"/>
                      <w:sz w:val="21"/>
                      <w:szCs w:val="21"/>
                      <w:lang w:val="en-US" w:eastAsia="zh-CN" w:bidi="ar"/>
                    </w:rPr>
                    <w:t>禁止引进建材、医药等行业企业。</w:t>
                  </w:r>
                </w:p>
              </w:tc>
            </w:tr>
            <w:tr w14:paraId="3F354909">
              <w:tc>
                <w:tcPr>
                  <w:tcW w:w="255" w:type="pct"/>
                  <w:vMerge w:val="continue"/>
                  <w:tcBorders>
                    <w:tl2br w:val="nil"/>
                    <w:tr2bl w:val="nil"/>
                  </w:tcBorders>
                  <w:noWrap w:val="0"/>
                  <w:vAlign w:val="center"/>
                </w:tcPr>
                <w:p w14:paraId="626B837B">
                  <w:pPr>
                    <w:adjustRightInd w:val="0"/>
                    <w:snapToGrid w:val="0"/>
                    <w:jc w:val="center"/>
                    <w:rPr>
                      <w:rFonts w:hint="eastAsia" w:ascii="Times New Roman" w:hAnsi="Times New Roman" w:eastAsia="宋体" w:cs="Times New Roman"/>
                      <w:b w:val="0"/>
                      <w:bCs w:val="0"/>
                      <w:color w:val="auto"/>
                      <w:sz w:val="21"/>
                      <w:szCs w:val="21"/>
                      <w:vertAlign w:val="baseline"/>
                      <w:lang w:val="en-US" w:eastAsia="zh-CN"/>
                    </w:rPr>
                  </w:pPr>
                </w:p>
              </w:tc>
              <w:tc>
                <w:tcPr>
                  <w:tcW w:w="465" w:type="pct"/>
                  <w:vMerge w:val="restart"/>
                  <w:tcBorders>
                    <w:tl2br w:val="nil"/>
                    <w:tr2bl w:val="nil"/>
                  </w:tcBorders>
                  <w:noWrap w:val="0"/>
                  <w:vAlign w:val="center"/>
                </w:tcPr>
                <w:p w14:paraId="5DC01D80">
                  <w:pPr>
                    <w:adjustRightInd w:val="0"/>
                    <w:snapToGrid w:val="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禁止引入</w:t>
                  </w:r>
                </w:p>
              </w:tc>
              <w:tc>
                <w:tcPr>
                  <w:tcW w:w="4278" w:type="pct"/>
                  <w:tcBorders>
                    <w:tl2br w:val="nil"/>
                    <w:tr2bl w:val="nil"/>
                  </w:tcBorders>
                  <w:noWrap w:val="0"/>
                  <w:vAlign w:val="center"/>
                </w:tcPr>
                <w:p w14:paraId="5AAA84BE">
                  <w:pPr>
                    <w:keepNext w:val="0"/>
                    <w:keepLines w:val="0"/>
                    <w:widowControl/>
                    <w:suppressLineNumbers w:val="0"/>
                    <w:jc w:val="both"/>
                    <w:textAlignment w:val="center"/>
                    <w:rPr>
                      <w:rFonts w:hint="eastAsia" w:ascii="Times New Roman" w:hAnsi="Times New Roman" w:eastAsia="宋体" w:cs="Arial"/>
                      <w:b w:val="0"/>
                      <w:bCs w:val="0"/>
                      <w:i w:val="0"/>
                      <w:iCs w:val="0"/>
                      <w:color w:val="auto"/>
                      <w:kern w:val="2"/>
                      <w:sz w:val="21"/>
                      <w:szCs w:val="21"/>
                      <w:u w:val="none"/>
                      <w:lang w:val="en-US" w:eastAsia="zh-CN" w:bidi="ar-SA"/>
                    </w:rPr>
                  </w:pPr>
                  <w:r>
                    <w:rPr>
                      <w:rStyle w:val="53"/>
                      <w:rFonts w:hint="eastAsia"/>
                      <w:b w:val="0"/>
                      <w:bCs w:val="0"/>
                      <w:color w:val="auto"/>
                      <w:sz w:val="21"/>
                      <w:szCs w:val="21"/>
                      <w:lang w:val="en-US" w:eastAsia="zh-CN" w:bidi="ar"/>
                    </w:rPr>
                    <w:t>1.</w:t>
                  </w:r>
                  <w:r>
                    <w:rPr>
                      <w:rStyle w:val="53"/>
                      <w:rFonts w:ascii="Times New Roman" w:hAnsi="Times New Roman" w:eastAsia="宋体"/>
                      <w:b w:val="0"/>
                      <w:bCs w:val="0"/>
                      <w:color w:val="auto"/>
                      <w:sz w:val="21"/>
                      <w:szCs w:val="21"/>
                      <w:lang w:val="en-US" w:eastAsia="zh-CN" w:bidi="ar"/>
                    </w:rPr>
                    <w:t>含酿造工艺的项目。</w:t>
                  </w:r>
                </w:p>
              </w:tc>
            </w:tr>
            <w:tr w14:paraId="2BE9E4F6">
              <w:tc>
                <w:tcPr>
                  <w:tcW w:w="255" w:type="pct"/>
                  <w:vMerge w:val="continue"/>
                  <w:tcBorders>
                    <w:tl2br w:val="nil"/>
                    <w:tr2bl w:val="nil"/>
                  </w:tcBorders>
                  <w:noWrap w:val="0"/>
                  <w:vAlign w:val="center"/>
                </w:tcPr>
                <w:p w14:paraId="20C8E409">
                  <w:pPr>
                    <w:adjustRightInd w:val="0"/>
                    <w:snapToGrid w:val="0"/>
                    <w:jc w:val="center"/>
                    <w:rPr>
                      <w:rFonts w:hint="eastAsia" w:ascii="Times New Roman" w:hAnsi="Times New Roman" w:eastAsia="宋体" w:cs="Times New Roman"/>
                      <w:b w:val="0"/>
                      <w:bCs w:val="0"/>
                      <w:color w:val="auto"/>
                      <w:sz w:val="21"/>
                      <w:szCs w:val="21"/>
                      <w:vertAlign w:val="baseline"/>
                      <w:lang w:val="en-US" w:eastAsia="zh-CN"/>
                    </w:rPr>
                  </w:pPr>
                </w:p>
              </w:tc>
              <w:tc>
                <w:tcPr>
                  <w:tcW w:w="465" w:type="pct"/>
                  <w:vMerge w:val="continue"/>
                  <w:tcBorders>
                    <w:tl2br w:val="nil"/>
                    <w:tr2bl w:val="nil"/>
                  </w:tcBorders>
                  <w:noWrap w:val="0"/>
                  <w:vAlign w:val="center"/>
                </w:tcPr>
                <w:p w14:paraId="37252802">
                  <w:pPr>
                    <w:adjustRightInd w:val="0"/>
                    <w:snapToGrid w:val="0"/>
                    <w:jc w:val="center"/>
                    <w:rPr>
                      <w:rFonts w:hint="eastAsia" w:ascii="Times New Roman" w:hAnsi="Times New Roman" w:eastAsia="宋体" w:cs="Times New Roman"/>
                      <w:b w:val="0"/>
                      <w:bCs w:val="0"/>
                      <w:color w:val="auto"/>
                      <w:sz w:val="21"/>
                      <w:szCs w:val="21"/>
                      <w:vertAlign w:val="baseline"/>
                      <w:lang w:val="en-US" w:eastAsia="zh-CN"/>
                    </w:rPr>
                  </w:pPr>
                </w:p>
              </w:tc>
              <w:tc>
                <w:tcPr>
                  <w:tcW w:w="4278" w:type="pct"/>
                  <w:tcBorders>
                    <w:tl2br w:val="nil"/>
                    <w:tr2bl w:val="nil"/>
                  </w:tcBorders>
                  <w:noWrap w:val="0"/>
                  <w:vAlign w:val="center"/>
                </w:tcPr>
                <w:p w14:paraId="28F65028">
                  <w:pPr>
                    <w:keepNext w:val="0"/>
                    <w:keepLines w:val="0"/>
                    <w:widowControl/>
                    <w:suppressLineNumbers w:val="0"/>
                    <w:jc w:val="both"/>
                    <w:textAlignment w:val="center"/>
                    <w:rPr>
                      <w:rFonts w:hint="eastAsia" w:ascii="Times New Roman" w:hAnsi="Times New Roman" w:eastAsia="宋体" w:cs="Arial"/>
                      <w:b w:val="0"/>
                      <w:bCs w:val="0"/>
                      <w:i w:val="0"/>
                      <w:iCs w:val="0"/>
                      <w:color w:val="auto"/>
                      <w:kern w:val="2"/>
                      <w:sz w:val="21"/>
                      <w:szCs w:val="21"/>
                      <w:u w:val="none"/>
                      <w:lang w:val="en-US" w:eastAsia="zh-CN" w:bidi="ar-SA"/>
                    </w:rPr>
                  </w:pPr>
                  <w:r>
                    <w:rPr>
                      <w:rStyle w:val="53"/>
                      <w:rFonts w:hint="eastAsia"/>
                      <w:b w:val="0"/>
                      <w:bCs w:val="0"/>
                      <w:color w:val="auto"/>
                      <w:sz w:val="21"/>
                      <w:szCs w:val="21"/>
                      <w:lang w:val="en-US" w:eastAsia="zh-CN" w:bidi="ar"/>
                    </w:rPr>
                    <w:t>2.</w:t>
                  </w:r>
                  <w:r>
                    <w:rPr>
                      <w:rStyle w:val="53"/>
                      <w:rFonts w:ascii="Times New Roman" w:hAnsi="Times New Roman" w:eastAsia="宋体"/>
                      <w:b w:val="0"/>
                      <w:bCs w:val="0"/>
                      <w:color w:val="auto"/>
                      <w:sz w:val="21"/>
                      <w:szCs w:val="21"/>
                      <w:lang w:val="en-US" w:eastAsia="zh-CN" w:bidi="ar"/>
                    </w:rPr>
                    <w:t>使用高VOCs含量的溶剂型涂料、油墨、胶粘剂等项目。</w:t>
                  </w:r>
                </w:p>
              </w:tc>
            </w:tr>
            <w:tr w14:paraId="6ED89BC2">
              <w:tc>
                <w:tcPr>
                  <w:tcW w:w="255" w:type="pct"/>
                  <w:vMerge w:val="continue"/>
                  <w:tcBorders>
                    <w:tl2br w:val="nil"/>
                    <w:tr2bl w:val="nil"/>
                  </w:tcBorders>
                  <w:noWrap w:val="0"/>
                  <w:vAlign w:val="center"/>
                </w:tcPr>
                <w:p w14:paraId="62A38495">
                  <w:pPr>
                    <w:adjustRightInd w:val="0"/>
                    <w:snapToGrid w:val="0"/>
                    <w:jc w:val="center"/>
                    <w:rPr>
                      <w:rFonts w:hint="eastAsia" w:ascii="Times New Roman" w:hAnsi="Times New Roman" w:eastAsia="宋体" w:cs="Times New Roman"/>
                      <w:b w:val="0"/>
                      <w:bCs w:val="0"/>
                      <w:color w:val="auto"/>
                      <w:sz w:val="21"/>
                      <w:szCs w:val="21"/>
                      <w:vertAlign w:val="baseline"/>
                      <w:lang w:val="en-US" w:eastAsia="zh-CN"/>
                    </w:rPr>
                  </w:pPr>
                </w:p>
              </w:tc>
              <w:tc>
                <w:tcPr>
                  <w:tcW w:w="465" w:type="pct"/>
                  <w:vMerge w:val="continue"/>
                  <w:tcBorders>
                    <w:tl2br w:val="nil"/>
                    <w:tr2bl w:val="nil"/>
                  </w:tcBorders>
                  <w:noWrap w:val="0"/>
                  <w:vAlign w:val="center"/>
                </w:tcPr>
                <w:p w14:paraId="4DCC9413">
                  <w:pPr>
                    <w:adjustRightInd w:val="0"/>
                    <w:snapToGrid w:val="0"/>
                    <w:jc w:val="center"/>
                    <w:rPr>
                      <w:rFonts w:hint="eastAsia" w:ascii="Times New Roman" w:hAnsi="Times New Roman" w:eastAsia="宋体" w:cs="Times New Roman"/>
                      <w:b w:val="0"/>
                      <w:bCs w:val="0"/>
                      <w:color w:val="auto"/>
                      <w:sz w:val="21"/>
                      <w:szCs w:val="21"/>
                      <w:vertAlign w:val="baseline"/>
                      <w:lang w:val="en-US" w:eastAsia="zh-CN"/>
                    </w:rPr>
                  </w:pPr>
                </w:p>
              </w:tc>
              <w:tc>
                <w:tcPr>
                  <w:tcW w:w="4278" w:type="pct"/>
                  <w:tcBorders>
                    <w:tl2br w:val="nil"/>
                    <w:tr2bl w:val="nil"/>
                  </w:tcBorders>
                  <w:noWrap w:val="0"/>
                  <w:vAlign w:val="center"/>
                </w:tcPr>
                <w:p w14:paraId="25156D08">
                  <w:pPr>
                    <w:keepNext w:val="0"/>
                    <w:keepLines w:val="0"/>
                    <w:widowControl/>
                    <w:suppressLineNumbers w:val="0"/>
                    <w:jc w:val="both"/>
                    <w:textAlignment w:val="center"/>
                    <w:rPr>
                      <w:rFonts w:hint="eastAsia" w:ascii="Times New Roman" w:hAnsi="Times New Roman" w:eastAsia="宋体" w:cs="Arial"/>
                      <w:b w:val="0"/>
                      <w:bCs w:val="0"/>
                      <w:i w:val="0"/>
                      <w:iCs w:val="0"/>
                      <w:color w:val="auto"/>
                      <w:kern w:val="2"/>
                      <w:sz w:val="21"/>
                      <w:szCs w:val="21"/>
                      <w:u w:val="none"/>
                      <w:lang w:val="en-US" w:eastAsia="zh-CN" w:bidi="ar-SA"/>
                    </w:rPr>
                  </w:pPr>
                  <w:r>
                    <w:rPr>
                      <w:rStyle w:val="53"/>
                      <w:rFonts w:hint="eastAsia"/>
                      <w:b w:val="0"/>
                      <w:bCs w:val="0"/>
                      <w:color w:val="auto"/>
                      <w:sz w:val="21"/>
                      <w:szCs w:val="21"/>
                      <w:lang w:val="en-US" w:eastAsia="zh-CN" w:bidi="ar"/>
                    </w:rPr>
                    <w:t>3.</w:t>
                  </w:r>
                  <w:r>
                    <w:rPr>
                      <w:rStyle w:val="53"/>
                      <w:rFonts w:ascii="Times New Roman" w:hAnsi="Times New Roman" w:eastAsia="宋体"/>
                      <w:b w:val="0"/>
                      <w:bCs w:val="0"/>
                      <w:color w:val="auto"/>
                      <w:sz w:val="21"/>
                      <w:szCs w:val="21"/>
                      <w:lang w:val="en-US" w:eastAsia="zh-CN" w:bidi="ar"/>
                    </w:rPr>
                    <w:t>新建排放铅、汞、铬、镉和类金属砷的项目。</w:t>
                  </w:r>
                </w:p>
              </w:tc>
            </w:tr>
            <w:tr w14:paraId="41D46DEA">
              <w:tc>
                <w:tcPr>
                  <w:tcW w:w="255" w:type="pct"/>
                  <w:vMerge w:val="continue"/>
                  <w:tcBorders>
                    <w:tl2br w:val="nil"/>
                    <w:tr2bl w:val="nil"/>
                  </w:tcBorders>
                  <w:noWrap w:val="0"/>
                  <w:vAlign w:val="center"/>
                </w:tcPr>
                <w:p w14:paraId="68B0E1F2">
                  <w:pPr>
                    <w:adjustRightInd w:val="0"/>
                    <w:snapToGrid w:val="0"/>
                    <w:jc w:val="center"/>
                    <w:rPr>
                      <w:rFonts w:hint="eastAsia" w:ascii="Times New Roman" w:hAnsi="Times New Roman" w:eastAsia="宋体" w:cs="Times New Roman"/>
                      <w:b w:val="0"/>
                      <w:bCs w:val="0"/>
                      <w:color w:val="auto"/>
                      <w:sz w:val="21"/>
                      <w:szCs w:val="21"/>
                      <w:vertAlign w:val="baseline"/>
                      <w:lang w:val="en-US" w:eastAsia="zh-CN"/>
                    </w:rPr>
                  </w:pPr>
                </w:p>
              </w:tc>
              <w:tc>
                <w:tcPr>
                  <w:tcW w:w="465" w:type="pct"/>
                  <w:vMerge w:val="continue"/>
                  <w:tcBorders>
                    <w:tl2br w:val="nil"/>
                    <w:tr2bl w:val="nil"/>
                  </w:tcBorders>
                  <w:noWrap w:val="0"/>
                  <w:vAlign w:val="center"/>
                </w:tcPr>
                <w:p w14:paraId="74148ED3">
                  <w:pPr>
                    <w:adjustRightInd w:val="0"/>
                    <w:snapToGrid w:val="0"/>
                    <w:jc w:val="center"/>
                    <w:rPr>
                      <w:rFonts w:hint="eastAsia" w:ascii="Times New Roman" w:hAnsi="Times New Roman" w:eastAsia="宋体" w:cs="Times New Roman"/>
                      <w:b w:val="0"/>
                      <w:bCs w:val="0"/>
                      <w:color w:val="auto"/>
                      <w:sz w:val="21"/>
                      <w:szCs w:val="21"/>
                      <w:vertAlign w:val="baseline"/>
                      <w:lang w:val="en-US" w:eastAsia="zh-CN"/>
                    </w:rPr>
                  </w:pPr>
                </w:p>
              </w:tc>
              <w:tc>
                <w:tcPr>
                  <w:tcW w:w="4278" w:type="pct"/>
                  <w:tcBorders>
                    <w:tl2br w:val="nil"/>
                    <w:tr2bl w:val="nil"/>
                  </w:tcBorders>
                  <w:noWrap w:val="0"/>
                  <w:vAlign w:val="center"/>
                </w:tcPr>
                <w:p w14:paraId="6068EFA5">
                  <w:pPr>
                    <w:keepNext w:val="0"/>
                    <w:keepLines w:val="0"/>
                    <w:widowControl/>
                    <w:suppressLineNumbers w:val="0"/>
                    <w:jc w:val="both"/>
                    <w:textAlignment w:val="center"/>
                    <w:rPr>
                      <w:rFonts w:hint="eastAsia" w:ascii="Times New Roman" w:hAnsi="Times New Roman" w:eastAsia="宋体" w:cs="Arial"/>
                      <w:b w:val="0"/>
                      <w:bCs w:val="0"/>
                      <w:i w:val="0"/>
                      <w:iCs w:val="0"/>
                      <w:color w:val="auto"/>
                      <w:kern w:val="2"/>
                      <w:sz w:val="21"/>
                      <w:szCs w:val="21"/>
                      <w:u w:val="none"/>
                      <w:lang w:val="en-US" w:eastAsia="zh-CN" w:bidi="ar-SA"/>
                    </w:rPr>
                  </w:pPr>
                  <w:r>
                    <w:rPr>
                      <w:rStyle w:val="53"/>
                      <w:rFonts w:hint="eastAsia"/>
                      <w:b w:val="0"/>
                      <w:bCs w:val="0"/>
                      <w:color w:val="auto"/>
                      <w:sz w:val="21"/>
                      <w:szCs w:val="21"/>
                      <w:lang w:val="en-US" w:eastAsia="zh-CN" w:bidi="ar"/>
                    </w:rPr>
                    <w:t>4.</w:t>
                  </w:r>
                  <w:r>
                    <w:rPr>
                      <w:rStyle w:val="53"/>
                      <w:rFonts w:ascii="Times New Roman" w:hAnsi="Times New Roman" w:eastAsia="宋体"/>
                      <w:b w:val="0"/>
                      <w:bCs w:val="0"/>
                      <w:color w:val="auto"/>
                      <w:sz w:val="21"/>
                      <w:szCs w:val="21"/>
                      <w:lang w:val="en-US" w:eastAsia="zh-CN" w:bidi="ar"/>
                    </w:rPr>
                    <w:t>属于《淮河流域水污染防治暂行条例》中禁止的项目。</w:t>
                  </w:r>
                </w:p>
              </w:tc>
            </w:tr>
            <w:tr w14:paraId="6501D4D6">
              <w:trPr>
                <w:trHeight w:val="90" w:hRule="atLeast"/>
              </w:trPr>
              <w:tc>
                <w:tcPr>
                  <w:tcW w:w="255" w:type="pct"/>
                  <w:vMerge w:val="continue"/>
                  <w:tcBorders>
                    <w:tl2br w:val="nil"/>
                    <w:tr2bl w:val="nil"/>
                  </w:tcBorders>
                  <w:noWrap w:val="0"/>
                  <w:vAlign w:val="center"/>
                </w:tcPr>
                <w:p w14:paraId="6B8FB38D">
                  <w:pPr>
                    <w:adjustRightInd w:val="0"/>
                    <w:snapToGrid w:val="0"/>
                    <w:jc w:val="center"/>
                    <w:rPr>
                      <w:rFonts w:hint="eastAsia" w:ascii="Times New Roman" w:hAnsi="Times New Roman" w:eastAsia="宋体" w:cs="Times New Roman"/>
                      <w:b w:val="0"/>
                      <w:bCs w:val="0"/>
                      <w:color w:val="auto"/>
                      <w:sz w:val="21"/>
                      <w:szCs w:val="21"/>
                      <w:vertAlign w:val="baseline"/>
                      <w:lang w:val="en-US" w:eastAsia="zh-CN"/>
                    </w:rPr>
                  </w:pPr>
                </w:p>
              </w:tc>
              <w:tc>
                <w:tcPr>
                  <w:tcW w:w="465" w:type="pct"/>
                  <w:vMerge w:val="continue"/>
                  <w:tcBorders>
                    <w:tl2br w:val="nil"/>
                    <w:tr2bl w:val="nil"/>
                  </w:tcBorders>
                  <w:noWrap w:val="0"/>
                  <w:vAlign w:val="center"/>
                </w:tcPr>
                <w:p w14:paraId="7208EACA">
                  <w:pPr>
                    <w:adjustRightInd w:val="0"/>
                    <w:snapToGrid w:val="0"/>
                    <w:jc w:val="center"/>
                    <w:rPr>
                      <w:rFonts w:hint="eastAsia" w:ascii="Times New Roman" w:hAnsi="Times New Roman" w:eastAsia="宋体" w:cs="Times New Roman"/>
                      <w:b w:val="0"/>
                      <w:bCs w:val="0"/>
                      <w:color w:val="auto"/>
                      <w:sz w:val="21"/>
                      <w:szCs w:val="21"/>
                      <w:vertAlign w:val="baseline"/>
                      <w:lang w:val="en-US" w:eastAsia="zh-CN"/>
                    </w:rPr>
                  </w:pPr>
                </w:p>
              </w:tc>
              <w:tc>
                <w:tcPr>
                  <w:tcW w:w="4278" w:type="pct"/>
                  <w:tcBorders>
                    <w:tl2br w:val="nil"/>
                    <w:tr2bl w:val="nil"/>
                  </w:tcBorders>
                  <w:noWrap w:val="0"/>
                  <w:vAlign w:val="center"/>
                </w:tcPr>
                <w:p w14:paraId="67BE1C16">
                  <w:pPr>
                    <w:keepNext w:val="0"/>
                    <w:keepLines w:val="0"/>
                    <w:widowControl/>
                    <w:suppressLineNumbers w:val="0"/>
                    <w:jc w:val="both"/>
                    <w:textAlignment w:val="center"/>
                    <w:rPr>
                      <w:rFonts w:hint="eastAsia" w:ascii="Times New Roman" w:hAnsi="Times New Roman" w:eastAsia="宋体" w:cs="Arial"/>
                      <w:b w:val="0"/>
                      <w:bCs w:val="0"/>
                      <w:i w:val="0"/>
                      <w:iCs w:val="0"/>
                      <w:color w:val="auto"/>
                      <w:kern w:val="2"/>
                      <w:sz w:val="21"/>
                      <w:szCs w:val="21"/>
                      <w:u w:val="none"/>
                      <w:lang w:val="en-US" w:eastAsia="zh-CN" w:bidi="ar-SA"/>
                    </w:rPr>
                  </w:pPr>
                  <w:r>
                    <w:rPr>
                      <w:rStyle w:val="53"/>
                      <w:rFonts w:hint="eastAsia"/>
                      <w:b w:val="0"/>
                      <w:bCs w:val="0"/>
                      <w:color w:val="auto"/>
                      <w:sz w:val="21"/>
                      <w:szCs w:val="21"/>
                      <w:lang w:val="en-US" w:eastAsia="zh-CN" w:bidi="ar"/>
                    </w:rPr>
                    <w:t>5.</w:t>
                  </w:r>
                  <w:r>
                    <w:rPr>
                      <w:rStyle w:val="53"/>
                      <w:rFonts w:ascii="Times New Roman" w:hAnsi="Times New Roman" w:eastAsia="宋体"/>
                      <w:b w:val="0"/>
                      <w:bCs w:val="0"/>
                      <w:color w:val="auto"/>
                      <w:sz w:val="21"/>
                      <w:szCs w:val="21"/>
                      <w:lang w:val="en-US" w:eastAsia="zh-CN" w:bidi="ar"/>
                    </w:rPr>
                    <w:t>属于《环境保护综合名录》</w:t>
                  </w:r>
                  <w:r>
                    <w:rPr>
                      <w:rStyle w:val="53"/>
                      <w:rFonts w:hint="eastAsia" w:ascii="Times New Roman" w:hAnsi="Times New Roman" w:eastAsia="宋体"/>
                      <w:b w:val="0"/>
                      <w:bCs w:val="0"/>
                      <w:color w:val="auto"/>
                      <w:sz w:val="21"/>
                      <w:szCs w:val="21"/>
                      <w:lang w:val="en-US" w:eastAsia="zh-CN" w:bidi="ar"/>
                    </w:rPr>
                    <w:t>（</w:t>
                  </w:r>
                  <w:r>
                    <w:rPr>
                      <w:rStyle w:val="53"/>
                      <w:rFonts w:ascii="Times New Roman" w:hAnsi="Times New Roman" w:eastAsia="宋体"/>
                      <w:b w:val="0"/>
                      <w:bCs w:val="0"/>
                      <w:color w:val="auto"/>
                      <w:sz w:val="21"/>
                      <w:szCs w:val="21"/>
                      <w:lang w:val="en-US" w:eastAsia="zh-CN" w:bidi="ar"/>
                    </w:rPr>
                    <w:t>2021年版</w:t>
                  </w:r>
                  <w:r>
                    <w:rPr>
                      <w:rStyle w:val="53"/>
                      <w:rFonts w:hint="eastAsia" w:ascii="Times New Roman" w:hAnsi="Times New Roman" w:eastAsia="宋体"/>
                      <w:b w:val="0"/>
                      <w:bCs w:val="0"/>
                      <w:color w:val="auto"/>
                      <w:sz w:val="21"/>
                      <w:szCs w:val="21"/>
                      <w:lang w:val="en-US" w:eastAsia="zh-CN" w:bidi="ar"/>
                    </w:rPr>
                    <w:t>）</w:t>
                  </w:r>
                  <w:r>
                    <w:rPr>
                      <w:rStyle w:val="53"/>
                      <w:rFonts w:ascii="Times New Roman" w:hAnsi="Times New Roman" w:eastAsia="宋体"/>
                      <w:b w:val="0"/>
                      <w:bCs w:val="0"/>
                      <w:color w:val="auto"/>
                      <w:sz w:val="21"/>
                      <w:szCs w:val="21"/>
                      <w:lang w:val="en-US" w:eastAsia="zh-CN" w:bidi="ar"/>
                    </w:rPr>
                    <w:t>中“高污染、高环境风险”产品名录的项目；国家和地方产业政策规定的淘汰类或禁止类的建设项目和工艺。</w:t>
                  </w:r>
                </w:p>
              </w:tc>
            </w:tr>
            <w:tr w14:paraId="4CAD16F5">
              <w:tc>
                <w:tcPr>
                  <w:tcW w:w="255" w:type="pct"/>
                  <w:vMerge w:val="continue"/>
                  <w:tcBorders>
                    <w:tl2br w:val="nil"/>
                    <w:tr2bl w:val="nil"/>
                  </w:tcBorders>
                  <w:noWrap w:val="0"/>
                  <w:vAlign w:val="center"/>
                </w:tcPr>
                <w:p w14:paraId="0F148605">
                  <w:pPr>
                    <w:adjustRightInd w:val="0"/>
                    <w:snapToGrid w:val="0"/>
                    <w:jc w:val="center"/>
                    <w:rPr>
                      <w:rFonts w:hint="eastAsia" w:ascii="Times New Roman" w:hAnsi="Times New Roman" w:eastAsia="宋体" w:cs="Times New Roman"/>
                      <w:b w:val="0"/>
                      <w:bCs w:val="0"/>
                      <w:color w:val="auto"/>
                      <w:sz w:val="21"/>
                      <w:szCs w:val="21"/>
                      <w:vertAlign w:val="baseline"/>
                      <w:lang w:val="en-US" w:eastAsia="zh-CN"/>
                    </w:rPr>
                  </w:pPr>
                </w:p>
              </w:tc>
              <w:tc>
                <w:tcPr>
                  <w:tcW w:w="465" w:type="pct"/>
                  <w:vMerge w:val="restart"/>
                  <w:tcBorders>
                    <w:tl2br w:val="nil"/>
                    <w:tr2bl w:val="nil"/>
                  </w:tcBorders>
                  <w:noWrap w:val="0"/>
                  <w:vAlign w:val="center"/>
                </w:tcPr>
                <w:p w14:paraId="7AC58735">
                  <w:pPr>
                    <w:adjustRightInd w:val="0"/>
                    <w:snapToGrid w:val="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限制引入</w:t>
                  </w:r>
                </w:p>
              </w:tc>
              <w:tc>
                <w:tcPr>
                  <w:tcW w:w="4278" w:type="pct"/>
                  <w:tcBorders>
                    <w:tl2br w:val="nil"/>
                    <w:tr2bl w:val="nil"/>
                  </w:tcBorders>
                  <w:noWrap w:val="0"/>
                  <w:vAlign w:val="center"/>
                </w:tcPr>
                <w:p w14:paraId="3E6CCDF1">
                  <w:pPr>
                    <w:keepNext w:val="0"/>
                    <w:keepLines w:val="0"/>
                    <w:widowControl/>
                    <w:suppressLineNumbers w:val="0"/>
                    <w:jc w:val="both"/>
                    <w:textAlignment w:val="center"/>
                    <w:rPr>
                      <w:rFonts w:hint="eastAsia" w:ascii="Times New Roman" w:hAnsi="Times New Roman" w:eastAsia="宋体" w:cs="Arial"/>
                      <w:b w:val="0"/>
                      <w:bCs w:val="0"/>
                      <w:i w:val="0"/>
                      <w:iCs w:val="0"/>
                      <w:color w:val="auto"/>
                      <w:kern w:val="2"/>
                      <w:sz w:val="21"/>
                      <w:szCs w:val="21"/>
                      <w:u w:val="none"/>
                      <w:lang w:val="en-US" w:eastAsia="zh-CN" w:bidi="ar-SA"/>
                    </w:rPr>
                  </w:pPr>
                  <w:r>
                    <w:rPr>
                      <w:rStyle w:val="53"/>
                      <w:rFonts w:hint="eastAsia"/>
                      <w:b w:val="0"/>
                      <w:bCs w:val="0"/>
                      <w:color w:val="auto"/>
                      <w:sz w:val="21"/>
                      <w:szCs w:val="21"/>
                      <w:lang w:val="en-US" w:eastAsia="zh-CN" w:bidi="ar"/>
                    </w:rPr>
                    <w:t>1.</w:t>
                  </w:r>
                  <w:r>
                    <w:rPr>
                      <w:rStyle w:val="53"/>
                      <w:rFonts w:ascii="Times New Roman" w:hAnsi="Times New Roman" w:eastAsia="宋体"/>
                      <w:b w:val="0"/>
                      <w:bCs w:val="0"/>
                      <w:color w:val="auto"/>
                      <w:sz w:val="21"/>
                      <w:szCs w:val="21"/>
                      <w:lang w:val="en-US" w:eastAsia="zh-CN" w:bidi="ar"/>
                    </w:rPr>
                    <w:t>《产业结构调整指导目录》及修订、《江苏省工业和信息产业结构调整限制淘汰目录和能耗限额》中限制项目。</w:t>
                  </w:r>
                </w:p>
              </w:tc>
            </w:tr>
            <w:tr w14:paraId="754AFDBD">
              <w:tc>
                <w:tcPr>
                  <w:tcW w:w="255" w:type="pct"/>
                  <w:vMerge w:val="continue"/>
                  <w:tcBorders>
                    <w:tl2br w:val="nil"/>
                    <w:tr2bl w:val="nil"/>
                  </w:tcBorders>
                  <w:noWrap w:val="0"/>
                  <w:vAlign w:val="center"/>
                </w:tcPr>
                <w:p w14:paraId="69633DD8">
                  <w:pPr>
                    <w:adjustRightInd w:val="0"/>
                    <w:snapToGrid w:val="0"/>
                    <w:jc w:val="center"/>
                    <w:rPr>
                      <w:rFonts w:hint="eastAsia" w:ascii="Times New Roman" w:hAnsi="Times New Roman" w:eastAsia="宋体" w:cs="Times New Roman"/>
                      <w:b w:val="0"/>
                      <w:bCs w:val="0"/>
                      <w:color w:val="auto"/>
                      <w:sz w:val="21"/>
                      <w:szCs w:val="21"/>
                      <w:vertAlign w:val="baseline"/>
                      <w:lang w:val="en-US" w:eastAsia="zh-CN"/>
                    </w:rPr>
                  </w:pPr>
                </w:p>
              </w:tc>
              <w:tc>
                <w:tcPr>
                  <w:tcW w:w="465" w:type="pct"/>
                  <w:vMerge w:val="continue"/>
                  <w:tcBorders>
                    <w:tl2br w:val="nil"/>
                    <w:tr2bl w:val="nil"/>
                  </w:tcBorders>
                  <w:noWrap w:val="0"/>
                  <w:vAlign w:val="center"/>
                </w:tcPr>
                <w:p w14:paraId="6205F34F">
                  <w:pPr>
                    <w:adjustRightInd w:val="0"/>
                    <w:snapToGrid w:val="0"/>
                    <w:jc w:val="center"/>
                    <w:rPr>
                      <w:rFonts w:hint="eastAsia" w:ascii="Times New Roman" w:hAnsi="Times New Roman" w:eastAsia="宋体" w:cs="Times New Roman"/>
                      <w:b w:val="0"/>
                      <w:bCs w:val="0"/>
                      <w:color w:val="auto"/>
                      <w:sz w:val="21"/>
                      <w:szCs w:val="21"/>
                      <w:vertAlign w:val="baseline"/>
                      <w:lang w:val="en-US" w:eastAsia="zh-CN"/>
                    </w:rPr>
                  </w:pPr>
                </w:p>
              </w:tc>
              <w:tc>
                <w:tcPr>
                  <w:tcW w:w="4278" w:type="pct"/>
                  <w:tcBorders>
                    <w:tl2br w:val="nil"/>
                    <w:tr2bl w:val="nil"/>
                  </w:tcBorders>
                  <w:noWrap w:val="0"/>
                  <w:vAlign w:val="center"/>
                </w:tcPr>
                <w:p w14:paraId="4C9C030F">
                  <w:pPr>
                    <w:keepNext w:val="0"/>
                    <w:keepLines w:val="0"/>
                    <w:widowControl/>
                    <w:suppressLineNumbers w:val="0"/>
                    <w:jc w:val="both"/>
                    <w:textAlignment w:val="center"/>
                    <w:rPr>
                      <w:rFonts w:hint="eastAsia" w:ascii="Times New Roman" w:hAnsi="Times New Roman" w:eastAsia="宋体" w:cs="Arial"/>
                      <w:b w:val="0"/>
                      <w:bCs w:val="0"/>
                      <w:i w:val="0"/>
                      <w:iCs w:val="0"/>
                      <w:color w:val="auto"/>
                      <w:kern w:val="2"/>
                      <w:sz w:val="21"/>
                      <w:szCs w:val="21"/>
                      <w:u w:val="none"/>
                      <w:lang w:val="en-US" w:eastAsia="zh-CN" w:bidi="ar-SA"/>
                    </w:rPr>
                  </w:pPr>
                  <w:r>
                    <w:rPr>
                      <w:rStyle w:val="53"/>
                      <w:rFonts w:hint="eastAsia"/>
                      <w:b w:val="0"/>
                      <w:bCs w:val="0"/>
                      <w:color w:val="auto"/>
                      <w:sz w:val="21"/>
                      <w:szCs w:val="21"/>
                      <w:lang w:val="en-US" w:eastAsia="zh-CN" w:bidi="ar"/>
                    </w:rPr>
                    <w:t>2.</w:t>
                  </w:r>
                  <w:r>
                    <w:rPr>
                      <w:rStyle w:val="53"/>
                      <w:rFonts w:ascii="Times New Roman" w:hAnsi="Times New Roman" w:eastAsia="宋体"/>
                      <w:b w:val="0"/>
                      <w:bCs w:val="0"/>
                      <w:color w:val="auto"/>
                      <w:sz w:val="21"/>
                      <w:szCs w:val="21"/>
                      <w:lang w:val="en-US" w:eastAsia="zh-CN" w:bidi="ar"/>
                    </w:rPr>
                    <w:t>污染治理措施达不到《挥发性有机物</w:t>
                  </w:r>
                  <w:r>
                    <w:rPr>
                      <w:rStyle w:val="53"/>
                      <w:rFonts w:hint="eastAsia" w:ascii="Times New Roman" w:hAnsi="Times New Roman" w:eastAsia="宋体"/>
                      <w:b w:val="0"/>
                      <w:bCs w:val="0"/>
                      <w:color w:val="auto"/>
                      <w:sz w:val="21"/>
                      <w:szCs w:val="21"/>
                      <w:lang w:val="en-US" w:eastAsia="zh-CN" w:bidi="ar"/>
                    </w:rPr>
                    <w:t>（</w:t>
                  </w:r>
                  <w:r>
                    <w:rPr>
                      <w:rStyle w:val="53"/>
                      <w:rFonts w:ascii="Times New Roman" w:hAnsi="Times New Roman" w:eastAsia="宋体"/>
                      <w:b w:val="0"/>
                      <w:bCs w:val="0"/>
                      <w:color w:val="auto"/>
                      <w:sz w:val="21"/>
                      <w:szCs w:val="21"/>
                      <w:lang w:val="en-US" w:eastAsia="zh-CN" w:bidi="ar"/>
                    </w:rPr>
                    <w:t>VOCs</w:t>
                  </w:r>
                  <w:r>
                    <w:rPr>
                      <w:rStyle w:val="53"/>
                      <w:rFonts w:hint="eastAsia" w:ascii="Times New Roman" w:hAnsi="Times New Roman" w:eastAsia="宋体"/>
                      <w:b w:val="0"/>
                      <w:bCs w:val="0"/>
                      <w:color w:val="auto"/>
                      <w:sz w:val="21"/>
                      <w:szCs w:val="21"/>
                      <w:lang w:val="en-US" w:eastAsia="zh-CN" w:bidi="ar"/>
                    </w:rPr>
                    <w:t>）</w:t>
                  </w:r>
                  <w:r>
                    <w:rPr>
                      <w:rStyle w:val="53"/>
                      <w:rFonts w:ascii="Times New Roman" w:hAnsi="Times New Roman" w:eastAsia="宋体"/>
                      <w:b w:val="0"/>
                      <w:bCs w:val="0"/>
                      <w:color w:val="auto"/>
                      <w:sz w:val="21"/>
                      <w:szCs w:val="21"/>
                      <w:lang w:val="en-US" w:eastAsia="zh-CN" w:bidi="ar"/>
                    </w:rPr>
                    <w:t>污染防治技术政策》、</w:t>
                  </w:r>
                  <w:r>
                    <w:rPr>
                      <w:rStyle w:val="53"/>
                      <w:rFonts w:ascii="Times New Roman" w:hAnsi="Times New Roman" w:eastAsia="宋体"/>
                      <w:b w:val="0"/>
                      <w:bCs w:val="0"/>
                      <w:color w:val="auto"/>
                      <w:sz w:val="21"/>
                      <w:szCs w:val="21"/>
                      <w:lang w:val="en-US" w:eastAsia="zh-CN" w:bidi="ar"/>
                    </w:rPr>
                    <w:br w:type="textWrapping"/>
                  </w:r>
                  <w:r>
                    <w:rPr>
                      <w:rStyle w:val="53"/>
                      <w:rFonts w:ascii="Times New Roman" w:hAnsi="Times New Roman" w:eastAsia="宋体"/>
                      <w:b w:val="0"/>
                      <w:bCs w:val="0"/>
                      <w:color w:val="auto"/>
                      <w:sz w:val="21"/>
                      <w:szCs w:val="21"/>
                      <w:lang w:val="en-US" w:eastAsia="zh-CN" w:bidi="ar"/>
                    </w:rPr>
                    <w:t>《江苏省重点行业挥发性有机物污染控制指南》等要求的项目。</w:t>
                  </w:r>
                </w:p>
              </w:tc>
            </w:tr>
            <w:tr w14:paraId="430A8621">
              <w:tc>
                <w:tcPr>
                  <w:tcW w:w="255" w:type="pct"/>
                  <w:vMerge w:val="continue"/>
                  <w:tcBorders>
                    <w:tl2br w:val="nil"/>
                    <w:tr2bl w:val="nil"/>
                  </w:tcBorders>
                  <w:noWrap w:val="0"/>
                  <w:vAlign w:val="center"/>
                </w:tcPr>
                <w:p w14:paraId="5001940E">
                  <w:pPr>
                    <w:adjustRightInd w:val="0"/>
                    <w:snapToGrid w:val="0"/>
                    <w:jc w:val="center"/>
                    <w:rPr>
                      <w:rFonts w:hint="eastAsia" w:ascii="Times New Roman" w:hAnsi="Times New Roman" w:eastAsia="宋体" w:cs="Times New Roman"/>
                      <w:b w:val="0"/>
                      <w:bCs w:val="0"/>
                      <w:color w:val="auto"/>
                      <w:sz w:val="21"/>
                      <w:szCs w:val="21"/>
                      <w:vertAlign w:val="baseline"/>
                      <w:lang w:val="en-US" w:eastAsia="zh-CN"/>
                    </w:rPr>
                  </w:pPr>
                </w:p>
              </w:tc>
              <w:tc>
                <w:tcPr>
                  <w:tcW w:w="465" w:type="pct"/>
                  <w:vMerge w:val="continue"/>
                  <w:tcBorders>
                    <w:tl2br w:val="nil"/>
                    <w:tr2bl w:val="nil"/>
                  </w:tcBorders>
                  <w:noWrap w:val="0"/>
                  <w:vAlign w:val="center"/>
                </w:tcPr>
                <w:p w14:paraId="6EE677BB">
                  <w:pPr>
                    <w:adjustRightInd w:val="0"/>
                    <w:snapToGrid w:val="0"/>
                    <w:jc w:val="center"/>
                    <w:rPr>
                      <w:rFonts w:hint="eastAsia" w:ascii="Times New Roman" w:hAnsi="Times New Roman" w:eastAsia="宋体" w:cs="Times New Roman"/>
                      <w:b w:val="0"/>
                      <w:bCs w:val="0"/>
                      <w:color w:val="auto"/>
                      <w:sz w:val="21"/>
                      <w:szCs w:val="21"/>
                      <w:vertAlign w:val="baseline"/>
                      <w:lang w:val="en-US" w:eastAsia="zh-CN"/>
                    </w:rPr>
                  </w:pPr>
                </w:p>
              </w:tc>
              <w:tc>
                <w:tcPr>
                  <w:tcW w:w="4278" w:type="pct"/>
                  <w:tcBorders>
                    <w:tl2br w:val="nil"/>
                    <w:tr2bl w:val="nil"/>
                  </w:tcBorders>
                  <w:noWrap w:val="0"/>
                  <w:vAlign w:val="center"/>
                </w:tcPr>
                <w:p w14:paraId="4C14103F">
                  <w:pPr>
                    <w:keepNext w:val="0"/>
                    <w:keepLines w:val="0"/>
                    <w:widowControl/>
                    <w:suppressLineNumbers w:val="0"/>
                    <w:jc w:val="both"/>
                    <w:textAlignment w:val="center"/>
                    <w:rPr>
                      <w:rFonts w:hint="eastAsia" w:ascii="Times New Roman" w:hAnsi="Times New Roman" w:eastAsia="宋体" w:cs="Arial"/>
                      <w:b w:val="0"/>
                      <w:bCs w:val="0"/>
                      <w:i w:val="0"/>
                      <w:iCs w:val="0"/>
                      <w:color w:val="auto"/>
                      <w:kern w:val="2"/>
                      <w:sz w:val="21"/>
                      <w:szCs w:val="21"/>
                      <w:u w:val="none"/>
                      <w:lang w:val="en-US" w:eastAsia="zh-CN" w:bidi="ar-SA"/>
                    </w:rPr>
                  </w:pPr>
                  <w:r>
                    <w:rPr>
                      <w:rStyle w:val="53"/>
                      <w:rFonts w:hint="eastAsia"/>
                      <w:b w:val="0"/>
                      <w:bCs w:val="0"/>
                      <w:color w:val="auto"/>
                      <w:sz w:val="21"/>
                      <w:szCs w:val="21"/>
                      <w:lang w:val="en-US" w:eastAsia="zh-CN" w:bidi="ar"/>
                    </w:rPr>
                    <w:t>3.</w:t>
                  </w:r>
                  <w:r>
                    <w:rPr>
                      <w:rStyle w:val="53"/>
                      <w:rFonts w:ascii="Times New Roman" w:hAnsi="Times New Roman" w:eastAsia="宋体"/>
                      <w:b w:val="0"/>
                      <w:bCs w:val="0"/>
                      <w:color w:val="auto"/>
                      <w:sz w:val="21"/>
                      <w:szCs w:val="21"/>
                      <w:lang w:val="en-US" w:eastAsia="zh-CN" w:bidi="ar"/>
                    </w:rPr>
                    <w:t>属于《淮河流域水污染防治暂行条例》中限制的项目。</w:t>
                  </w:r>
                </w:p>
              </w:tc>
            </w:tr>
            <w:tr w14:paraId="1AA2372B">
              <w:tc>
                <w:tcPr>
                  <w:tcW w:w="255" w:type="pct"/>
                  <w:vMerge w:val="continue"/>
                  <w:tcBorders>
                    <w:tl2br w:val="nil"/>
                    <w:tr2bl w:val="nil"/>
                  </w:tcBorders>
                  <w:noWrap w:val="0"/>
                  <w:vAlign w:val="center"/>
                </w:tcPr>
                <w:p w14:paraId="176F73C7">
                  <w:pPr>
                    <w:adjustRightInd w:val="0"/>
                    <w:snapToGrid w:val="0"/>
                    <w:jc w:val="center"/>
                    <w:rPr>
                      <w:rFonts w:hint="eastAsia" w:ascii="Times New Roman" w:hAnsi="Times New Roman" w:eastAsia="宋体" w:cs="Times New Roman"/>
                      <w:b w:val="0"/>
                      <w:bCs w:val="0"/>
                      <w:color w:val="auto"/>
                      <w:sz w:val="21"/>
                      <w:szCs w:val="21"/>
                      <w:vertAlign w:val="baseline"/>
                      <w:lang w:val="en-US" w:eastAsia="zh-CN"/>
                    </w:rPr>
                  </w:pPr>
                </w:p>
              </w:tc>
              <w:tc>
                <w:tcPr>
                  <w:tcW w:w="465" w:type="pct"/>
                  <w:vMerge w:val="continue"/>
                  <w:tcBorders>
                    <w:tl2br w:val="nil"/>
                    <w:tr2bl w:val="nil"/>
                  </w:tcBorders>
                  <w:noWrap w:val="0"/>
                  <w:vAlign w:val="center"/>
                </w:tcPr>
                <w:p w14:paraId="165B9D34">
                  <w:pPr>
                    <w:adjustRightInd w:val="0"/>
                    <w:snapToGrid w:val="0"/>
                    <w:jc w:val="center"/>
                    <w:rPr>
                      <w:rFonts w:hint="eastAsia" w:ascii="Times New Roman" w:hAnsi="Times New Roman" w:eastAsia="宋体" w:cs="Times New Roman"/>
                      <w:b w:val="0"/>
                      <w:bCs w:val="0"/>
                      <w:color w:val="auto"/>
                      <w:sz w:val="21"/>
                      <w:szCs w:val="21"/>
                      <w:vertAlign w:val="baseline"/>
                      <w:lang w:val="en-US" w:eastAsia="zh-CN"/>
                    </w:rPr>
                  </w:pPr>
                </w:p>
              </w:tc>
              <w:tc>
                <w:tcPr>
                  <w:tcW w:w="4278" w:type="pct"/>
                  <w:tcBorders>
                    <w:tl2br w:val="nil"/>
                    <w:tr2bl w:val="nil"/>
                  </w:tcBorders>
                  <w:noWrap w:val="0"/>
                  <w:vAlign w:val="center"/>
                </w:tcPr>
                <w:p w14:paraId="6522829D">
                  <w:pPr>
                    <w:keepNext w:val="0"/>
                    <w:keepLines w:val="0"/>
                    <w:widowControl/>
                    <w:suppressLineNumbers w:val="0"/>
                    <w:jc w:val="both"/>
                    <w:textAlignment w:val="center"/>
                    <w:rPr>
                      <w:rFonts w:hint="eastAsia" w:ascii="Times New Roman" w:hAnsi="Times New Roman" w:eastAsia="宋体" w:cs="Arial"/>
                      <w:b w:val="0"/>
                      <w:bCs w:val="0"/>
                      <w:i w:val="0"/>
                      <w:iCs w:val="0"/>
                      <w:color w:val="auto"/>
                      <w:kern w:val="2"/>
                      <w:sz w:val="21"/>
                      <w:szCs w:val="21"/>
                      <w:u w:val="none"/>
                      <w:lang w:val="en-US" w:eastAsia="zh-CN" w:bidi="ar-SA"/>
                    </w:rPr>
                  </w:pPr>
                  <w:r>
                    <w:rPr>
                      <w:rStyle w:val="53"/>
                      <w:rFonts w:hint="eastAsia"/>
                      <w:b w:val="0"/>
                      <w:bCs w:val="0"/>
                      <w:color w:val="auto"/>
                      <w:sz w:val="21"/>
                      <w:szCs w:val="21"/>
                      <w:lang w:val="en-US" w:eastAsia="zh-CN" w:bidi="ar"/>
                    </w:rPr>
                    <w:t>4.</w:t>
                  </w:r>
                  <w:r>
                    <w:rPr>
                      <w:rStyle w:val="53"/>
                      <w:rFonts w:ascii="Times New Roman" w:hAnsi="Times New Roman" w:eastAsia="宋体"/>
                      <w:b w:val="0"/>
                      <w:bCs w:val="0"/>
                      <w:color w:val="auto"/>
                      <w:sz w:val="21"/>
                      <w:szCs w:val="21"/>
                      <w:lang w:val="en-US" w:eastAsia="zh-CN" w:bidi="ar"/>
                    </w:rPr>
                    <w:t>开发区印染排水量不得突破7000吨/日。</w:t>
                  </w:r>
                </w:p>
              </w:tc>
            </w:tr>
            <w:tr w14:paraId="3ABCF3DB">
              <w:tc>
                <w:tcPr>
                  <w:tcW w:w="721" w:type="pct"/>
                  <w:gridSpan w:val="2"/>
                  <w:vMerge w:val="restart"/>
                  <w:tcBorders>
                    <w:tl2br w:val="nil"/>
                    <w:tr2bl w:val="nil"/>
                  </w:tcBorders>
                  <w:noWrap w:val="0"/>
                  <w:vAlign w:val="center"/>
                </w:tcPr>
                <w:p w14:paraId="763232EF">
                  <w:pPr>
                    <w:adjustRightInd w:val="0"/>
                    <w:snapToGrid w:val="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空间布局约束</w:t>
                  </w:r>
                </w:p>
              </w:tc>
              <w:tc>
                <w:tcPr>
                  <w:tcW w:w="4278" w:type="pct"/>
                  <w:tcBorders>
                    <w:tl2br w:val="nil"/>
                    <w:tr2bl w:val="nil"/>
                  </w:tcBorders>
                  <w:noWrap w:val="0"/>
                  <w:vAlign w:val="center"/>
                </w:tcPr>
                <w:p w14:paraId="7B8C2FB5">
                  <w:pPr>
                    <w:keepNext w:val="0"/>
                    <w:keepLines w:val="0"/>
                    <w:widowControl/>
                    <w:suppressLineNumbers w:val="0"/>
                    <w:jc w:val="both"/>
                    <w:textAlignment w:val="center"/>
                    <w:rPr>
                      <w:rFonts w:hint="eastAsia" w:ascii="Times New Roman" w:hAnsi="Times New Roman" w:eastAsia="宋体" w:cs="Arial"/>
                      <w:b w:val="0"/>
                      <w:bCs w:val="0"/>
                      <w:i w:val="0"/>
                      <w:iCs w:val="0"/>
                      <w:color w:val="auto"/>
                      <w:kern w:val="2"/>
                      <w:sz w:val="21"/>
                      <w:szCs w:val="21"/>
                      <w:u w:val="none"/>
                      <w:lang w:val="en-US" w:eastAsia="zh-CN" w:bidi="ar-SA"/>
                    </w:rPr>
                  </w:pPr>
                  <w:r>
                    <w:rPr>
                      <w:rStyle w:val="53"/>
                      <w:rFonts w:ascii="Times New Roman" w:hAnsi="Times New Roman" w:eastAsia="宋体"/>
                      <w:b w:val="0"/>
                      <w:bCs w:val="0"/>
                      <w:color w:val="auto"/>
                      <w:sz w:val="21"/>
                      <w:szCs w:val="21"/>
                      <w:lang w:val="en-US" w:eastAsia="zh-CN" w:bidi="ar"/>
                    </w:rPr>
                    <w:t>落实江苏省、淮安市“三线一单</w:t>
                  </w:r>
                  <w:r>
                    <w:rPr>
                      <w:rStyle w:val="53"/>
                      <w:rFonts w:hint="eastAsia"/>
                      <w:b w:val="0"/>
                      <w:bCs w:val="0"/>
                      <w:color w:val="auto"/>
                      <w:sz w:val="21"/>
                      <w:szCs w:val="21"/>
                      <w:lang w:val="en-US" w:eastAsia="zh-CN" w:bidi="ar"/>
                    </w:rPr>
                    <w:t>”《</w:t>
                  </w:r>
                  <w:r>
                    <w:rPr>
                      <w:rStyle w:val="53"/>
                      <w:rFonts w:ascii="Times New Roman" w:hAnsi="Times New Roman" w:eastAsia="宋体"/>
                      <w:b w:val="0"/>
                      <w:bCs w:val="0"/>
                      <w:color w:val="auto"/>
                      <w:sz w:val="21"/>
                      <w:szCs w:val="21"/>
                      <w:lang w:val="en-US" w:eastAsia="zh-CN" w:bidi="ar"/>
                    </w:rPr>
                    <w:t>江苏省生态空间管控区域规划</w:t>
                  </w:r>
                  <w:r>
                    <w:rPr>
                      <w:rStyle w:val="53"/>
                      <w:rFonts w:hint="eastAsia"/>
                      <w:b w:val="0"/>
                      <w:bCs w:val="0"/>
                      <w:color w:val="auto"/>
                      <w:sz w:val="21"/>
                      <w:szCs w:val="21"/>
                      <w:lang w:val="en-US" w:eastAsia="zh-CN" w:bidi="ar"/>
                    </w:rPr>
                    <w:t>》《</w:t>
                  </w:r>
                  <w:r>
                    <w:rPr>
                      <w:rStyle w:val="53"/>
                      <w:rFonts w:ascii="Times New Roman" w:hAnsi="Times New Roman" w:eastAsia="宋体"/>
                      <w:b w:val="0"/>
                      <w:bCs w:val="0"/>
                      <w:color w:val="auto"/>
                      <w:sz w:val="21"/>
                      <w:szCs w:val="21"/>
                      <w:lang w:val="en-US" w:eastAsia="zh-CN" w:bidi="ar"/>
                    </w:rPr>
                    <w:t>江苏省国家级生态保护红线规划》管控要求。</w:t>
                  </w:r>
                </w:p>
              </w:tc>
            </w:tr>
            <w:tr w14:paraId="4D49C59C">
              <w:tc>
                <w:tcPr>
                  <w:tcW w:w="721" w:type="pct"/>
                  <w:gridSpan w:val="2"/>
                  <w:vMerge w:val="continue"/>
                  <w:tcBorders>
                    <w:tl2br w:val="nil"/>
                    <w:tr2bl w:val="nil"/>
                  </w:tcBorders>
                  <w:noWrap w:val="0"/>
                  <w:vAlign w:val="center"/>
                </w:tcPr>
                <w:p w14:paraId="3C7936BD">
                  <w:pPr>
                    <w:adjustRightInd w:val="0"/>
                    <w:snapToGrid w:val="0"/>
                    <w:jc w:val="center"/>
                    <w:rPr>
                      <w:rFonts w:hint="eastAsia" w:ascii="Times New Roman" w:hAnsi="Times New Roman" w:eastAsia="宋体" w:cs="Times New Roman"/>
                      <w:b w:val="0"/>
                      <w:bCs w:val="0"/>
                      <w:color w:val="auto"/>
                      <w:sz w:val="21"/>
                      <w:szCs w:val="21"/>
                      <w:vertAlign w:val="baseline"/>
                      <w:lang w:val="en-US" w:eastAsia="zh-CN"/>
                    </w:rPr>
                  </w:pPr>
                </w:p>
              </w:tc>
              <w:tc>
                <w:tcPr>
                  <w:tcW w:w="4278" w:type="pct"/>
                  <w:tcBorders>
                    <w:tl2br w:val="nil"/>
                    <w:tr2bl w:val="nil"/>
                  </w:tcBorders>
                  <w:noWrap w:val="0"/>
                  <w:vAlign w:val="center"/>
                </w:tcPr>
                <w:p w14:paraId="4081EE84">
                  <w:pPr>
                    <w:keepNext w:val="0"/>
                    <w:keepLines w:val="0"/>
                    <w:widowControl/>
                    <w:suppressLineNumbers w:val="0"/>
                    <w:jc w:val="both"/>
                    <w:textAlignment w:val="center"/>
                    <w:rPr>
                      <w:rFonts w:hint="eastAsia" w:ascii="Times New Roman" w:hAnsi="Times New Roman" w:eastAsia="宋体" w:cs="Arial"/>
                      <w:b w:val="0"/>
                      <w:bCs w:val="0"/>
                      <w:i w:val="0"/>
                      <w:iCs w:val="0"/>
                      <w:color w:val="auto"/>
                      <w:kern w:val="2"/>
                      <w:sz w:val="21"/>
                      <w:szCs w:val="21"/>
                      <w:u w:val="none"/>
                      <w:lang w:val="en-US" w:eastAsia="zh-CN" w:bidi="ar-SA"/>
                    </w:rPr>
                  </w:pPr>
                  <w:r>
                    <w:rPr>
                      <w:rStyle w:val="53"/>
                      <w:rFonts w:ascii="Times New Roman" w:hAnsi="Times New Roman" w:eastAsia="宋体"/>
                      <w:b w:val="0"/>
                      <w:bCs w:val="0"/>
                      <w:color w:val="auto"/>
                      <w:sz w:val="21"/>
                      <w:szCs w:val="21"/>
                      <w:lang w:val="en-US" w:eastAsia="zh-CN" w:bidi="ar"/>
                    </w:rPr>
                    <w:t>区内规划的水域和防护绿地</w:t>
                  </w:r>
                  <w:r>
                    <w:rPr>
                      <w:rStyle w:val="53"/>
                      <w:rFonts w:hint="eastAsia" w:ascii="Times New Roman" w:hAnsi="Times New Roman" w:eastAsia="宋体"/>
                      <w:b w:val="0"/>
                      <w:bCs w:val="0"/>
                      <w:color w:val="auto"/>
                      <w:sz w:val="21"/>
                      <w:szCs w:val="21"/>
                      <w:lang w:val="en-US" w:eastAsia="zh-CN" w:bidi="ar"/>
                    </w:rPr>
                    <w:t>，</w:t>
                  </w:r>
                  <w:r>
                    <w:rPr>
                      <w:rStyle w:val="53"/>
                      <w:rFonts w:ascii="Times New Roman" w:hAnsi="Times New Roman" w:eastAsia="宋体"/>
                      <w:b w:val="0"/>
                      <w:bCs w:val="0"/>
                      <w:color w:val="auto"/>
                      <w:sz w:val="21"/>
                      <w:szCs w:val="21"/>
                      <w:lang w:val="en-US" w:eastAsia="zh-CN" w:bidi="ar"/>
                    </w:rPr>
                    <w:t>禁止与环境保护功能无关的建设活动。</w:t>
                  </w:r>
                </w:p>
              </w:tc>
            </w:tr>
            <w:tr w14:paraId="5BD7E065">
              <w:tc>
                <w:tcPr>
                  <w:tcW w:w="721" w:type="pct"/>
                  <w:gridSpan w:val="2"/>
                  <w:vMerge w:val="continue"/>
                  <w:tcBorders>
                    <w:tl2br w:val="nil"/>
                    <w:tr2bl w:val="nil"/>
                  </w:tcBorders>
                  <w:noWrap w:val="0"/>
                  <w:vAlign w:val="center"/>
                </w:tcPr>
                <w:p w14:paraId="1B4655D9">
                  <w:pPr>
                    <w:adjustRightInd w:val="0"/>
                    <w:snapToGrid w:val="0"/>
                    <w:jc w:val="center"/>
                    <w:rPr>
                      <w:rFonts w:hint="eastAsia" w:ascii="Times New Roman" w:hAnsi="Times New Roman" w:eastAsia="宋体" w:cs="Times New Roman"/>
                      <w:b w:val="0"/>
                      <w:bCs w:val="0"/>
                      <w:color w:val="auto"/>
                      <w:sz w:val="21"/>
                      <w:szCs w:val="21"/>
                      <w:vertAlign w:val="baseline"/>
                      <w:lang w:val="en-US" w:eastAsia="zh-CN"/>
                    </w:rPr>
                  </w:pPr>
                </w:p>
              </w:tc>
              <w:tc>
                <w:tcPr>
                  <w:tcW w:w="4278" w:type="pct"/>
                  <w:tcBorders>
                    <w:tl2br w:val="nil"/>
                    <w:tr2bl w:val="nil"/>
                  </w:tcBorders>
                  <w:noWrap w:val="0"/>
                  <w:vAlign w:val="center"/>
                </w:tcPr>
                <w:p w14:paraId="2E2AE4B0">
                  <w:pPr>
                    <w:keepNext w:val="0"/>
                    <w:keepLines w:val="0"/>
                    <w:widowControl/>
                    <w:suppressLineNumbers w:val="0"/>
                    <w:jc w:val="both"/>
                    <w:textAlignment w:val="center"/>
                    <w:rPr>
                      <w:rFonts w:hint="eastAsia" w:ascii="Times New Roman" w:hAnsi="Times New Roman" w:eastAsia="宋体" w:cs="Arial"/>
                      <w:b w:val="0"/>
                      <w:bCs w:val="0"/>
                      <w:i w:val="0"/>
                      <w:iCs w:val="0"/>
                      <w:color w:val="auto"/>
                      <w:kern w:val="2"/>
                      <w:sz w:val="21"/>
                      <w:szCs w:val="21"/>
                      <w:u w:val="none"/>
                      <w:lang w:val="en-US" w:eastAsia="zh-CN" w:bidi="ar-SA"/>
                    </w:rPr>
                  </w:pPr>
                  <w:r>
                    <w:rPr>
                      <w:rStyle w:val="53"/>
                      <w:rFonts w:ascii="Times New Roman" w:hAnsi="Times New Roman" w:eastAsia="宋体"/>
                      <w:b w:val="0"/>
                      <w:bCs w:val="0"/>
                      <w:color w:val="auto"/>
                      <w:sz w:val="21"/>
                      <w:szCs w:val="21"/>
                      <w:lang w:val="en-US" w:eastAsia="zh-CN" w:bidi="ar"/>
                    </w:rPr>
                    <w:t>工业用地与居住用地、商住混合用地、学校之间须设置适当的空间隔离带。</w:t>
                  </w:r>
                </w:p>
              </w:tc>
            </w:tr>
          </w:tbl>
          <w:p w14:paraId="33E88F14">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w:t>
            </w:r>
            <w:r>
              <w:rPr>
                <w:rFonts w:hint="eastAsia" w:ascii="Times New Roman" w:hAnsi="Times New Roman" w:eastAsia="宋体" w:cs="Times New Roman"/>
                <w:color w:val="auto"/>
                <w:sz w:val="24"/>
                <w:szCs w:val="24"/>
                <w:lang w:val="en-US" w:eastAsia="zh-CN"/>
              </w:rPr>
              <w:t>为</w:t>
            </w:r>
            <w:r>
              <w:rPr>
                <w:rFonts w:hint="eastAsia" w:cs="Times New Roman"/>
                <w:color w:val="auto"/>
                <w:sz w:val="24"/>
                <w:szCs w:val="24"/>
                <w:lang w:val="en-US" w:eastAsia="zh-CN"/>
              </w:rPr>
              <w:t>淮安挑战者饮料有限公司饮料生产项目（不含碳酸饮料和酒）</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属于</w:t>
            </w:r>
            <w:r>
              <w:rPr>
                <w:rFonts w:hint="eastAsia" w:ascii="Times New Roman" w:hAnsi="Times New Roman" w:eastAsia="宋体" w:cs="Times New Roman"/>
                <w:color w:val="auto"/>
                <w:sz w:val="24"/>
                <w:szCs w:val="24"/>
                <w:lang w:eastAsia="zh-CN"/>
              </w:rPr>
              <w:t>C1523果菜汁及果菜汁饮料制造</w:t>
            </w:r>
            <w:r>
              <w:rPr>
                <w:rFonts w:hint="eastAsia" w:cs="Times New Roman"/>
                <w:color w:val="auto"/>
                <w:sz w:val="24"/>
                <w:szCs w:val="24"/>
                <w:lang w:eastAsia="zh-CN"/>
              </w:rPr>
              <w:t>、</w:t>
            </w:r>
            <w:r>
              <w:rPr>
                <w:rFonts w:hint="eastAsia" w:ascii="Times New Roman" w:hAnsi="Times New Roman" w:eastAsia="宋体" w:cs="Times New Roman"/>
                <w:color w:val="auto"/>
                <w:sz w:val="24"/>
                <w:szCs w:val="24"/>
                <w:lang w:eastAsia="zh-CN"/>
              </w:rPr>
              <w:t>C1524含乳饮料和植物蛋白饮料制造</w:t>
            </w:r>
            <w:r>
              <w:rPr>
                <w:rFonts w:hint="eastAsia" w:cs="Times New Roman"/>
                <w:color w:val="auto"/>
                <w:sz w:val="24"/>
                <w:szCs w:val="24"/>
                <w:lang w:eastAsia="zh-CN"/>
              </w:rPr>
              <w:t>、</w:t>
            </w:r>
            <w:r>
              <w:rPr>
                <w:rFonts w:hint="eastAsia" w:ascii="Times New Roman" w:hAnsi="Times New Roman" w:eastAsia="宋体" w:cs="Times New Roman"/>
                <w:color w:val="auto"/>
                <w:sz w:val="24"/>
                <w:szCs w:val="24"/>
                <w:lang w:eastAsia="zh-CN"/>
              </w:rPr>
              <w:t>C1529茶饮料及其他饮料制造</w:t>
            </w:r>
            <w:r>
              <w:rPr>
                <w:rFonts w:hint="eastAsia" w:cs="Times New Roman"/>
                <w:color w:val="auto"/>
                <w:sz w:val="24"/>
                <w:szCs w:val="24"/>
                <w:lang w:eastAsia="zh-CN"/>
              </w:rPr>
              <w:t>、</w:t>
            </w:r>
            <w:r>
              <w:rPr>
                <w:rFonts w:hint="eastAsia" w:ascii="Times New Roman" w:hAnsi="Times New Roman" w:eastAsia="宋体" w:cs="Times New Roman"/>
                <w:color w:val="auto"/>
                <w:sz w:val="24"/>
                <w:szCs w:val="24"/>
                <w:lang w:eastAsia="zh-CN"/>
              </w:rPr>
              <w:t>C2926塑料包装箱及容器制造，</w:t>
            </w:r>
            <w:r>
              <w:rPr>
                <w:rFonts w:hint="eastAsia" w:ascii="Times New Roman" w:hAnsi="Times New Roman" w:eastAsia="宋体" w:cs="Times New Roman"/>
                <w:color w:val="auto"/>
                <w:sz w:val="24"/>
                <w:szCs w:val="24"/>
              </w:rPr>
              <w:t>不属于</w:t>
            </w:r>
            <w:r>
              <w:rPr>
                <w:rFonts w:hint="eastAsia" w:ascii="Times New Roman" w:hAnsi="Times New Roman" w:eastAsia="宋体" w:cs="Times New Roman"/>
                <w:color w:val="auto"/>
                <w:sz w:val="24"/>
                <w:szCs w:val="24"/>
                <w:lang w:val="en-US" w:eastAsia="zh-CN"/>
              </w:rPr>
              <w:t>园区四大主导产业组团</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也不属于园区限制引入和禁止引入的产业，</w:t>
            </w:r>
            <w:r>
              <w:rPr>
                <w:rFonts w:hint="eastAsia" w:ascii="Times New Roman" w:hAnsi="Times New Roman" w:eastAsia="宋体" w:cs="Times New Roman"/>
                <w:color w:val="auto"/>
                <w:sz w:val="24"/>
                <w:szCs w:val="24"/>
              </w:rPr>
              <w:t>属于允许</w:t>
            </w:r>
            <w:r>
              <w:rPr>
                <w:rFonts w:hint="eastAsia" w:ascii="Times New Roman" w:hAnsi="Times New Roman" w:eastAsia="宋体" w:cs="Times New Roman"/>
                <w:color w:val="auto"/>
                <w:sz w:val="24"/>
                <w:szCs w:val="24"/>
                <w:lang w:val="en-US" w:eastAsia="zh-CN"/>
              </w:rPr>
              <w:t>引入</w:t>
            </w:r>
            <w:r>
              <w:rPr>
                <w:rFonts w:hint="eastAsia" w:ascii="Times New Roman" w:hAnsi="Times New Roman" w:eastAsia="宋体" w:cs="Times New Roman"/>
                <w:color w:val="auto"/>
                <w:sz w:val="24"/>
                <w:szCs w:val="24"/>
              </w:rPr>
              <w:t>类</w:t>
            </w:r>
            <w:r>
              <w:rPr>
                <w:rFonts w:hint="eastAsia" w:ascii="Times New Roman" w:hAnsi="Times New Roman" w:eastAsia="宋体" w:cs="Times New Roman"/>
                <w:color w:val="auto"/>
                <w:sz w:val="24"/>
                <w:szCs w:val="24"/>
                <w:lang w:val="en-US" w:eastAsia="zh-CN"/>
              </w:rPr>
              <w:t>产业</w:t>
            </w:r>
            <w:r>
              <w:rPr>
                <w:rFonts w:hint="eastAsia" w:ascii="Times New Roman" w:hAnsi="Times New Roman" w:eastAsia="宋体" w:cs="Times New Roman"/>
                <w:color w:val="auto"/>
                <w:sz w:val="24"/>
                <w:szCs w:val="24"/>
              </w:rPr>
              <w:t>。</w:t>
            </w:r>
            <w:r>
              <w:rPr>
                <w:rFonts w:hint="eastAsia" w:cs="Times New Roman"/>
                <w:color w:val="auto"/>
                <w:sz w:val="24"/>
                <w:szCs w:val="24"/>
                <w:lang w:val="en-US" w:eastAsia="zh-CN"/>
              </w:rPr>
              <w:t>拟新建生产厂房及辅助用房</w:t>
            </w:r>
            <w:r>
              <w:rPr>
                <w:rFonts w:hint="eastAsia" w:ascii="Times New Roman" w:hAnsi="Times New Roman" w:eastAsia="宋体" w:cs="Times New Roman"/>
                <w:color w:val="auto"/>
                <w:sz w:val="24"/>
                <w:szCs w:val="24"/>
                <w:lang w:val="en-US" w:eastAsia="zh-CN"/>
              </w:rPr>
              <w:t>，位于涟水县经济开发区</w:t>
            </w:r>
            <w:r>
              <w:rPr>
                <w:rFonts w:hint="eastAsia" w:cs="Times New Roman"/>
                <w:color w:val="auto"/>
                <w:sz w:val="24"/>
                <w:szCs w:val="24"/>
                <w:lang w:val="en-US" w:eastAsia="zh-CN"/>
              </w:rPr>
              <w:t>兴旺路28号（兴旺路北侧、高坚科技东侧）</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属于工业用地</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满足园区</w:t>
            </w:r>
            <w:r>
              <w:rPr>
                <w:rFonts w:ascii="Times New Roman" w:hAnsi="Times New Roman" w:eastAsia="宋体" w:cs="Times New Roman"/>
                <w:color w:val="auto"/>
                <w:sz w:val="24"/>
                <w:szCs w:val="24"/>
              </w:rPr>
              <w:t>规划</w:t>
            </w:r>
            <w:r>
              <w:rPr>
                <w:rFonts w:hint="eastAsia" w:ascii="Times New Roman" w:hAnsi="Times New Roman" w:eastAsia="宋体" w:cs="Times New Roman"/>
                <w:color w:val="auto"/>
                <w:sz w:val="24"/>
                <w:szCs w:val="24"/>
                <w:lang w:val="en-US" w:eastAsia="zh-CN"/>
              </w:rPr>
              <w:t>要求</w:t>
            </w:r>
            <w:r>
              <w:rPr>
                <w:rFonts w:ascii="Times New Roman" w:hAnsi="Times New Roman" w:eastAsia="宋体" w:cs="Times New Roman"/>
                <w:color w:val="auto"/>
                <w:sz w:val="24"/>
                <w:szCs w:val="24"/>
              </w:rPr>
              <w:t>。</w:t>
            </w:r>
          </w:p>
          <w:p w14:paraId="2691786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ascii="Times New Roman" w:hAnsi="Times New Roman" w:eastAsia="宋体" w:cs="Times New Roman"/>
                <w:color w:val="auto"/>
                <w:sz w:val="24"/>
                <w:szCs w:val="24"/>
              </w:rPr>
            </w:pPr>
            <w:r>
              <w:rPr>
                <w:rFonts w:hint="eastAsia" w:cs="Times New Roman"/>
                <w:color w:val="auto"/>
                <w:sz w:val="24"/>
                <w:szCs w:val="24"/>
                <w:lang w:val="en-US" w:eastAsia="zh-CN"/>
              </w:rPr>
              <w:t>3.</w:t>
            </w:r>
            <w:r>
              <w:rPr>
                <w:rFonts w:ascii="Times New Roman" w:hAnsi="Times New Roman" w:eastAsia="宋体" w:cs="Times New Roman"/>
                <w:color w:val="auto"/>
                <w:sz w:val="24"/>
                <w:szCs w:val="24"/>
              </w:rPr>
              <w:t>与园区规划环评审查意见相符性分析</w:t>
            </w:r>
          </w:p>
          <w:p w14:paraId="5739895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涟水开发区于20</w:t>
            </w:r>
            <w:r>
              <w:rPr>
                <w:rFonts w:hint="eastAsia" w:ascii="Times New Roman" w:hAnsi="Times New Roman" w:eastAsia="宋体" w:cs="Times New Roman"/>
                <w:color w:val="auto"/>
                <w:sz w:val="24"/>
                <w:szCs w:val="24"/>
                <w:lang w:val="en-US" w:eastAsia="zh-CN"/>
              </w:rPr>
              <w:t>23</w:t>
            </w:r>
            <w:r>
              <w:rPr>
                <w:rFonts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10</w:t>
            </w:r>
            <w:r>
              <w:rPr>
                <w:rFonts w:ascii="Times New Roman" w:hAnsi="Times New Roman" w:eastAsia="宋体" w:cs="Times New Roman"/>
                <w:color w:val="auto"/>
                <w:sz w:val="24"/>
                <w:szCs w:val="24"/>
              </w:rPr>
              <w:t>月取得了江苏省环保厅《关于江苏涟水经济开发区</w:t>
            </w:r>
            <w:r>
              <w:rPr>
                <w:rFonts w:hint="eastAsia" w:ascii="Times New Roman" w:hAnsi="Times New Roman" w:eastAsia="宋体" w:cs="Times New Roman"/>
                <w:color w:val="auto"/>
                <w:sz w:val="24"/>
                <w:szCs w:val="24"/>
                <w:lang w:val="en-US" w:eastAsia="zh-CN"/>
              </w:rPr>
              <w:t>开发建设规划（2022</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2035年）环境影响报告书</w:t>
            </w:r>
            <w:r>
              <w:rPr>
                <w:rFonts w:ascii="Times New Roman" w:hAnsi="Times New Roman" w:eastAsia="宋体" w:cs="Times New Roman"/>
                <w:color w:val="auto"/>
                <w:sz w:val="24"/>
                <w:szCs w:val="24"/>
              </w:rPr>
              <w:t>的审核意见》</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rPr>
              <w:t>苏环审</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rPr>
              <w:t>20</w:t>
            </w:r>
            <w:r>
              <w:rPr>
                <w:rFonts w:hint="eastAsia" w:ascii="Times New Roman" w:hAnsi="Times New Roman" w:eastAsia="宋体" w:cs="Times New Roman"/>
                <w:color w:val="auto"/>
                <w:sz w:val="24"/>
                <w:szCs w:val="24"/>
                <w:lang w:val="en-US" w:eastAsia="zh-CN"/>
              </w:rPr>
              <w:t>23</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8</w:t>
            </w:r>
            <w:r>
              <w:rPr>
                <w:rFonts w:ascii="Times New Roman" w:hAnsi="Times New Roman" w:eastAsia="宋体" w:cs="Times New Roman"/>
                <w:color w:val="auto"/>
                <w:sz w:val="24"/>
                <w:szCs w:val="24"/>
              </w:rPr>
              <w:t>1号</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rPr>
              <w:t>审查意见与本项目相符性分析见下表。</w:t>
            </w:r>
          </w:p>
          <w:p w14:paraId="0175398F">
            <w:pPr>
              <w:autoSpaceDE w:val="0"/>
              <w:autoSpaceDN w:val="0"/>
              <w:adjustRightInd w:val="0"/>
              <w:snapToGrid w:val="0"/>
              <w:ind w:firstLine="422" w:firstLineChars="200"/>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表1-</w:t>
            </w:r>
            <w:r>
              <w:rPr>
                <w:rFonts w:hint="eastAsia" w:cs="Times New Roman"/>
                <w:b/>
                <w:bCs/>
                <w:color w:val="auto"/>
                <w:sz w:val="21"/>
                <w:szCs w:val="21"/>
                <w:lang w:val="en-US" w:eastAsia="zh-CN"/>
              </w:rPr>
              <w:t xml:space="preserve">2  </w:t>
            </w:r>
            <w:r>
              <w:rPr>
                <w:rFonts w:ascii="Times New Roman" w:hAnsi="Times New Roman" w:eastAsia="宋体" w:cs="Times New Roman"/>
                <w:b/>
                <w:bCs/>
                <w:color w:val="auto"/>
                <w:sz w:val="21"/>
                <w:szCs w:val="21"/>
              </w:rPr>
              <w:t>审查意见与本项目相符性分析</w:t>
            </w:r>
          </w:p>
          <w:tbl>
            <w:tblPr>
              <w:tblStyle w:val="20"/>
              <w:tblW w:w="49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5"/>
              <w:gridCol w:w="4728"/>
              <w:gridCol w:w="2077"/>
              <w:gridCol w:w="675"/>
            </w:tblGrid>
            <w:tr w14:paraId="403D043A">
              <w:trPr>
                <w:jc w:val="center"/>
              </w:trPr>
              <w:tc>
                <w:tcPr>
                  <w:tcW w:w="209" w:type="pct"/>
                  <w:tcBorders>
                    <w:top w:val="single" w:color="auto" w:sz="12" w:space="0"/>
                    <w:left w:val="nil"/>
                    <w:bottom w:val="single" w:color="auto" w:sz="8" w:space="0"/>
                  </w:tcBorders>
                  <w:noWrap w:val="0"/>
                  <w:vAlign w:val="center"/>
                </w:tcPr>
                <w:p w14:paraId="20EBD8C2">
                  <w:pPr>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序号</w:t>
                  </w:r>
                </w:p>
              </w:tc>
              <w:tc>
                <w:tcPr>
                  <w:tcW w:w="3028" w:type="pct"/>
                  <w:tcBorders>
                    <w:top w:val="single" w:color="auto" w:sz="12" w:space="0"/>
                    <w:bottom w:val="single" w:color="auto" w:sz="8" w:space="0"/>
                  </w:tcBorders>
                  <w:noWrap w:val="0"/>
                  <w:vAlign w:val="center"/>
                </w:tcPr>
                <w:p w14:paraId="0A6DD087">
                  <w:pPr>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审查意见</w:t>
                  </w:r>
                </w:p>
              </w:tc>
              <w:tc>
                <w:tcPr>
                  <w:tcW w:w="1330" w:type="pct"/>
                  <w:tcBorders>
                    <w:top w:val="single" w:color="auto" w:sz="12" w:space="0"/>
                    <w:bottom w:val="single" w:color="auto" w:sz="8" w:space="0"/>
                  </w:tcBorders>
                  <w:noWrap w:val="0"/>
                  <w:vAlign w:val="center"/>
                </w:tcPr>
                <w:p w14:paraId="3C1B3A39">
                  <w:pPr>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本项目</w:t>
                  </w:r>
                </w:p>
              </w:tc>
              <w:tc>
                <w:tcPr>
                  <w:tcW w:w="432" w:type="pct"/>
                  <w:tcBorders>
                    <w:top w:val="single" w:color="auto" w:sz="12" w:space="0"/>
                    <w:bottom w:val="single" w:color="auto" w:sz="8" w:space="0"/>
                    <w:right w:val="nil"/>
                  </w:tcBorders>
                  <w:noWrap w:val="0"/>
                  <w:vAlign w:val="center"/>
                </w:tcPr>
                <w:p w14:paraId="5F44670A">
                  <w:pPr>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是否符合</w:t>
                  </w:r>
                </w:p>
              </w:tc>
            </w:tr>
            <w:tr w14:paraId="0D7551DD">
              <w:trPr>
                <w:jc w:val="center"/>
              </w:trPr>
              <w:tc>
                <w:tcPr>
                  <w:tcW w:w="209" w:type="pct"/>
                  <w:tcBorders>
                    <w:top w:val="single" w:color="auto" w:sz="8" w:space="0"/>
                    <w:left w:val="nil"/>
                  </w:tcBorders>
                  <w:noWrap w:val="0"/>
                  <w:vAlign w:val="center"/>
                </w:tcPr>
                <w:p w14:paraId="1DF07A9B">
                  <w:pPr>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w:t>
                  </w:r>
                </w:p>
              </w:tc>
              <w:tc>
                <w:tcPr>
                  <w:tcW w:w="3028" w:type="pct"/>
                  <w:tcBorders>
                    <w:top w:val="single" w:color="auto" w:sz="8" w:space="0"/>
                  </w:tcBorders>
                  <w:noWrap w:val="0"/>
                  <w:vAlign w:val="center"/>
                </w:tcPr>
                <w:p w14:paraId="596176C6">
                  <w:pPr>
                    <w:adjustRightInd w:val="0"/>
                    <w:snapToGrid w:val="0"/>
                    <w:jc w:val="both"/>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严格空间管控，优化空间布局。落实《报告书》提出的现有环境问题整改措施，2025年底前，江苏快乐电源（涟水）有限公司限制扩大规模、涟水龙盛气体有限公司搬迁退让；淮安市亚森木业有限公司等11家企业仅允许实施规范化整治提升。强化工业企业退出和产业升级过程中的污染防治。开发区内绿地及水域在规划期内禁止开发利用。加强区内空间隔离带建设，西区工业用地与居住、商住混合用地、学校之间设置50米以上空间隔离带，或在该范围内布置办公等不产生噪声污染、废气排放的设施，并设置不少于20米的绿化隔离带，确保开发区产业布局与生态环境保护、人居环境安全相协调。</w:t>
                  </w:r>
                </w:p>
              </w:tc>
              <w:tc>
                <w:tcPr>
                  <w:tcW w:w="1330" w:type="pct"/>
                  <w:tcBorders>
                    <w:top w:val="single" w:color="auto" w:sz="8" w:space="0"/>
                  </w:tcBorders>
                  <w:noWrap w:val="0"/>
                  <w:vAlign w:val="center"/>
                </w:tcPr>
                <w:p w14:paraId="38BBF665">
                  <w:pPr>
                    <w:adjustRightInd w:val="0"/>
                    <w:snapToGrid w:val="0"/>
                    <w:jc w:val="center"/>
                    <w:rPr>
                      <w:rFonts w:hint="default"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本</w:t>
                  </w:r>
                  <w:r>
                    <w:rPr>
                      <w:rFonts w:hint="eastAsia" w:ascii="Times New Roman" w:hAnsi="Times New Roman" w:eastAsia="宋体" w:cs="Times New Roman"/>
                      <w:color w:val="auto"/>
                      <w:sz w:val="21"/>
                      <w:szCs w:val="21"/>
                      <w:lang w:val="en-US" w:eastAsia="zh-CN"/>
                    </w:rPr>
                    <w:t>项目</w:t>
                  </w:r>
                  <w:r>
                    <w:rPr>
                      <w:rFonts w:hint="eastAsia" w:cs="Times New Roman"/>
                      <w:color w:val="auto"/>
                      <w:sz w:val="21"/>
                      <w:szCs w:val="21"/>
                      <w:lang w:val="en-US" w:eastAsia="zh-CN"/>
                    </w:rPr>
                    <w:t>购置涟水经济开发区</w:t>
                  </w:r>
                  <w:r>
                    <w:rPr>
                      <w:rFonts w:hint="eastAsia" w:ascii="Times New Roman" w:hAnsi="Times New Roman" w:eastAsia="宋体" w:cs="Times New Roman"/>
                      <w:color w:val="auto"/>
                      <w:sz w:val="21"/>
                      <w:szCs w:val="21"/>
                      <w:lang w:val="en-US" w:eastAsia="zh-CN"/>
                    </w:rPr>
                    <w:t>位于涟水县经济开发区</w:t>
                  </w:r>
                  <w:r>
                    <w:rPr>
                      <w:rFonts w:hint="eastAsia" w:cs="Times New Roman"/>
                      <w:color w:val="auto"/>
                      <w:sz w:val="21"/>
                      <w:szCs w:val="21"/>
                      <w:lang w:val="en-US" w:eastAsia="zh-CN"/>
                    </w:rPr>
                    <w:t>兴旺路28号工业用地新建</w:t>
                  </w:r>
                  <w:r>
                    <w:rPr>
                      <w:rFonts w:hint="eastAsia" w:ascii="Times New Roman" w:hAnsi="Times New Roman" w:eastAsia="宋体" w:cs="Times New Roman"/>
                      <w:color w:val="auto"/>
                      <w:sz w:val="21"/>
                      <w:szCs w:val="21"/>
                      <w:lang w:val="en-US" w:eastAsia="zh-CN"/>
                    </w:rPr>
                    <w:t>厂房，属于工业用地。不在《报告书》提出的现有环境问题整改措施范围内。</w:t>
                  </w:r>
                </w:p>
              </w:tc>
              <w:tc>
                <w:tcPr>
                  <w:tcW w:w="432" w:type="pct"/>
                  <w:tcBorders>
                    <w:top w:val="single" w:color="auto" w:sz="8" w:space="0"/>
                    <w:right w:val="nil"/>
                  </w:tcBorders>
                  <w:noWrap w:val="0"/>
                  <w:vAlign w:val="center"/>
                </w:tcPr>
                <w:p w14:paraId="25E85A79">
                  <w:pPr>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是</w:t>
                  </w:r>
                </w:p>
              </w:tc>
            </w:tr>
            <w:tr w14:paraId="5675039D">
              <w:trPr>
                <w:jc w:val="center"/>
              </w:trPr>
              <w:tc>
                <w:tcPr>
                  <w:tcW w:w="209" w:type="pct"/>
                  <w:tcBorders>
                    <w:left w:val="nil"/>
                  </w:tcBorders>
                  <w:noWrap w:val="0"/>
                  <w:vAlign w:val="center"/>
                </w:tcPr>
                <w:p w14:paraId="359F003F">
                  <w:pPr>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w:t>
                  </w:r>
                </w:p>
              </w:tc>
              <w:tc>
                <w:tcPr>
                  <w:tcW w:w="3028" w:type="pct"/>
                  <w:noWrap w:val="0"/>
                  <w:vAlign w:val="center"/>
                </w:tcPr>
                <w:p w14:paraId="38486B59">
                  <w:pPr>
                    <w:adjustRightInd w:val="0"/>
                    <w:snapToGrid w:val="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严守环境质量底线</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实施污染物排放限值限量管理。落实国家和江苏省关于大气、水、土壤、噪声污染防治、区域生态环境分区管控、工业园区</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集中区</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污染物排放限值限量管</w:t>
                  </w:r>
                  <w:r>
                    <w:rPr>
                      <w:rFonts w:hint="eastAsia" w:cs="Times New Roman"/>
                      <w:color w:val="auto"/>
                      <w:sz w:val="21"/>
                      <w:szCs w:val="21"/>
                      <w:lang w:eastAsia="zh-CN"/>
                    </w:rPr>
                    <w:t>理等</w:t>
                  </w:r>
                  <w:r>
                    <w:rPr>
                      <w:rFonts w:hint="eastAsia" w:ascii="Times New Roman" w:hAnsi="Times New Roman" w:eastAsia="宋体" w:cs="Times New Roman"/>
                      <w:color w:val="auto"/>
                      <w:sz w:val="21"/>
                      <w:szCs w:val="21"/>
                    </w:rPr>
                    <w:t>相关要求</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建立以环境质量为核心的污染物总量控制管理体系</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实施主要污染物排放浓度和总量“双管控”。2025年</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开发区环境空气细颗粒物</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PM</w:t>
                  </w:r>
                  <w:r>
                    <w:rPr>
                      <w:rFonts w:hint="eastAsia" w:ascii="Times New Roman" w:hAnsi="Times New Roman" w:eastAsia="宋体" w:cs="Times New Roman"/>
                      <w:color w:val="auto"/>
                      <w:sz w:val="21"/>
                      <w:szCs w:val="21"/>
                      <w:vertAlign w:val="subscript"/>
                      <w:lang w:val="en-US" w:eastAsia="zh-CN"/>
                    </w:rPr>
                    <w:t>2.5</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年均浓度应达到29微克/立方米</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盐河应稳定达到</w:t>
                  </w:r>
                  <w:r>
                    <w:rPr>
                      <w:rFonts w:hint="eastAsia" w:cs="Times New Roman"/>
                      <w:color w:val="auto"/>
                      <w:sz w:val="21"/>
                      <w:szCs w:val="21"/>
                      <w:lang w:eastAsia="zh-CN"/>
                    </w:rPr>
                    <w:t>Ⅱ</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Ⅲ类水质标准。</w:t>
                  </w:r>
                </w:p>
              </w:tc>
              <w:tc>
                <w:tcPr>
                  <w:tcW w:w="1330" w:type="pct"/>
                  <w:noWrap w:val="0"/>
                  <w:vAlign w:val="center"/>
                </w:tcPr>
                <w:p w14:paraId="64A24901">
                  <w:pPr>
                    <w:adjustRightInd w:val="0"/>
                    <w:snapToGrid w:val="0"/>
                    <w:rPr>
                      <w:rFonts w:hint="default"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本</w:t>
                  </w:r>
                  <w:r>
                    <w:rPr>
                      <w:rFonts w:hint="eastAsia" w:ascii="Times New Roman" w:hAnsi="Times New Roman" w:eastAsia="宋体" w:cs="Times New Roman"/>
                      <w:color w:val="auto"/>
                      <w:sz w:val="21"/>
                      <w:szCs w:val="21"/>
                      <w:lang w:val="en-US" w:eastAsia="zh-CN"/>
                    </w:rPr>
                    <w:t>项目污染物排放执行园区总量控制管理相关要求，有机废气采取有效措施收集处理，确保项目</w:t>
                  </w:r>
                  <w:r>
                    <w:rPr>
                      <w:rFonts w:hint="eastAsia" w:ascii="Times New Roman" w:hAnsi="Times New Roman" w:eastAsia="宋体" w:cs="Times New Roman"/>
                      <w:color w:val="auto"/>
                      <w:sz w:val="21"/>
                      <w:szCs w:val="21"/>
                    </w:rPr>
                    <w:t>主要污染物排放浓度和总量</w:t>
                  </w:r>
                  <w:r>
                    <w:rPr>
                      <w:rFonts w:hint="eastAsia" w:ascii="Times New Roman" w:hAnsi="Times New Roman" w:eastAsia="宋体" w:cs="Times New Roman"/>
                      <w:color w:val="auto"/>
                      <w:sz w:val="21"/>
                      <w:szCs w:val="21"/>
                      <w:lang w:val="en-US" w:eastAsia="zh-CN"/>
                    </w:rPr>
                    <w:t>双达标。</w:t>
                  </w:r>
                </w:p>
              </w:tc>
              <w:tc>
                <w:tcPr>
                  <w:tcW w:w="432" w:type="pct"/>
                  <w:tcBorders>
                    <w:right w:val="nil"/>
                  </w:tcBorders>
                  <w:noWrap w:val="0"/>
                  <w:vAlign w:val="center"/>
                </w:tcPr>
                <w:p w14:paraId="287003DC">
                  <w:pPr>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是</w:t>
                  </w:r>
                </w:p>
              </w:tc>
            </w:tr>
            <w:tr w14:paraId="330B3C85">
              <w:trPr>
                <w:jc w:val="center"/>
              </w:trPr>
              <w:tc>
                <w:tcPr>
                  <w:tcW w:w="209" w:type="pct"/>
                  <w:tcBorders>
                    <w:left w:val="nil"/>
                  </w:tcBorders>
                  <w:noWrap w:val="0"/>
                  <w:vAlign w:val="center"/>
                </w:tcPr>
                <w:p w14:paraId="469D4390">
                  <w:pPr>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w:t>
                  </w:r>
                </w:p>
              </w:tc>
              <w:tc>
                <w:tcPr>
                  <w:tcW w:w="3028" w:type="pct"/>
                  <w:noWrap w:val="0"/>
                  <w:vAlign w:val="center"/>
                </w:tcPr>
                <w:p w14:paraId="39B71BB5">
                  <w:pPr>
                    <w:adjustRightInd w:val="0"/>
                    <w:snapToGrid w:val="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加强源头治理</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协同推进减污降碳。严格落实生态环境准入清单</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附件2</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以及《报告书》提出的生态环境准入要求</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严格限制与主导产业不相关且排污负荷大的项目入区</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执行最严格的行业废水、废气排放控制要求。强化企业特征污染物排放控制、高效治理设施建设以及精细化管控</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引进项目的生产工艺、设备</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以及单位产品水耗、能耗、污染物排放和资源利用效率等应达到同行业国内先进水平。全面开展清洁生产审核</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推动重点行业依法实施强制性审核</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引导其他行业自觉自愿开展审核</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不断提高现有企业清洁生产和污染治理水平。根据国家和地方碳减排、碳达峰行动方案和路径要求</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优化产业结构、能源结构等规划内容</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推进减污降碳协同增效。</w:t>
                  </w:r>
                </w:p>
              </w:tc>
              <w:tc>
                <w:tcPr>
                  <w:tcW w:w="1330" w:type="pct"/>
                  <w:noWrap w:val="0"/>
                  <w:vAlign w:val="center"/>
                </w:tcPr>
                <w:p w14:paraId="49CA2D75">
                  <w:pPr>
                    <w:adjustRightInd w:val="0"/>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本项目属于C1523 果菜汁及果菜汁饮料制造、C1524 含乳饮料和植物蛋白饮料制造、C1529 茶饮料及其他饮料制造、C2926 塑料包装箱及容器制造，不属于园区主导产业，也不属于园区限制引入和禁止引入的产业，属于允许引入类产业。本项目对有机废气采取有效措施收集处理，符合清洁生产的要求。</w:t>
                  </w:r>
                </w:p>
              </w:tc>
              <w:tc>
                <w:tcPr>
                  <w:tcW w:w="432" w:type="pct"/>
                  <w:tcBorders>
                    <w:right w:val="nil"/>
                  </w:tcBorders>
                  <w:noWrap w:val="0"/>
                  <w:vAlign w:val="center"/>
                </w:tcPr>
                <w:p w14:paraId="5AF1F87B">
                  <w:pPr>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是</w:t>
                  </w:r>
                </w:p>
              </w:tc>
            </w:tr>
            <w:tr w14:paraId="0D9E3365">
              <w:trPr>
                <w:jc w:val="center"/>
              </w:trPr>
              <w:tc>
                <w:tcPr>
                  <w:tcW w:w="209" w:type="pct"/>
                  <w:tcBorders>
                    <w:left w:val="nil"/>
                  </w:tcBorders>
                  <w:noWrap w:val="0"/>
                  <w:vAlign w:val="center"/>
                </w:tcPr>
                <w:p w14:paraId="3F775D56">
                  <w:pPr>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w:t>
                  </w:r>
                </w:p>
              </w:tc>
              <w:tc>
                <w:tcPr>
                  <w:tcW w:w="3028" w:type="pct"/>
                  <w:noWrap w:val="0"/>
                  <w:vAlign w:val="center"/>
                </w:tcPr>
                <w:p w14:paraId="7B38A946">
                  <w:pPr>
                    <w:adjustRightInd w:val="0"/>
                    <w:snapToGrid w:val="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完善环境基础设施建设</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提高基础设施运行效能。加快推进西区</w:t>
                  </w:r>
                  <w:r>
                    <w:rPr>
                      <w:rFonts w:hint="eastAsia" w:cs="Times New Roman"/>
                      <w:color w:val="auto"/>
                      <w:sz w:val="21"/>
                      <w:szCs w:val="21"/>
                      <w:lang w:eastAsia="zh-CN"/>
                    </w:rPr>
                    <w:t>污水处理厂</w:t>
                  </w:r>
                  <w:r>
                    <w:rPr>
                      <w:rFonts w:hint="eastAsia" w:ascii="Times New Roman" w:hAnsi="Times New Roman" w:eastAsia="宋体" w:cs="Times New Roman"/>
                      <w:color w:val="auto"/>
                      <w:sz w:val="21"/>
                      <w:szCs w:val="21"/>
                    </w:rPr>
                    <w:t>中水回用设施及回用管网建设</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2025年底前建成二支大沟生态安全缓冲区</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改造建成2万吨/日工业污水处理设施、1万吨/日中水回用工程</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确保工业废水与生活污水分类收集、分质处理。开展区内入河排污口排查及规范化整治</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建立名录</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强化日常监管。加强园区固体废物减量化、资源化、无害化处理</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一般工业固废、危险废物应依法依规收集、处理处置</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做到“就地分类收集、就近转移处置”。</w:t>
                  </w:r>
                </w:p>
              </w:tc>
              <w:tc>
                <w:tcPr>
                  <w:tcW w:w="1330" w:type="pct"/>
                  <w:noWrap w:val="0"/>
                  <w:vAlign w:val="center"/>
                </w:tcPr>
                <w:p w14:paraId="6CDF4C5F">
                  <w:pPr>
                    <w:adjustRightInd w:val="0"/>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本项目生活污水（含食堂废水）经隔油池+化粪池处理</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生产废水（杀菌废水、乙酸雾吸收废水、设备清洗废水、地面冲洗废水）经厂区污水处理站处理</w:t>
                  </w:r>
                  <w:r>
                    <w:rPr>
                      <w:rFonts w:hint="eastAsia" w:cs="Times New Roman"/>
                      <w:color w:val="auto"/>
                      <w:sz w:val="21"/>
                      <w:szCs w:val="21"/>
                      <w:lang w:val="en-US" w:eastAsia="zh-CN"/>
                    </w:rPr>
                    <w:t>，处理后生活污水（含食堂废水）、生产废水与纯水制备废水一起接管至涟水经济开发区西区污水处理厂处理</w:t>
                  </w:r>
                  <w:r>
                    <w:rPr>
                      <w:rFonts w:hint="eastAsia" w:ascii="Times New Roman" w:hAnsi="Times New Roman" w:eastAsia="宋体" w:cs="Times New Roman"/>
                      <w:color w:val="auto"/>
                      <w:sz w:val="21"/>
                      <w:szCs w:val="21"/>
                      <w:lang w:val="en-US" w:eastAsia="zh-CN"/>
                    </w:rPr>
                    <w:t>。新增的一般工业固废、危险废物分类收集、暂存并委托处理。</w:t>
                  </w:r>
                </w:p>
              </w:tc>
              <w:tc>
                <w:tcPr>
                  <w:tcW w:w="432" w:type="pct"/>
                  <w:tcBorders>
                    <w:right w:val="nil"/>
                  </w:tcBorders>
                  <w:noWrap w:val="0"/>
                  <w:vAlign w:val="center"/>
                </w:tcPr>
                <w:p w14:paraId="719D1F97">
                  <w:pPr>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是</w:t>
                  </w:r>
                </w:p>
              </w:tc>
            </w:tr>
            <w:tr w14:paraId="6DD3F81C">
              <w:trPr>
                <w:jc w:val="center"/>
              </w:trPr>
              <w:tc>
                <w:tcPr>
                  <w:tcW w:w="209" w:type="pct"/>
                  <w:tcBorders>
                    <w:left w:val="nil"/>
                  </w:tcBorders>
                  <w:noWrap w:val="0"/>
                  <w:vAlign w:val="center"/>
                </w:tcPr>
                <w:p w14:paraId="2559BE0A">
                  <w:pPr>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w:t>
                  </w:r>
                </w:p>
              </w:tc>
              <w:tc>
                <w:tcPr>
                  <w:tcW w:w="3028" w:type="pct"/>
                  <w:noWrap w:val="0"/>
                  <w:vAlign w:val="center"/>
                </w:tcPr>
                <w:p w14:paraId="636238F1">
                  <w:pPr>
                    <w:adjustRightInd w:val="0"/>
                    <w:snapToGrid w:val="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建立健全环境监测监控体系。开展包括环境空气、地表水、地下水、土壤、底泥等环境要素的长期跟踪监测与管理。结合区域跟踪监测情况</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动态调整开发区开发建设规模和时序进度</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优化生态环境保护措施</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确保区域生态环境质量不恶化。探索开展新污染物环境本底调查监测</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依法公开新污染物信息。积极推进氟化物污染物排放及水环境质量的监测监控</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园区重点涉氟企业雨水污水排放口完成氟化物自动监控系统安装</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并与省、市平台联网。指导区内企业规范安装在线监测设备并联网</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推进区内排污许可重点管理单位自动监测全覆盖；暂不具备安装在线监测设备条件的企业</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应做好委托监测工作。</w:t>
                  </w:r>
                </w:p>
              </w:tc>
              <w:tc>
                <w:tcPr>
                  <w:tcW w:w="1330" w:type="pct"/>
                  <w:noWrap w:val="0"/>
                  <w:vAlign w:val="center"/>
                </w:tcPr>
                <w:p w14:paraId="424B4C4D">
                  <w:pPr>
                    <w:adjustRightInd w:val="0"/>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本</w:t>
                  </w:r>
                  <w:r>
                    <w:rPr>
                      <w:rFonts w:hint="eastAsia" w:ascii="Times New Roman" w:hAnsi="Times New Roman" w:eastAsia="宋体" w:cs="Times New Roman"/>
                      <w:color w:val="auto"/>
                      <w:sz w:val="21"/>
                      <w:szCs w:val="21"/>
                      <w:lang w:val="en-US" w:eastAsia="zh-CN"/>
                    </w:rPr>
                    <w:t>项目不涉及污染因子氟化物</w:t>
                  </w:r>
                  <w:r>
                    <w:rPr>
                      <w:rFonts w:hint="eastAsia" w:ascii="Times New Roman" w:hAnsi="Times New Roman" w:eastAsia="宋体" w:cs="Times New Roman"/>
                      <w:color w:val="auto"/>
                      <w:sz w:val="21"/>
                      <w:szCs w:val="21"/>
                    </w:rPr>
                    <w:t>。</w:t>
                  </w:r>
                  <w:r>
                    <w:rPr>
                      <w:rFonts w:hint="eastAsia" w:ascii="Times New Roman" w:hAnsi="Times New Roman" w:eastAsia="宋体"/>
                      <w:color w:val="auto"/>
                    </w:rPr>
                    <w:t>废气、废水排口均加强污染源监管</w:t>
                  </w:r>
                  <w:r>
                    <w:rPr>
                      <w:rFonts w:hint="eastAsia"/>
                      <w:color w:val="auto"/>
                      <w:lang w:eastAsia="zh-CN"/>
                    </w:rPr>
                    <w:t>，</w:t>
                  </w:r>
                  <w:r>
                    <w:rPr>
                      <w:rFonts w:hint="eastAsia" w:ascii="Times New Roman" w:hAnsi="Times New Roman" w:eastAsia="宋体"/>
                      <w:color w:val="auto"/>
                    </w:rPr>
                    <w:t>确保污染物稳定达标排放。本项目</w:t>
                  </w:r>
                  <w:r>
                    <w:rPr>
                      <w:rFonts w:hint="eastAsia" w:ascii="Times New Roman" w:hAnsi="Times New Roman" w:eastAsia="宋体"/>
                      <w:color w:val="auto"/>
                      <w:lang w:val="en-US" w:eastAsia="zh-CN"/>
                    </w:rPr>
                    <w:t>将按排污许可要求委托有资质的检测公司开展监测工作</w:t>
                  </w:r>
                  <w:r>
                    <w:rPr>
                      <w:rFonts w:hint="eastAsia" w:ascii="Times New Roman" w:hAnsi="Times New Roman" w:eastAsia="宋体"/>
                      <w:color w:val="auto"/>
                    </w:rPr>
                    <w:t>。</w:t>
                  </w:r>
                </w:p>
              </w:tc>
              <w:tc>
                <w:tcPr>
                  <w:tcW w:w="432" w:type="pct"/>
                  <w:tcBorders>
                    <w:right w:val="nil"/>
                  </w:tcBorders>
                  <w:noWrap w:val="0"/>
                  <w:vAlign w:val="center"/>
                </w:tcPr>
                <w:p w14:paraId="578FE802">
                  <w:pPr>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是</w:t>
                  </w:r>
                </w:p>
              </w:tc>
            </w:tr>
            <w:tr w14:paraId="6ECC180E">
              <w:trPr>
                <w:jc w:val="center"/>
              </w:trPr>
              <w:tc>
                <w:tcPr>
                  <w:tcW w:w="209" w:type="pct"/>
                  <w:tcBorders>
                    <w:left w:val="nil"/>
                  </w:tcBorders>
                  <w:noWrap w:val="0"/>
                  <w:vAlign w:val="center"/>
                </w:tcPr>
                <w:p w14:paraId="4A7D7713">
                  <w:pPr>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6</w:t>
                  </w:r>
                </w:p>
              </w:tc>
              <w:tc>
                <w:tcPr>
                  <w:tcW w:w="3028" w:type="pct"/>
                  <w:noWrap w:val="0"/>
                  <w:vAlign w:val="center"/>
                </w:tcPr>
                <w:p w14:paraId="29FB6E1D">
                  <w:pPr>
                    <w:adjustRightInd w:val="0"/>
                    <w:snapToGrid w:val="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健全环境风险防控体系</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提升环境应急能力。完善开发区风险防控体系建设</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确保事故废水不进入外环境。加强环境应急基础设施建设</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配备充足的应急装备物资</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形成环境应急救援能力。健全环境风险评估和应急预案制度</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定期开展环境应急演练</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完善环境应急响应联动机制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提升应急实战水平。建立突发环境事件隐患排查长效机制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定期排查突发环境事件隐患</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建立隐患清单并督促整改到位</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保障区域环境安全。重点关注并督促指导涉重金属企业构筑“风险单元</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管网、应急池</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厂界”环境风险防控体系</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严防涉重金属突发水污染事件</w:t>
                  </w:r>
                </w:p>
              </w:tc>
              <w:tc>
                <w:tcPr>
                  <w:tcW w:w="1330" w:type="pct"/>
                  <w:noWrap w:val="0"/>
                  <w:vAlign w:val="center"/>
                </w:tcPr>
                <w:p w14:paraId="5565986C">
                  <w:pPr>
                    <w:adjustRightInd w:val="0"/>
                    <w:snapToGrid w:val="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企业将针对本项目进行全厂突发环境事件应急预案的编制，</w:t>
                  </w:r>
                  <w:r>
                    <w:rPr>
                      <w:rFonts w:ascii="Times New Roman" w:hAnsi="Times New Roman" w:eastAsia="宋体" w:cs="Times New Roman"/>
                      <w:color w:val="auto"/>
                      <w:sz w:val="21"/>
                      <w:szCs w:val="21"/>
                    </w:rPr>
                    <w:t>完善环境应急措施</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并将</w:t>
                  </w:r>
                  <w:r>
                    <w:rPr>
                      <w:rFonts w:hint="eastAsia" w:ascii="Times New Roman" w:hAnsi="Times New Roman" w:eastAsia="宋体" w:cs="Times New Roman"/>
                      <w:color w:val="auto"/>
                      <w:sz w:val="21"/>
                      <w:szCs w:val="21"/>
                      <w:lang w:val="en-US" w:eastAsia="zh-CN"/>
                    </w:rPr>
                    <w:t>新增的</w:t>
                  </w:r>
                  <w:r>
                    <w:rPr>
                      <w:rFonts w:ascii="Times New Roman" w:hAnsi="Times New Roman" w:eastAsia="宋体" w:cs="Times New Roman"/>
                      <w:color w:val="auto"/>
                      <w:sz w:val="21"/>
                      <w:szCs w:val="21"/>
                    </w:rPr>
                    <w:t>应急装备和储备物资纳入储备体系</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积极响应市、县、乡突发环境事件应急响应体系</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组织</w:t>
                  </w:r>
                  <w:r>
                    <w:rPr>
                      <w:rFonts w:hint="eastAsia" w:ascii="Times New Roman" w:hAnsi="Times New Roman" w:eastAsia="宋体" w:cs="Times New Roman"/>
                      <w:color w:val="auto"/>
                      <w:sz w:val="21"/>
                      <w:szCs w:val="21"/>
                      <w:lang w:val="en-US" w:eastAsia="zh-CN"/>
                    </w:rPr>
                    <w:t>有针对性的应急</w:t>
                  </w:r>
                  <w:r>
                    <w:rPr>
                      <w:rFonts w:ascii="Times New Roman" w:hAnsi="Times New Roman" w:eastAsia="宋体" w:cs="Times New Roman"/>
                      <w:color w:val="auto"/>
                      <w:sz w:val="21"/>
                      <w:szCs w:val="21"/>
                    </w:rPr>
                    <w:t>演练</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从而提高应急处置能力</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并及时进行备案。</w:t>
                  </w:r>
                </w:p>
              </w:tc>
              <w:tc>
                <w:tcPr>
                  <w:tcW w:w="432" w:type="pct"/>
                  <w:tcBorders>
                    <w:right w:val="nil"/>
                  </w:tcBorders>
                  <w:noWrap w:val="0"/>
                  <w:vAlign w:val="center"/>
                </w:tcPr>
                <w:p w14:paraId="262D123A">
                  <w:pPr>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是</w:t>
                  </w:r>
                </w:p>
              </w:tc>
            </w:tr>
            <w:tr w14:paraId="634336BB">
              <w:trPr>
                <w:jc w:val="center"/>
              </w:trPr>
              <w:tc>
                <w:tcPr>
                  <w:tcW w:w="209" w:type="pct"/>
                  <w:tcBorders>
                    <w:left w:val="nil"/>
                    <w:bottom w:val="single" w:color="auto" w:sz="12" w:space="0"/>
                  </w:tcBorders>
                  <w:noWrap w:val="0"/>
                  <w:vAlign w:val="center"/>
                </w:tcPr>
                <w:p w14:paraId="392FA9CD">
                  <w:pPr>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7</w:t>
                  </w:r>
                </w:p>
              </w:tc>
              <w:tc>
                <w:tcPr>
                  <w:tcW w:w="3028" w:type="pct"/>
                  <w:tcBorders>
                    <w:bottom w:val="single" w:color="auto" w:sz="12" w:space="0"/>
                  </w:tcBorders>
                  <w:noWrap w:val="0"/>
                  <w:vAlign w:val="center"/>
                </w:tcPr>
                <w:p w14:paraId="768011F9">
                  <w:pPr>
                    <w:adjustRightInd w:val="0"/>
                    <w:snapToGrid w:val="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切实加强园区环境管理。健全园区环境管理机构</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严格环境管理制度</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强化日常环境监督管理</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落实区域环境质量监测和污染源监控计划；加快推进区内企业竣工环保验收进程</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今后所有入区企业和项目须严格执行环境影响评价和“三同时”制度；完善园区和企业风险防范措施与应急预案</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定期开展应急演练；制定危险化学品登记管理制度；进一步梳理区内不符合产业定位或环境管理要求的企业和项目</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提出并落实整改措施；开展区内各河道水环境综合整治。</w:t>
                  </w:r>
                </w:p>
              </w:tc>
              <w:tc>
                <w:tcPr>
                  <w:tcW w:w="1330" w:type="pct"/>
                  <w:tcBorders>
                    <w:bottom w:val="single" w:color="auto" w:sz="12" w:space="0"/>
                  </w:tcBorders>
                  <w:noWrap w:val="0"/>
                  <w:vAlign w:val="center"/>
                </w:tcPr>
                <w:p w14:paraId="65A18C09">
                  <w:pPr>
                    <w:adjustRightInd w:val="0"/>
                    <w:snapToGrid w:val="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企业</w:t>
                  </w:r>
                  <w:r>
                    <w:rPr>
                      <w:rFonts w:hint="eastAsia" w:ascii="Times New Roman" w:hAnsi="Times New Roman" w:eastAsia="宋体" w:cs="Times New Roman"/>
                      <w:color w:val="auto"/>
                      <w:sz w:val="21"/>
                      <w:szCs w:val="21"/>
                      <w:lang w:val="en-US" w:eastAsia="zh-CN"/>
                    </w:rPr>
                    <w:t>将</w:t>
                  </w:r>
                  <w:r>
                    <w:rPr>
                      <w:rFonts w:ascii="Times New Roman" w:hAnsi="Times New Roman" w:eastAsia="宋体" w:cs="Times New Roman"/>
                      <w:color w:val="auto"/>
                      <w:sz w:val="21"/>
                      <w:szCs w:val="21"/>
                    </w:rPr>
                    <w:t>加强环境管理制度</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强化日常环境监督管理</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严格执行“三同时”制度</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定期开展应急演练，本项目不涉及危险化学品</w:t>
                  </w:r>
                  <w:r>
                    <w:rPr>
                      <w:rFonts w:ascii="Times New Roman" w:hAnsi="Times New Roman" w:eastAsia="宋体" w:cs="Times New Roman"/>
                      <w:color w:val="auto"/>
                      <w:sz w:val="21"/>
                      <w:szCs w:val="21"/>
                    </w:rPr>
                    <w:t>。</w:t>
                  </w:r>
                </w:p>
              </w:tc>
              <w:tc>
                <w:tcPr>
                  <w:tcW w:w="432" w:type="pct"/>
                  <w:tcBorders>
                    <w:bottom w:val="single" w:color="auto" w:sz="12" w:space="0"/>
                    <w:right w:val="nil"/>
                  </w:tcBorders>
                  <w:noWrap w:val="0"/>
                  <w:vAlign w:val="center"/>
                </w:tcPr>
                <w:p w14:paraId="2FBD48F7">
                  <w:pPr>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是</w:t>
                  </w:r>
                </w:p>
              </w:tc>
            </w:tr>
          </w:tbl>
          <w:p w14:paraId="0CF27A0B">
            <w:pPr>
              <w:pStyle w:val="17"/>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color w:val="auto"/>
              </w:rPr>
            </w:pPr>
            <w:r>
              <w:rPr>
                <w:rFonts w:ascii="Times New Roman" w:hAnsi="Times New Roman" w:eastAsia="宋体" w:cs="Times New Roman"/>
                <w:b w:val="0"/>
                <w:bCs/>
                <w:color w:val="auto"/>
                <w:sz w:val="24"/>
                <w:szCs w:val="24"/>
              </w:rPr>
              <w:t>综上所述</w:t>
            </w:r>
            <w:r>
              <w:rPr>
                <w:rFonts w:hint="eastAsia" w:ascii="Times New Roman" w:hAnsi="Times New Roman" w:eastAsia="宋体" w:cs="Times New Roman"/>
                <w:b w:val="0"/>
                <w:bCs/>
                <w:color w:val="auto"/>
                <w:sz w:val="24"/>
                <w:szCs w:val="24"/>
                <w:lang w:eastAsia="zh-CN"/>
              </w:rPr>
              <w:t>，</w:t>
            </w:r>
            <w:r>
              <w:rPr>
                <w:rFonts w:ascii="Times New Roman" w:hAnsi="Times New Roman" w:eastAsia="宋体" w:cs="Times New Roman"/>
                <w:b w:val="0"/>
                <w:bCs/>
                <w:color w:val="auto"/>
                <w:sz w:val="24"/>
                <w:szCs w:val="24"/>
              </w:rPr>
              <w:t>本项目符合开发区环境保护的总体要求</w:t>
            </w:r>
            <w:r>
              <w:rPr>
                <w:rFonts w:hint="eastAsia" w:ascii="Times New Roman" w:hAnsi="Times New Roman" w:eastAsia="宋体" w:cs="Times New Roman"/>
                <w:b w:val="0"/>
                <w:bCs/>
                <w:color w:val="auto"/>
                <w:sz w:val="24"/>
                <w:szCs w:val="24"/>
                <w:lang w:eastAsia="zh-CN"/>
              </w:rPr>
              <w:t>，</w:t>
            </w:r>
            <w:r>
              <w:rPr>
                <w:rFonts w:ascii="Times New Roman" w:hAnsi="Times New Roman" w:eastAsia="宋体" w:cs="Times New Roman"/>
                <w:b w:val="0"/>
                <w:bCs/>
                <w:color w:val="auto"/>
                <w:sz w:val="24"/>
                <w:szCs w:val="24"/>
              </w:rPr>
              <w:t>符合</w:t>
            </w:r>
            <w:r>
              <w:rPr>
                <w:rFonts w:hint="eastAsia" w:ascii="Times New Roman" w:hAnsi="Times New Roman" w:cs="Times New Roman"/>
                <w:b w:val="0"/>
                <w:bCs/>
                <w:color w:val="auto"/>
                <w:sz w:val="24"/>
                <w:szCs w:val="24"/>
                <w:lang w:val="en-US" w:eastAsia="zh-CN"/>
              </w:rPr>
              <w:t>江苏</w:t>
            </w:r>
            <w:r>
              <w:rPr>
                <w:rFonts w:ascii="Times New Roman" w:hAnsi="Times New Roman" w:eastAsia="宋体" w:cs="Times New Roman"/>
                <w:b w:val="0"/>
                <w:bCs/>
                <w:color w:val="auto"/>
                <w:sz w:val="24"/>
                <w:szCs w:val="24"/>
              </w:rPr>
              <w:t>涟水经济开发区规划环评结论及审查意见</w:t>
            </w:r>
            <w:r>
              <w:rPr>
                <w:rFonts w:hint="eastAsia" w:ascii="Times New Roman" w:hAnsi="Times New Roman" w:eastAsia="宋体" w:cs="Times New Roman"/>
                <w:b w:val="0"/>
                <w:bCs/>
                <w:color w:val="auto"/>
                <w:sz w:val="24"/>
                <w:szCs w:val="24"/>
                <w:lang w:eastAsia="zh-CN"/>
              </w:rPr>
              <w:t>，</w:t>
            </w:r>
            <w:r>
              <w:rPr>
                <w:rFonts w:ascii="Times New Roman" w:hAnsi="Times New Roman" w:eastAsia="宋体" w:cs="Times New Roman"/>
                <w:b w:val="0"/>
                <w:bCs/>
                <w:color w:val="auto"/>
                <w:sz w:val="24"/>
                <w:szCs w:val="24"/>
              </w:rPr>
              <w:t>符合生态环境准入要求</w:t>
            </w:r>
            <w:r>
              <w:rPr>
                <w:rFonts w:hint="eastAsia" w:ascii="Times New Roman" w:hAnsi="Times New Roman" w:eastAsia="宋体" w:cs="Times New Roman"/>
                <w:b w:val="0"/>
                <w:bCs/>
                <w:color w:val="auto"/>
                <w:sz w:val="24"/>
                <w:szCs w:val="24"/>
                <w:lang w:eastAsia="zh-CN"/>
              </w:rPr>
              <w:t>。</w:t>
            </w:r>
          </w:p>
        </w:tc>
      </w:tr>
      <w:tr w14:paraId="4A639474">
        <w:tblPrEx>
          <w:tblCellMar>
            <w:top w:w="0" w:type="dxa"/>
            <w:left w:w="108" w:type="dxa"/>
            <w:bottom w:w="0" w:type="dxa"/>
            <w:right w:w="108" w:type="dxa"/>
          </w:tblCellMar>
        </w:tblPrEx>
        <w:trPr>
          <w:trHeight w:val="13240" w:hRule="atLeast"/>
          <w:jc w:val="center"/>
        </w:trPr>
        <w:tc>
          <w:tcPr>
            <w:tcW w:w="817" w:type="dxa"/>
            <w:noWrap w:val="0"/>
            <w:vAlign w:val="center"/>
          </w:tcPr>
          <w:p w14:paraId="558F977B">
            <w:pPr>
              <w:autoSpaceDE w:val="0"/>
              <w:autoSpaceDN w:val="0"/>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其他符合性分析</w:t>
            </w:r>
          </w:p>
        </w:tc>
        <w:tc>
          <w:tcPr>
            <w:tcW w:w="8053" w:type="dxa"/>
            <w:gridSpan w:val="3"/>
            <w:noWrap w:val="0"/>
            <w:vAlign w:val="center"/>
          </w:tcPr>
          <w:p w14:paraId="135CE16D">
            <w:pPr>
              <w:keepNext w:val="0"/>
              <w:keepLines w:val="0"/>
              <w:pageBreakBefore w:val="0"/>
              <w:widowControl w:val="0"/>
              <w:numPr>
                <w:ilvl w:val="0"/>
                <w:numId w:val="2"/>
              </w:numPr>
              <w:kinsoku/>
              <w:wordWrap/>
              <w:overflowPunct/>
              <w:topLinePunct w:val="0"/>
              <w:autoSpaceDE w:val="0"/>
              <w:autoSpaceDN w:val="0"/>
              <w:bidi w:val="0"/>
              <w:adjustRightInd w:val="0"/>
              <w:snapToGrid w:val="0"/>
              <w:spacing w:line="360" w:lineRule="auto"/>
              <w:ind w:firstLine="482" w:firstLineChars="200"/>
              <w:textAlignment w:val="auto"/>
              <w:rPr>
                <w:b/>
                <w:bCs/>
                <w:color w:val="auto"/>
                <w:sz w:val="24"/>
              </w:rPr>
            </w:pPr>
            <w:r>
              <w:rPr>
                <w:rFonts w:hint="eastAsia"/>
                <w:b/>
                <w:bCs/>
                <w:color w:val="auto"/>
                <w:sz w:val="24"/>
              </w:rPr>
              <w:t>“三线一单”相符性分析</w:t>
            </w:r>
          </w:p>
          <w:p w14:paraId="6ACFAFCF">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color w:val="auto"/>
                <w:sz w:val="24"/>
              </w:rPr>
            </w:pPr>
            <w:r>
              <w:rPr>
                <w:color w:val="auto"/>
                <w:sz w:val="24"/>
              </w:rPr>
              <w:t>（1）生态红线</w:t>
            </w:r>
          </w:p>
          <w:p w14:paraId="4E01E133">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color w:val="auto"/>
              </w:rPr>
            </w:pPr>
            <w:r>
              <w:rPr>
                <w:color w:val="auto"/>
                <w:sz w:val="24"/>
              </w:rPr>
              <w:t>①拟建项目与《省政府关于印发江苏省生态空间管控区域规划的通知》（苏政发〔2020〕1号）相符性分析见</w:t>
            </w:r>
            <w:r>
              <w:rPr>
                <w:rFonts w:hint="eastAsia"/>
                <w:color w:val="auto"/>
                <w:sz w:val="24"/>
                <w:lang w:val="en-US" w:eastAsia="zh-CN"/>
              </w:rPr>
              <w:t>下表</w:t>
            </w:r>
            <w:r>
              <w:rPr>
                <w:color w:val="auto"/>
                <w:sz w:val="24"/>
              </w:rPr>
              <w:t>。</w:t>
            </w:r>
          </w:p>
          <w:p w14:paraId="72A3E856">
            <w:pPr>
              <w:pStyle w:val="17"/>
              <w:spacing w:line="240" w:lineRule="auto"/>
              <w:ind w:left="105" w:leftChars="50"/>
              <w:jc w:val="center"/>
              <w:rPr>
                <w:rFonts w:ascii="Times New Roman" w:hAnsi="Times New Roman"/>
                <w:color w:val="auto"/>
                <w:sz w:val="21"/>
                <w:szCs w:val="21"/>
              </w:rPr>
            </w:pPr>
            <w:r>
              <w:rPr>
                <w:rFonts w:ascii="Times New Roman" w:hAnsi="Times New Roman"/>
                <w:b/>
                <w:bCs/>
                <w:color w:val="auto"/>
                <w:sz w:val="21"/>
                <w:szCs w:val="21"/>
              </w:rPr>
              <w:t>表1-</w:t>
            </w:r>
            <w:r>
              <w:rPr>
                <w:rFonts w:hint="eastAsia" w:ascii="Times New Roman" w:hAnsi="Times New Roman"/>
                <w:b/>
                <w:bCs/>
                <w:color w:val="auto"/>
                <w:sz w:val="21"/>
                <w:szCs w:val="21"/>
                <w:lang w:val="en-US" w:eastAsia="zh-CN"/>
              </w:rPr>
              <w:t xml:space="preserve">3  </w:t>
            </w:r>
            <w:r>
              <w:rPr>
                <w:rFonts w:ascii="Times New Roman" w:hAnsi="Times New Roman"/>
                <w:b/>
                <w:bCs/>
                <w:color w:val="auto"/>
                <w:sz w:val="21"/>
                <w:szCs w:val="21"/>
              </w:rPr>
              <w:t>本项目与苏政发〔2020〕1号文相符性分析</w:t>
            </w:r>
          </w:p>
          <w:tbl>
            <w:tblPr>
              <w:tblStyle w:val="2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74"/>
              <w:gridCol w:w="696"/>
              <w:gridCol w:w="696"/>
              <w:gridCol w:w="2326"/>
              <w:gridCol w:w="2099"/>
              <w:gridCol w:w="1143"/>
            </w:tblGrid>
            <w:tr w14:paraId="39156FFC">
              <w:tc>
                <w:tcPr>
                  <w:tcW w:w="558" w:type="pct"/>
                  <w:vMerge w:val="restart"/>
                  <w:noWrap w:val="0"/>
                  <w:vAlign w:val="center"/>
                </w:tcPr>
                <w:p w14:paraId="165B980A">
                  <w:pPr>
                    <w:pStyle w:val="36"/>
                    <w:bidi w:val="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生态空间保护区域名称</w:t>
                  </w:r>
                </w:p>
              </w:tc>
              <w:tc>
                <w:tcPr>
                  <w:tcW w:w="444" w:type="pct"/>
                  <w:vMerge w:val="restart"/>
                  <w:noWrap w:val="0"/>
                  <w:vAlign w:val="center"/>
                </w:tcPr>
                <w:p w14:paraId="6E19E25C">
                  <w:pPr>
                    <w:pStyle w:val="36"/>
                    <w:bidi w:val="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县（市、区）</w:t>
                  </w:r>
                </w:p>
              </w:tc>
              <w:tc>
                <w:tcPr>
                  <w:tcW w:w="444" w:type="pct"/>
                  <w:vMerge w:val="restart"/>
                  <w:noWrap w:val="0"/>
                  <w:vAlign w:val="center"/>
                </w:tcPr>
                <w:p w14:paraId="1BA0C747">
                  <w:pPr>
                    <w:pStyle w:val="36"/>
                    <w:bidi w:val="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主导生态功能</w:t>
                  </w:r>
                </w:p>
              </w:tc>
              <w:tc>
                <w:tcPr>
                  <w:tcW w:w="2823" w:type="pct"/>
                  <w:gridSpan w:val="2"/>
                  <w:noWrap w:val="0"/>
                  <w:vAlign w:val="center"/>
                </w:tcPr>
                <w:p w14:paraId="265D9D35">
                  <w:pPr>
                    <w:pStyle w:val="36"/>
                    <w:bidi w:val="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范围</w:t>
                  </w:r>
                </w:p>
              </w:tc>
              <w:tc>
                <w:tcPr>
                  <w:tcW w:w="729" w:type="pct"/>
                  <w:vMerge w:val="restart"/>
                  <w:noWrap w:val="0"/>
                  <w:vAlign w:val="center"/>
                </w:tcPr>
                <w:p w14:paraId="3D4897B8">
                  <w:pPr>
                    <w:pStyle w:val="36"/>
                    <w:bidi w:val="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与本项目位置关系</w:t>
                  </w:r>
                </w:p>
              </w:tc>
            </w:tr>
            <w:tr w14:paraId="7AF761C5">
              <w:tc>
                <w:tcPr>
                  <w:tcW w:w="558" w:type="pct"/>
                  <w:vMerge w:val="continue"/>
                  <w:noWrap w:val="0"/>
                  <w:vAlign w:val="center"/>
                </w:tcPr>
                <w:p w14:paraId="7113507A">
                  <w:pPr>
                    <w:pStyle w:val="36"/>
                    <w:bidi w:val="0"/>
                    <w:rPr>
                      <w:rFonts w:hint="default" w:ascii="Times New Roman" w:hAnsi="Times New Roman" w:eastAsia="宋体" w:cs="Times New Roman"/>
                      <w:color w:val="auto"/>
                      <w:sz w:val="21"/>
                    </w:rPr>
                  </w:pPr>
                </w:p>
              </w:tc>
              <w:tc>
                <w:tcPr>
                  <w:tcW w:w="444" w:type="pct"/>
                  <w:vMerge w:val="continue"/>
                  <w:noWrap w:val="0"/>
                  <w:vAlign w:val="center"/>
                </w:tcPr>
                <w:p w14:paraId="6FC62BD3">
                  <w:pPr>
                    <w:pStyle w:val="36"/>
                    <w:bidi w:val="0"/>
                    <w:rPr>
                      <w:rFonts w:hint="default" w:ascii="Times New Roman" w:hAnsi="Times New Roman" w:eastAsia="宋体" w:cs="Times New Roman"/>
                      <w:color w:val="auto"/>
                      <w:sz w:val="21"/>
                    </w:rPr>
                  </w:pPr>
                </w:p>
              </w:tc>
              <w:tc>
                <w:tcPr>
                  <w:tcW w:w="444" w:type="pct"/>
                  <w:vMerge w:val="continue"/>
                  <w:noWrap w:val="0"/>
                  <w:vAlign w:val="center"/>
                </w:tcPr>
                <w:p w14:paraId="660BFCE7">
                  <w:pPr>
                    <w:pStyle w:val="36"/>
                    <w:bidi w:val="0"/>
                    <w:rPr>
                      <w:rFonts w:hint="default" w:ascii="Times New Roman" w:hAnsi="Times New Roman" w:eastAsia="宋体" w:cs="Times New Roman"/>
                      <w:color w:val="auto"/>
                      <w:sz w:val="21"/>
                    </w:rPr>
                  </w:pPr>
                </w:p>
              </w:tc>
              <w:tc>
                <w:tcPr>
                  <w:tcW w:w="1484" w:type="pct"/>
                  <w:noWrap w:val="0"/>
                  <w:vAlign w:val="center"/>
                </w:tcPr>
                <w:p w14:paraId="06ED24C4">
                  <w:pPr>
                    <w:pStyle w:val="36"/>
                    <w:bidi w:val="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国家级</w:t>
                  </w:r>
                  <w:r>
                    <w:rPr>
                      <w:rFonts w:hint="eastAsia" w:ascii="Times New Roman" w:cs="Times New Roman"/>
                      <w:color w:val="auto"/>
                      <w:sz w:val="21"/>
                      <w:lang w:eastAsia="zh-CN"/>
                    </w:rPr>
                    <w:t>生态保护红线</w:t>
                  </w:r>
                  <w:r>
                    <w:rPr>
                      <w:rFonts w:hint="default" w:ascii="Times New Roman" w:hAnsi="Times New Roman" w:eastAsia="宋体" w:cs="Times New Roman"/>
                      <w:color w:val="auto"/>
                      <w:sz w:val="21"/>
                    </w:rPr>
                    <w:t>范围</w:t>
                  </w:r>
                </w:p>
              </w:tc>
              <w:tc>
                <w:tcPr>
                  <w:tcW w:w="1338" w:type="pct"/>
                  <w:noWrap w:val="0"/>
                  <w:vAlign w:val="center"/>
                </w:tcPr>
                <w:p w14:paraId="6B37E427">
                  <w:pPr>
                    <w:pStyle w:val="36"/>
                    <w:bidi w:val="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生态空间管控区域范围</w:t>
                  </w:r>
                </w:p>
              </w:tc>
              <w:tc>
                <w:tcPr>
                  <w:tcW w:w="729" w:type="pct"/>
                  <w:vMerge w:val="continue"/>
                  <w:noWrap w:val="0"/>
                  <w:vAlign w:val="center"/>
                </w:tcPr>
                <w:p w14:paraId="42A94D53">
                  <w:pPr>
                    <w:pStyle w:val="36"/>
                    <w:bidi w:val="0"/>
                    <w:rPr>
                      <w:rFonts w:hint="default" w:ascii="Times New Roman" w:hAnsi="Times New Roman" w:eastAsia="宋体" w:cs="Times New Roman"/>
                      <w:color w:val="auto"/>
                      <w:sz w:val="21"/>
                    </w:rPr>
                  </w:pPr>
                </w:p>
              </w:tc>
            </w:tr>
            <w:tr w14:paraId="0FDD4D6E">
              <w:tc>
                <w:tcPr>
                  <w:tcW w:w="558" w:type="pct"/>
                  <w:noWrap w:val="0"/>
                  <w:vAlign w:val="center"/>
                </w:tcPr>
                <w:p w14:paraId="315A537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rPr>
                  </w:pPr>
                  <w:r>
                    <w:rPr>
                      <w:rFonts w:ascii="Times New Roman" w:hAnsi="Times New Roman" w:eastAsia="宋体"/>
                      <w:color w:val="auto"/>
                      <w:sz w:val="21"/>
                      <w:szCs w:val="21"/>
                      <w:lang w:bidi="ar"/>
                    </w:rPr>
                    <w:t>废黄河（涟水县）重要湿地</w:t>
                  </w:r>
                </w:p>
              </w:tc>
              <w:tc>
                <w:tcPr>
                  <w:tcW w:w="444" w:type="pct"/>
                  <w:noWrap w:val="0"/>
                  <w:vAlign w:val="center"/>
                </w:tcPr>
                <w:p w14:paraId="7F0A53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lang w:val="en-US" w:eastAsia="zh-CN"/>
                    </w:rPr>
                  </w:pPr>
                  <w:r>
                    <w:rPr>
                      <w:rFonts w:ascii="Times New Roman" w:hAnsi="Times New Roman" w:eastAsia="宋体"/>
                      <w:color w:val="auto"/>
                      <w:sz w:val="21"/>
                      <w:szCs w:val="21"/>
                      <w:lang w:bidi="ar"/>
                    </w:rPr>
                    <w:t>涟水县</w:t>
                  </w:r>
                </w:p>
              </w:tc>
              <w:tc>
                <w:tcPr>
                  <w:tcW w:w="444" w:type="pct"/>
                  <w:noWrap w:val="0"/>
                  <w:vAlign w:val="center"/>
                </w:tcPr>
                <w:p w14:paraId="4A7D7DA7">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center"/>
                    <w:rPr>
                      <w:rFonts w:hint="default" w:ascii="Times New Roman" w:hAnsi="Times New Roman" w:eastAsia="宋体" w:cs="Times New Roman"/>
                      <w:color w:val="auto"/>
                      <w:sz w:val="21"/>
                    </w:rPr>
                  </w:pPr>
                  <w:r>
                    <w:rPr>
                      <w:rFonts w:ascii="Times New Roman" w:hAnsi="Times New Roman" w:eastAsia="宋体"/>
                      <w:color w:val="auto"/>
                      <w:sz w:val="21"/>
                      <w:szCs w:val="21"/>
                      <w:lang w:bidi="ar"/>
                    </w:rPr>
                    <w:t>湿地生态系统保护</w:t>
                  </w:r>
                </w:p>
              </w:tc>
              <w:tc>
                <w:tcPr>
                  <w:tcW w:w="1484" w:type="pct"/>
                  <w:noWrap w:val="0"/>
                  <w:vAlign w:val="center"/>
                </w:tcPr>
                <w:p w14:paraId="77D1181E">
                  <w:pPr>
                    <w:pStyle w:val="36"/>
                    <w:bidi w:val="0"/>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w:t>
                  </w:r>
                </w:p>
              </w:tc>
              <w:tc>
                <w:tcPr>
                  <w:tcW w:w="1338" w:type="pct"/>
                  <w:noWrap w:val="0"/>
                  <w:vAlign w:val="center"/>
                </w:tcPr>
                <w:p w14:paraId="58EE3CEC">
                  <w:pPr>
                    <w:pStyle w:val="36"/>
                    <w:bidi w:val="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涟水县境内全长78公里，入口保滩镇殷家渡，出口石湖镇张滩，废黄河北岸保滩镇周庄村至石湖镇张滩村</w:t>
                  </w:r>
                </w:p>
              </w:tc>
              <w:tc>
                <w:tcPr>
                  <w:tcW w:w="729" w:type="pct"/>
                  <w:noWrap w:val="0"/>
                  <w:vAlign w:val="center"/>
                </w:tcPr>
                <w:p w14:paraId="5B1FFD9D">
                  <w:pPr>
                    <w:pStyle w:val="36"/>
                    <w:bidi w:val="0"/>
                    <w:rPr>
                      <w:rFonts w:hint="default" w:ascii="Times New Roman" w:hAnsi="Times New Roman" w:eastAsia="宋体" w:cs="Times New Roman"/>
                      <w:color w:val="auto"/>
                      <w:sz w:val="21"/>
                      <w:lang w:val="en-US" w:eastAsia="zh-CN"/>
                    </w:rPr>
                  </w:pPr>
                  <w:r>
                    <w:rPr>
                      <w:rFonts w:hint="eastAsia" w:ascii="Times New Roman" w:cs="Times New Roman"/>
                      <w:color w:val="auto"/>
                      <w:sz w:val="21"/>
                      <w:lang w:val="en-US" w:eastAsia="zh-CN"/>
                    </w:rPr>
                    <w:t>S5.58</w:t>
                  </w:r>
                  <w:r>
                    <w:rPr>
                      <w:rFonts w:hint="default" w:ascii="Times New Roman" w:hAnsi="Times New Roman" w:eastAsia="宋体" w:cs="Times New Roman"/>
                      <w:color w:val="auto"/>
                      <w:sz w:val="21"/>
                      <w:lang w:val="en-US" w:eastAsia="zh-CN"/>
                    </w:rPr>
                    <w:t>km</w:t>
                  </w:r>
                </w:p>
              </w:tc>
            </w:tr>
          </w:tbl>
          <w:p w14:paraId="5DDEA58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color w:val="auto"/>
                <w:sz w:val="24"/>
              </w:rPr>
            </w:pPr>
            <w:r>
              <w:rPr>
                <w:color w:val="auto"/>
                <w:sz w:val="24"/>
              </w:rPr>
              <w:t>由表可知，距离建设项目最近的江苏省生态空间管控区域为</w:t>
            </w:r>
            <w:r>
              <w:rPr>
                <w:rFonts w:hint="eastAsia"/>
                <w:color w:val="auto"/>
                <w:sz w:val="24"/>
                <w:lang w:val="en-US" w:eastAsia="zh-CN"/>
              </w:rPr>
              <w:t>废黄河（涟水县）重要湿地</w:t>
            </w:r>
            <w:r>
              <w:rPr>
                <w:color w:val="auto"/>
                <w:sz w:val="24"/>
              </w:rPr>
              <w:t>，距</w:t>
            </w:r>
            <w:r>
              <w:rPr>
                <w:rFonts w:hint="eastAsia"/>
                <w:color w:val="auto"/>
                <w:sz w:val="24"/>
                <w:lang w:val="en-US" w:eastAsia="zh-CN"/>
              </w:rPr>
              <w:t>其</w:t>
            </w:r>
            <w:r>
              <w:rPr>
                <w:color w:val="auto"/>
                <w:sz w:val="24"/>
              </w:rPr>
              <w:t>边界</w:t>
            </w:r>
            <w:r>
              <w:rPr>
                <w:rFonts w:hint="eastAsia"/>
                <w:color w:val="auto"/>
                <w:sz w:val="24"/>
                <w:lang w:val="en-US" w:eastAsia="zh-CN"/>
              </w:rPr>
              <w:t>约5.58</w:t>
            </w:r>
            <w:r>
              <w:rPr>
                <w:color w:val="auto"/>
                <w:sz w:val="24"/>
              </w:rPr>
              <w:t>km左右，不在生态空间管控区域范围内，因此项目建设与《省政府关于印发江苏省生态空间管控区域规划的通知》（苏政发〔2020〕1号）相符。</w:t>
            </w:r>
          </w:p>
          <w:p w14:paraId="6957DECF">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color w:val="auto"/>
                <w:sz w:val="24"/>
              </w:rPr>
            </w:pPr>
            <w:r>
              <w:rPr>
                <w:color w:val="auto"/>
                <w:sz w:val="24"/>
              </w:rPr>
              <w:t>②拟建项目与《江苏省国家级生态保护红线规划》（苏政发〔2018〕74号）相符性分析见</w:t>
            </w:r>
            <w:r>
              <w:rPr>
                <w:rFonts w:hint="eastAsia"/>
                <w:color w:val="auto"/>
                <w:sz w:val="24"/>
                <w:lang w:val="en-US" w:eastAsia="zh-CN"/>
              </w:rPr>
              <w:t>下表</w:t>
            </w:r>
            <w:r>
              <w:rPr>
                <w:color w:val="auto"/>
                <w:sz w:val="24"/>
              </w:rPr>
              <w:t>。</w:t>
            </w:r>
          </w:p>
          <w:p w14:paraId="08F66B11">
            <w:pPr>
              <w:pStyle w:val="17"/>
              <w:spacing w:line="240" w:lineRule="auto"/>
              <w:ind w:left="105" w:leftChars="50"/>
              <w:jc w:val="center"/>
              <w:rPr>
                <w:rFonts w:ascii="Times New Roman" w:hAnsi="Times New Roman"/>
                <w:b/>
                <w:bCs/>
                <w:color w:val="auto"/>
                <w:sz w:val="21"/>
                <w:szCs w:val="21"/>
              </w:rPr>
            </w:pPr>
            <w:r>
              <w:rPr>
                <w:rFonts w:ascii="Times New Roman" w:hAnsi="Times New Roman"/>
                <w:b/>
                <w:bCs/>
                <w:color w:val="auto"/>
                <w:sz w:val="21"/>
                <w:szCs w:val="21"/>
              </w:rPr>
              <w:t>表1-</w:t>
            </w:r>
            <w:r>
              <w:rPr>
                <w:rFonts w:hint="eastAsia" w:ascii="Times New Roman" w:hAnsi="Times New Roman"/>
                <w:b/>
                <w:bCs/>
                <w:color w:val="auto"/>
                <w:sz w:val="21"/>
                <w:szCs w:val="21"/>
                <w:lang w:val="en-US" w:eastAsia="zh-CN"/>
              </w:rPr>
              <w:t xml:space="preserve">4  </w:t>
            </w:r>
            <w:r>
              <w:rPr>
                <w:rFonts w:ascii="Times New Roman" w:hAnsi="Times New Roman"/>
                <w:b/>
                <w:bCs/>
                <w:color w:val="auto"/>
                <w:sz w:val="21"/>
                <w:szCs w:val="21"/>
              </w:rPr>
              <w:t>本项目与苏政发〔2018〕74号文相符性分析</w:t>
            </w:r>
          </w:p>
          <w:tbl>
            <w:tblPr>
              <w:tblStyle w:val="2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56"/>
              <w:gridCol w:w="596"/>
              <w:gridCol w:w="785"/>
              <w:gridCol w:w="525"/>
              <w:gridCol w:w="3467"/>
              <w:gridCol w:w="923"/>
              <w:gridCol w:w="982"/>
            </w:tblGrid>
            <w:tr w14:paraId="6FADB268">
              <w:trPr>
                <w:cantSplit/>
                <w:trHeight w:val="284" w:hRule="atLeast"/>
              </w:trPr>
              <w:tc>
                <w:tcPr>
                  <w:tcW w:w="735" w:type="pct"/>
                  <w:gridSpan w:val="2"/>
                  <w:tcBorders>
                    <w:top w:val="single" w:color="auto" w:sz="12" w:space="0"/>
                    <w:left w:val="nil"/>
                    <w:bottom w:val="single" w:color="auto" w:sz="4" w:space="0"/>
                    <w:right w:val="single" w:color="auto" w:sz="4" w:space="0"/>
                  </w:tcBorders>
                  <w:noWrap w:val="0"/>
                  <w:vAlign w:val="center"/>
                </w:tcPr>
                <w:p w14:paraId="1FAD9C15">
                  <w:pPr>
                    <w:adjustRightInd w:val="0"/>
                    <w:snapToGrid w:val="0"/>
                    <w:spacing w:line="240" w:lineRule="auto"/>
                    <w:ind w:firstLine="0" w:firstLineChars="0"/>
                    <w:jc w:val="center"/>
                    <w:rPr>
                      <w:rFonts w:hint="default" w:ascii="Times New Roman" w:hAnsi="Times New Roman" w:eastAsia="宋体" w:cs="Times New Roman"/>
                      <w:b w:val="0"/>
                      <w:bCs/>
                      <w:snapToGrid w:val="0"/>
                      <w:color w:val="auto"/>
                      <w:sz w:val="21"/>
                      <w:szCs w:val="21"/>
                    </w:rPr>
                  </w:pPr>
                  <w:r>
                    <w:rPr>
                      <w:rFonts w:hint="default" w:ascii="Times New Roman" w:hAnsi="Times New Roman" w:eastAsia="宋体" w:cs="Times New Roman"/>
                      <w:b w:val="0"/>
                      <w:bCs/>
                      <w:snapToGrid w:val="0"/>
                      <w:color w:val="auto"/>
                      <w:sz w:val="21"/>
                      <w:szCs w:val="21"/>
                    </w:rPr>
                    <w:t>所在行政区域</w:t>
                  </w:r>
                </w:p>
              </w:tc>
              <w:tc>
                <w:tcPr>
                  <w:tcW w:w="501" w:type="pct"/>
                  <w:vMerge w:val="restart"/>
                  <w:tcBorders>
                    <w:top w:val="single" w:color="auto" w:sz="12" w:space="0"/>
                    <w:left w:val="single" w:color="auto" w:sz="4" w:space="0"/>
                    <w:bottom w:val="single" w:color="auto" w:sz="4" w:space="0"/>
                    <w:right w:val="single" w:color="auto" w:sz="4" w:space="0"/>
                  </w:tcBorders>
                  <w:noWrap w:val="0"/>
                  <w:vAlign w:val="center"/>
                </w:tcPr>
                <w:p w14:paraId="33D5B8F0">
                  <w:pPr>
                    <w:adjustRightInd w:val="0"/>
                    <w:snapToGrid w:val="0"/>
                    <w:spacing w:line="240" w:lineRule="auto"/>
                    <w:ind w:firstLine="0" w:firstLineChars="0"/>
                    <w:jc w:val="center"/>
                    <w:rPr>
                      <w:rFonts w:hint="default" w:ascii="Times New Roman" w:hAnsi="Times New Roman" w:eastAsia="宋体" w:cs="Times New Roman"/>
                      <w:b w:val="0"/>
                      <w:bCs/>
                      <w:snapToGrid w:val="0"/>
                      <w:color w:val="auto"/>
                      <w:sz w:val="21"/>
                      <w:szCs w:val="21"/>
                    </w:rPr>
                  </w:pPr>
                  <w:r>
                    <w:rPr>
                      <w:rFonts w:hint="default" w:ascii="Times New Roman" w:hAnsi="Times New Roman" w:eastAsia="宋体" w:cs="Times New Roman"/>
                      <w:b w:val="0"/>
                      <w:bCs/>
                      <w:snapToGrid w:val="0"/>
                      <w:color w:val="auto"/>
                      <w:sz w:val="21"/>
                      <w:szCs w:val="21"/>
                    </w:rPr>
                    <w:t>生态保护红线名称</w:t>
                  </w:r>
                </w:p>
              </w:tc>
              <w:tc>
                <w:tcPr>
                  <w:tcW w:w="335" w:type="pct"/>
                  <w:vMerge w:val="restart"/>
                  <w:tcBorders>
                    <w:top w:val="single" w:color="auto" w:sz="12" w:space="0"/>
                    <w:left w:val="single" w:color="auto" w:sz="4" w:space="0"/>
                    <w:bottom w:val="single" w:color="auto" w:sz="4" w:space="0"/>
                    <w:right w:val="single" w:color="auto" w:sz="4" w:space="0"/>
                  </w:tcBorders>
                  <w:noWrap w:val="0"/>
                  <w:vAlign w:val="center"/>
                </w:tcPr>
                <w:p w14:paraId="54A60FED">
                  <w:pPr>
                    <w:adjustRightInd w:val="0"/>
                    <w:snapToGrid w:val="0"/>
                    <w:spacing w:line="240" w:lineRule="auto"/>
                    <w:ind w:firstLine="0" w:firstLineChars="0"/>
                    <w:jc w:val="center"/>
                    <w:rPr>
                      <w:rFonts w:hint="default" w:ascii="Times New Roman" w:hAnsi="Times New Roman" w:eastAsia="宋体" w:cs="Times New Roman"/>
                      <w:b w:val="0"/>
                      <w:bCs/>
                      <w:snapToGrid w:val="0"/>
                      <w:color w:val="auto"/>
                      <w:sz w:val="21"/>
                      <w:szCs w:val="21"/>
                    </w:rPr>
                  </w:pPr>
                  <w:r>
                    <w:rPr>
                      <w:rFonts w:hint="default" w:ascii="Times New Roman" w:hAnsi="Times New Roman" w:eastAsia="宋体" w:cs="Times New Roman"/>
                      <w:b w:val="0"/>
                      <w:bCs/>
                      <w:snapToGrid w:val="0"/>
                      <w:color w:val="auto"/>
                      <w:sz w:val="21"/>
                      <w:szCs w:val="21"/>
                    </w:rPr>
                    <w:t>类型</w:t>
                  </w:r>
                </w:p>
              </w:tc>
              <w:tc>
                <w:tcPr>
                  <w:tcW w:w="2212" w:type="pct"/>
                  <w:vMerge w:val="restart"/>
                  <w:tcBorders>
                    <w:top w:val="single" w:color="auto" w:sz="12" w:space="0"/>
                    <w:left w:val="single" w:color="auto" w:sz="4" w:space="0"/>
                    <w:bottom w:val="single" w:color="auto" w:sz="4" w:space="0"/>
                    <w:right w:val="single" w:color="auto" w:sz="4" w:space="0"/>
                  </w:tcBorders>
                  <w:noWrap w:val="0"/>
                  <w:vAlign w:val="center"/>
                </w:tcPr>
                <w:p w14:paraId="14AA0CDE">
                  <w:pPr>
                    <w:adjustRightInd w:val="0"/>
                    <w:snapToGrid w:val="0"/>
                    <w:spacing w:line="240" w:lineRule="auto"/>
                    <w:ind w:firstLine="0" w:firstLineChars="0"/>
                    <w:jc w:val="center"/>
                    <w:rPr>
                      <w:rFonts w:hint="default" w:ascii="Times New Roman" w:hAnsi="Times New Roman" w:eastAsia="宋体" w:cs="Times New Roman"/>
                      <w:b w:val="0"/>
                      <w:bCs/>
                      <w:snapToGrid w:val="0"/>
                      <w:color w:val="auto"/>
                      <w:sz w:val="21"/>
                      <w:szCs w:val="21"/>
                    </w:rPr>
                  </w:pPr>
                  <w:r>
                    <w:rPr>
                      <w:rFonts w:hint="default" w:ascii="Times New Roman" w:hAnsi="Times New Roman" w:eastAsia="宋体" w:cs="Times New Roman"/>
                      <w:b w:val="0"/>
                      <w:bCs/>
                      <w:snapToGrid w:val="0"/>
                      <w:color w:val="auto"/>
                      <w:sz w:val="21"/>
                      <w:szCs w:val="21"/>
                    </w:rPr>
                    <w:t>地理位置</w:t>
                  </w:r>
                </w:p>
              </w:tc>
              <w:tc>
                <w:tcPr>
                  <w:tcW w:w="589" w:type="pct"/>
                  <w:vMerge w:val="restart"/>
                  <w:tcBorders>
                    <w:top w:val="single" w:color="auto" w:sz="12" w:space="0"/>
                    <w:left w:val="single" w:color="auto" w:sz="4" w:space="0"/>
                    <w:bottom w:val="single" w:color="auto" w:sz="4" w:space="0"/>
                    <w:right w:val="single" w:color="auto" w:sz="4" w:space="0"/>
                  </w:tcBorders>
                  <w:noWrap w:val="0"/>
                  <w:vAlign w:val="center"/>
                </w:tcPr>
                <w:p w14:paraId="4D11A2BC">
                  <w:pPr>
                    <w:adjustRightInd w:val="0"/>
                    <w:snapToGrid w:val="0"/>
                    <w:spacing w:line="240" w:lineRule="auto"/>
                    <w:ind w:firstLine="0" w:firstLineChars="0"/>
                    <w:jc w:val="center"/>
                    <w:rPr>
                      <w:rFonts w:hint="default" w:ascii="Times New Roman" w:hAnsi="Times New Roman" w:eastAsia="宋体" w:cs="Times New Roman"/>
                      <w:b w:val="0"/>
                      <w:bCs/>
                      <w:snapToGrid w:val="0"/>
                      <w:color w:val="auto"/>
                      <w:sz w:val="21"/>
                      <w:szCs w:val="21"/>
                    </w:rPr>
                  </w:pPr>
                  <w:r>
                    <w:rPr>
                      <w:rFonts w:hint="default" w:ascii="Times New Roman" w:hAnsi="Times New Roman" w:eastAsia="宋体" w:cs="Times New Roman"/>
                      <w:b w:val="0"/>
                      <w:bCs/>
                      <w:snapToGrid w:val="0"/>
                      <w:color w:val="auto"/>
                      <w:sz w:val="21"/>
                      <w:szCs w:val="21"/>
                    </w:rPr>
                    <w:t>区域面积（平方公里）</w:t>
                  </w:r>
                </w:p>
              </w:tc>
              <w:tc>
                <w:tcPr>
                  <w:tcW w:w="626" w:type="pct"/>
                  <w:vMerge w:val="restart"/>
                  <w:tcBorders>
                    <w:top w:val="single" w:color="auto" w:sz="12" w:space="0"/>
                    <w:left w:val="single" w:color="auto" w:sz="4" w:space="0"/>
                    <w:bottom w:val="single" w:color="auto" w:sz="4" w:space="0"/>
                    <w:right w:val="nil"/>
                  </w:tcBorders>
                  <w:noWrap w:val="0"/>
                  <w:vAlign w:val="center"/>
                </w:tcPr>
                <w:p w14:paraId="7540EBCC">
                  <w:pPr>
                    <w:pStyle w:val="36"/>
                    <w:bidi w:val="0"/>
                    <w:ind w:firstLine="0" w:firstLineChars="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lang w:val="en-US" w:eastAsia="zh-CN"/>
                    </w:rPr>
                    <w:t>与本项目位置关系</w:t>
                  </w:r>
                </w:p>
              </w:tc>
            </w:tr>
            <w:tr w14:paraId="3E09C1E7">
              <w:trPr>
                <w:cantSplit/>
                <w:trHeight w:val="284" w:hRule="atLeast"/>
              </w:trPr>
              <w:tc>
                <w:tcPr>
                  <w:tcW w:w="355" w:type="pct"/>
                  <w:tcBorders>
                    <w:top w:val="single" w:color="auto" w:sz="4" w:space="0"/>
                    <w:left w:val="nil"/>
                    <w:bottom w:val="single" w:color="auto" w:sz="4" w:space="0"/>
                    <w:right w:val="single" w:color="auto" w:sz="4" w:space="0"/>
                  </w:tcBorders>
                  <w:noWrap w:val="0"/>
                  <w:vAlign w:val="center"/>
                </w:tcPr>
                <w:p w14:paraId="04C5C174">
                  <w:pPr>
                    <w:adjustRightInd w:val="0"/>
                    <w:snapToGrid w:val="0"/>
                    <w:spacing w:line="240" w:lineRule="auto"/>
                    <w:ind w:firstLine="0" w:firstLineChars="0"/>
                    <w:jc w:val="center"/>
                    <w:rPr>
                      <w:rFonts w:hint="default" w:ascii="Times New Roman" w:hAnsi="Times New Roman" w:eastAsia="宋体" w:cs="Times New Roman"/>
                      <w:b w:val="0"/>
                      <w:bCs/>
                      <w:snapToGrid w:val="0"/>
                      <w:color w:val="auto"/>
                      <w:sz w:val="21"/>
                      <w:szCs w:val="21"/>
                    </w:rPr>
                  </w:pPr>
                  <w:r>
                    <w:rPr>
                      <w:rFonts w:hint="default" w:ascii="Times New Roman" w:hAnsi="Times New Roman" w:eastAsia="宋体" w:cs="Times New Roman"/>
                      <w:b w:val="0"/>
                      <w:bCs/>
                      <w:snapToGrid w:val="0"/>
                      <w:color w:val="auto"/>
                      <w:sz w:val="21"/>
                      <w:szCs w:val="21"/>
                    </w:rPr>
                    <w:t>市级</w:t>
                  </w:r>
                </w:p>
              </w:tc>
              <w:tc>
                <w:tcPr>
                  <w:tcW w:w="380" w:type="pct"/>
                  <w:tcBorders>
                    <w:top w:val="single" w:color="auto" w:sz="4" w:space="0"/>
                    <w:left w:val="single" w:color="auto" w:sz="4" w:space="0"/>
                    <w:bottom w:val="single" w:color="auto" w:sz="4" w:space="0"/>
                    <w:right w:val="single" w:color="auto" w:sz="4" w:space="0"/>
                  </w:tcBorders>
                  <w:noWrap w:val="0"/>
                  <w:vAlign w:val="center"/>
                </w:tcPr>
                <w:p w14:paraId="1376E46A">
                  <w:pPr>
                    <w:adjustRightInd w:val="0"/>
                    <w:snapToGrid w:val="0"/>
                    <w:spacing w:line="240" w:lineRule="auto"/>
                    <w:ind w:firstLine="0" w:firstLineChars="0"/>
                    <w:jc w:val="center"/>
                    <w:rPr>
                      <w:rFonts w:hint="default" w:ascii="Times New Roman" w:hAnsi="Times New Roman" w:eastAsia="宋体" w:cs="Times New Roman"/>
                      <w:b w:val="0"/>
                      <w:bCs/>
                      <w:snapToGrid w:val="0"/>
                      <w:color w:val="auto"/>
                      <w:sz w:val="21"/>
                      <w:szCs w:val="21"/>
                    </w:rPr>
                  </w:pPr>
                  <w:r>
                    <w:rPr>
                      <w:rFonts w:hint="default" w:ascii="Times New Roman" w:hAnsi="Times New Roman" w:eastAsia="宋体" w:cs="Times New Roman"/>
                      <w:b w:val="0"/>
                      <w:bCs/>
                      <w:snapToGrid w:val="0"/>
                      <w:color w:val="auto"/>
                      <w:sz w:val="21"/>
                      <w:szCs w:val="21"/>
                    </w:rPr>
                    <w:t>县级</w:t>
                  </w:r>
                </w:p>
              </w:tc>
              <w:tc>
                <w:tcPr>
                  <w:tcW w:w="501" w:type="pct"/>
                  <w:vMerge w:val="continue"/>
                  <w:tcBorders>
                    <w:top w:val="single" w:color="auto" w:sz="12" w:space="0"/>
                    <w:left w:val="single" w:color="auto" w:sz="4" w:space="0"/>
                    <w:bottom w:val="single" w:color="auto" w:sz="4" w:space="0"/>
                    <w:right w:val="single" w:color="auto" w:sz="4" w:space="0"/>
                  </w:tcBorders>
                  <w:noWrap w:val="0"/>
                  <w:vAlign w:val="center"/>
                </w:tcPr>
                <w:p w14:paraId="0BE014CC">
                  <w:pPr>
                    <w:adjustRightInd w:val="0"/>
                    <w:snapToGrid w:val="0"/>
                    <w:spacing w:line="240" w:lineRule="auto"/>
                    <w:ind w:firstLine="0" w:firstLineChars="0"/>
                    <w:jc w:val="center"/>
                    <w:rPr>
                      <w:rFonts w:hint="default" w:ascii="Times New Roman" w:hAnsi="Times New Roman" w:eastAsia="宋体" w:cs="Times New Roman"/>
                      <w:b/>
                      <w:snapToGrid w:val="0"/>
                      <w:color w:val="auto"/>
                      <w:sz w:val="21"/>
                      <w:szCs w:val="21"/>
                    </w:rPr>
                  </w:pPr>
                </w:p>
              </w:tc>
              <w:tc>
                <w:tcPr>
                  <w:tcW w:w="335" w:type="pct"/>
                  <w:vMerge w:val="continue"/>
                  <w:tcBorders>
                    <w:top w:val="single" w:color="auto" w:sz="12" w:space="0"/>
                    <w:left w:val="single" w:color="auto" w:sz="4" w:space="0"/>
                    <w:bottom w:val="single" w:color="auto" w:sz="4" w:space="0"/>
                    <w:right w:val="single" w:color="auto" w:sz="4" w:space="0"/>
                  </w:tcBorders>
                  <w:noWrap w:val="0"/>
                  <w:vAlign w:val="center"/>
                </w:tcPr>
                <w:p w14:paraId="08B3B54C">
                  <w:pPr>
                    <w:adjustRightInd w:val="0"/>
                    <w:snapToGrid w:val="0"/>
                    <w:spacing w:line="240" w:lineRule="auto"/>
                    <w:ind w:firstLine="0" w:firstLineChars="0"/>
                    <w:jc w:val="center"/>
                    <w:rPr>
                      <w:rFonts w:hint="default" w:ascii="Times New Roman" w:hAnsi="Times New Roman" w:eastAsia="宋体" w:cs="Times New Roman"/>
                      <w:b/>
                      <w:snapToGrid w:val="0"/>
                      <w:color w:val="auto"/>
                      <w:sz w:val="21"/>
                      <w:szCs w:val="21"/>
                    </w:rPr>
                  </w:pPr>
                </w:p>
              </w:tc>
              <w:tc>
                <w:tcPr>
                  <w:tcW w:w="2212" w:type="pct"/>
                  <w:vMerge w:val="continue"/>
                  <w:tcBorders>
                    <w:top w:val="single" w:color="auto" w:sz="12" w:space="0"/>
                    <w:left w:val="single" w:color="auto" w:sz="4" w:space="0"/>
                    <w:bottom w:val="single" w:color="auto" w:sz="4" w:space="0"/>
                    <w:right w:val="single" w:color="auto" w:sz="4" w:space="0"/>
                  </w:tcBorders>
                  <w:noWrap w:val="0"/>
                  <w:vAlign w:val="center"/>
                </w:tcPr>
                <w:p w14:paraId="55FAA832">
                  <w:pPr>
                    <w:adjustRightInd w:val="0"/>
                    <w:snapToGrid w:val="0"/>
                    <w:spacing w:line="240" w:lineRule="auto"/>
                    <w:ind w:firstLine="0" w:firstLineChars="0"/>
                    <w:jc w:val="center"/>
                    <w:rPr>
                      <w:rFonts w:hint="default" w:ascii="Times New Roman" w:hAnsi="Times New Roman" w:eastAsia="宋体" w:cs="Times New Roman"/>
                      <w:b/>
                      <w:snapToGrid w:val="0"/>
                      <w:color w:val="auto"/>
                      <w:sz w:val="21"/>
                      <w:szCs w:val="21"/>
                    </w:rPr>
                  </w:pPr>
                </w:p>
              </w:tc>
              <w:tc>
                <w:tcPr>
                  <w:tcW w:w="589" w:type="pct"/>
                  <w:vMerge w:val="continue"/>
                  <w:tcBorders>
                    <w:top w:val="single" w:color="auto" w:sz="12" w:space="0"/>
                    <w:left w:val="single" w:color="auto" w:sz="4" w:space="0"/>
                    <w:bottom w:val="single" w:color="auto" w:sz="4" w:space="0"/>
                    <w:right w:val="single" w:color="auto" w:sz="4" w:space="0"/>
                  </w:tcBorders>
                  <w:noWrap w:val="0"/>
                  <w:vAlign w:val="center"/>
                </w:tcPr>
                <w:p w14:paraId="0FBBA221">
                  <w:pPr>
                    <w:adjustRightInd w:val="0"/>
                    <w:snapToGrid w:val="0"/>
                    <w:spacing w:line="240" w:lineRule="auto"/>
                    <w:ind w:firstLine="0" w:firstLineChars="0"/>
                    <w:jc w:val="center"/>
                    <w:rPr>
                      <w:rFonts w:hint="default" w:ascii="Times New Roman" w:hAnsi="Times New Roman" w:eastAsia="宋体" w:cs="Times New Roman"/>
                      <w:b/>
                      <w:snapToGrid w:val="0"/>
                      <w:color w:val="auto"/>
                      <w:sz w:val="21"/>
                      <w:szCs w:val="21"/>
                    </w:rPr>
                  </w:pPr>
                </w:p>
              </w:tc>
              <w:tc>
                <w:tcPr>
                  <w:tcW w:w="626" w:type="pct"/>
                  <w:vMerge w:val="continue"/>
                  <w:tcBorders>
                    <w:top w:val="single" w:color="auto" w:sz="12" w:space="0"/>
                    <w:left w:val="single" w:color="auto" w:sz="4" w:space="0"/>
                    <w:bottom w:val="single" w:color="auto" w:sz="4" w:space="0"/>
                    <w:right w:val="nil"/>
                  </w:tcBorders>
                  <w:noWrap w:val="0"/>
                  <w:vAlign w:val="center"/>
                </w:tcPr>
                <w:p w14:paraId="1111B070">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r>
            <w:tr w14:paraId="6F9E87D8">
              <w:trPr>
                <w:cantSplit/>
                <w:trHeight w:val="340" w:hRule="atLeast"/>
              </w:trPr>
              <w:tc>
                <w:tcPr>
                  <w:tcW w:w="355" w:type="pct"/>
                  <w:tcBorders>
                    <w:top w:val="single" w:color="auto" w:sz="4" w:space="0"/>
                    <w:left w:val="nil"/>
                    <w:bottom w:val="single" w:color="auto" w:sz="4" w:space="0"/>
                    <w:right w:val="single" w:color="auto" w:sz="4" w:space="0"/>
                  </w:tcBorders>
                  <w:noWrap w:val="0"/>
                  <w:vAlign w:val="center"/>
                </w:tcPr>
                <w:p w14:paraId="2CC7DD37">
                  <w:pPr>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淮安市</w:t>
                  </w:r>
                </w:p>
              </w:tc>
              <w:tc>
                <w:tcPr>
                  <w:tcW w:w="380" w:type="pct"/>
                  <w:tcBorders>
                    <w:top w:val="single" w:color="auto" w:sz="4" w:space="0"/>
                    <w:left w:val="single" w:color="auto" w:sz="4" w:space="0"/>
                    <w:bottom w:val="single" w:color="auto" w:sz="4" w:space="0"/>
                    <w:right w:val="single" w:color="auto" w:sz="4" w:space="0"/>
                  </w:tcBorders>
                  <w:noWrap w:val="0"/>
                  <w:vAlign w:val="center"/>
                </w:tcPr>
                <w:p w14:paraId="644C914D">
                  <w:pPr>
                    <w:adjustRightInd w:val="0"/>
                    <w:snapToGrid w:val="0"/>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涟水县</w:t>
                  </w:r>
                </w:p>
              </w:tc>
              <w:tc>
                <w:tcPr>
                  <w:tcW w:w="501" w:type="pct"/>
                  <w:tcBorders>
                    <w:top w:val="single" w:color="auto" w:sz="4" w:space="0"/>
                    <w:left w:val="single" w:color="auto" w:sz="4" w:space="0"/>
                    <w:bottom w:val="single" w:color="auto" w:sz="4" w:space="0"/>
                    <w:right w:val="single" w:color="auto" w:sz="4" w:space="0"/>
                  </w:tcBorders>
                  <w:noWrap w:val="0"/>
                  <w:vAlign w:val="center"/>
                </w:tcPr>
                <w:p w14:paraId="2B480ADE">
                  <w:pPr>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color w:val="auto"/>
                      <w:sz w:val="21"/>
                      <w:szCs w:val="21"/>
                      <w:lang w:val="en-US" w:eastAsia="zh-CN"/>
                    </w:rPr>
                    <w:t>古黄河</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涟水</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rPr>
                    <w:t>饮用水水源保护区</w:t>
                  </w:r>
                </w:p>
              </w:tc>
              <w:tc>
                <w:tcPr>
                  <w:tcW w:w="335" w:type="pct"/>
                  <w:tcBorders>
                    <w:top w:val="single" w:color="auto" w:sz="4" w:space="0"/>
                    <w:left w:val="single" w:color="auto" w:sz="4" w:space="0"/>
                    <w:bottom w:val="single" w:color="auto" w:sz="4" w:space="0"/>
                    <w:right w:val="single" w:color="auto" w:sz="4" w:space="0"/>
                  </w:tcBorders>
                  <w:noWrap w:val="0"/>
                  <w:vAlign w:val="center"/>
                </w:tcPr>
                <w:p w14:paraId="62F8DDE1">
                  <w:pPr>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饮用水水源保护区</w:t>
                  </w:r>
                </w:p>
              </w:tc>
              <w:tc>
                <w:tcPr>
                  <w:tcW w:w="2212" w:type="pct"/>
                  <w:tcBorders>
                    <w:top w:val="single" w:color="auto" w:sz="4" w:space="0"/>
                    <w:left w:val="single" w:color="auto" w:sz="4" w:space="0"/>
                    <w:bottom w:val="single" w:color="auto" w:sz="4" w:space="0"/>
                    <w:right w:val="single" w:color="auto" w:sz="4" w:space="0"/>
                  </w:tcBorders>
                  <w:noWrap w:val="0"/>
                  <w:vAlign w:val="center"/>
                </w:tcPr>
                <w:p w14:paraId="56D29FA9">
                  <w:pPr>
                    <w:autoSpaceDE w:val="0"/>
                    <w:autoSpaceDN w:val="0"/>
                    <w:adjustRightInd w:val="0"/>
                    <w:snapToGrid w:val="0"/>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一级保护区：上游1000米至下游500米，及其岸背水坡之间的水域范围和一级保护区水域与两岸背水坡堤脚之间的陆域范围。</w:t>
                  </w:r>
                </w:p>
                <w:p w14:paraId="62B57669">
                  <w:pPr>
                    <w:autoSpaceDE w:val="0"/>
                    <w:autoSpaceDN w:val="0"/>
                    <w:adjustRightInd w:val="0"/>
                    <w:snapToGrid w:val="0"/>
                    <w:spacing w:line="240" w:lineRule="auto"/>
                    <w:ind w:firstLine="0" w:firstLineChars="0"/>
                    <w:rPr>
                      <w:rFonts w:hint="eastAsia" w:ascii="Times New Roman" w:hAnsi="Times New Roman" w:eastAsia="宋体" w:cs="Times New Roman"/>
                      <w:bCs/>
                      <w:color w:val="auto"/>
                      <w:sz w:val="21"/>
                      <w:szCs w:val="21"/>
                      <w:lang w:eastAsia="zh-CN"/>
                    </w:rPr>
                  </w:pPr>
                  <w:r>
                    <w:rPr>
                      <w:rFonts w:hint="default" w:ascii="Times New Roman" w:hAnsi="Times New Roman" w:eastAsia="宋体" w:cs="Times New Roman"/>
                      <w:color w:val="auto"/>
                      <w:sz w:val="21"/>
                      <w:szCs w:val="21"/>
                    </w:rPr>
                    <w:t>二级保护区：一级保护区以外上溯1500米、下延至涟水闸的水域范围和二级保护区水域与两岸背水坡堤脚之间的陆域范围</w:t>
                  </w:r>
                  <w:r>
                    <w:rPr>
                      <w:rFonts w:hint="eastAsia" w:cs="Times New Roman"/>
                      <w:color w:val="auto"/>
                      <w:sz w:val="21"/>
                      <w:szCs w:val="21"/>
                      <w:lang w:eastAsia="zh-CN"/>
                    </w:rPr>
                    <w:t>。</w:t>
                  </w:r>
                </w:p>
              </w:tc>
              <w:tc>
                <w:tcPr>
                  <w:tcW w:w="589" w:type="pct"/>
                  <w:tcBorders>
                    <w:top w:val="single" w:color="auto" w:sz="4" w:space="0"/>
                    <w:left w:val="single" w:color="auto" w:sz="4" w:space="0"/>
                    <w:bottom w:val="single" w:color="auto" w:sz="4" w:space="0"/>
                    <w:right w:val="single" w:color="auto" w:sz="4" w:space="0"/>
                  </w:tcBorders>
                  <w:noWrap w:val="0"/>
                  <w:vAlign w:val="center"/>
                </w:tcPr>
                <w:p w14:paraId="4B246B32">
                  <w:pPr>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color w:val="auto"/>
                      <w:sz w:val="21"/>
                      <w:szCs w:val="21"/>
                      <w:lang w:val="en-US" w:eastAsia="zh-CN"/>
                    </w:rPr>
                    <w:t>1.18</w:t>
                  </w:r>
                </w:p>
              </w:tc>
              <w:tc>
                <w:tcPr>
                  <w:tcW w:w="626" w:type="pct"/>
                  <w:tcBorders>
                    <w:top w:val="single" w:color="auto" w:sz="4" w:space="0"/>
                    <w:left w:val="single" w:color="auto" w:sz="4" w:space="0"/>
                    <w:bottom w:val="single" w:color="auto" w:sz="4" w:space="0"/>
                    <w:right w:val="nil"/>
                  </w:tcBorders>
                  <w:noWrap w:val="0"/>
                  <w:vAlign w:val="center"/>
                </w:tcPr>
                <w:p w14:paraId="3DBE64F6">
                  <w:pPr>
                    <w:pStyle w:val="36"/>
                    <w:bidi w:val="0"/>
                    <w:ind w:firstLine="0" w:firstLineChars="0"/>
                    <w:rPr>
                      <w:rFonts w:hint="default" w:ascii="Times New Roman" w:hAnsi="Times New Roman" w:eastAsia="宋体" w:cs="Times New Roman"/>
                      <w:bCs/>
                      <w:color w:val="auto"/>
                      <w:sz w:val="21"/>
                      <w:szCs w:val="21"/>
                    </w:rPr>
                  </w:pPr>
                  <w:r>
                    <w:rPr>
                      <w:rFonts w:hint="eastAsia" w:ascii="Times New Roman" w:hAnsi="Times New Roman" w:eastAsia="宋体" w:cs="Times New Roman"/>
                      <w:color w:val="auto"/>
                      <w:sz w:val="21"/>
                      <w:lang w:val="en-US" w:eastAsia="zh-CN"/>
                    </w:rPr>
                    <w:t>S</w:t>
                  </w:r>
                  <w:r>
                    <w:rPr>
                      <w:rFonts w:hint="eastAsia" w:ascii="Times New Roman" w:cs="Times New Roman"/>
                      <w:color w:val="auto"/>
                      <w:sz w:val="21"/>
                      <w:lang w:val="en-US" w:eastAsia="zh-CN"/>
                    </w:rPr>
                    <w:t>5.6</w:t>
                  </w:r>
                  <w:r>
                    <w:rPr>
                      <w:rFonts w:hint="default" w:ascii="Times New Roman" w:hAnsi="Times New Roman" w:eastAsia="宋体" w:cs="Times New Roman"/>
                      <w:color w:val="auto"/>
                      <w:sz w:val="21"/>
                      <w:lang w:val="en-US" w:eastAsia="zh-CN"/>
                    </w:rPr>
                    <w:t>km</w:t>
                  </w:r>
                </w:p>
              </w:tc>
            </w:tr>
            <w:tr w14:paraId="6900C19F">
              <w:trPr>
                <w:cantSplit/>
                <w:trHeight w:val="340" w:hRule="atLeast"/>
              </w:trPr>
              <w:tc>
                <w:tcPr>
                  <w:tcW w:w="550" w:type="dxa"/>
                  <w:tcBorders>
                    <w:top w:val="single" w:color="auto" w:sz="4" w:space="0"/>
                    <w:left w:val="nil"/>
                    <w:bottom w:val="single" w:color="auto" w:sz="12" w:space="0"/>
                    <w:right w:val="single" w:color="auto" w:sz="4" w:space="0"/>
                  </w:tcBorders>
                  <w:noWrap w:val="0"/>
                  <w:vAlign w:val="center"/>
                </w:tcPr>
                <w:p w14:paraId="55871BBF">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淮安市</w:t>
                  </w:r>
                </w:p>
              </w:tc>
              <w:tc>
                <w:tcPr>
                  <w:tcW w:w="588" w:type="dxa"/>
                  <w:tcBorders>
                    <w:top w:val="single" w:color="auto" w:sz="4" w:space="0"/>
                    <w:left w:val="single" w:color="auto" w:sz="4" w:space="0"/>
                    <w:bottom w:val="single" w:color="auto" w:sz="12" w:space="0"/>
                    <w:right w:val="single" w:color="auto" w:sz="4" w:space="0"/>
                  </w:tcBorders>
                  <w:noWrap w:val="0"/>
                  <w:vAlign w:val="center"/>
                </w:tcPr>
                <w:p w14:paraId="1B5C2D0D">
                  <w:pPr>
                    <w:adjustRightInd w:val="0"/>
                    <w:snapToGri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涟水县</w:t>
                  </w:r>
                </w:p>
              </w:tc>
              <w:tc>
                <w:tcPr>
                  <w:tcW w:w="501" w:type="pct"/>
                  <w:tcBorders>
                    <w:top w:val="single" w:color="auto" w:sz="4" w:space="0"/>
                    <w:left w:val="single" w:color="auto" w:sz="4" w:space="0"/>
                    <w:bottom w:val="single" w:color="auto" w:sz="12" w:space="0"/>
                    <w:right w:val="single" w:color="auto" w:sz="4" w:space="0"/>
                  </w:tcBorders>
                  <w:noWrap w:val="0"/>
                  <w:vAlign w:val="center"/>
                </w:tcPr>
                <w:p w14:paraId="15C8C006">
                  <w:pPr>
                    <w:widowControl w:val="0"/>
                    <w:spacing w:after="0" w:line="280" w:lineRule="exact"/>
                    <w:ind w:left="0" w:leftChars="0" w:firstLine="0" w:firstLineChars="0"/>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Times New Roman"/>
                      <w:color w:val="auto"/>
                      <w:kern w:val="0"/>
                      <w:sz w:val="21"/>
                      <w:szCs w:val="20"/>
                      <w:lang w:val="en-US" w:eastAsia="zh-CN" w:bidi="ar-SA"/>
                    </w:rPr>
                    <w:t>江苏涟水涟漪湖黄嘴白鹭省级自然保护区</w:t>
                  </w:r>
                </w:p>
              </w:tc>
              <w:tc>
                <w:tcPr>
                  <w:tcW w:w="335" w:type="pct"/>
                  <w:tcBorders>
                    <w:top w:val="single" w:color="auto" w:sz="4" w:space="0"/>
                    <w:left w:val="single" w:color="auto" w:sz="4" w:space="0"/>
                    <w:bottom w:val="single" w:color="auto" w:sz="12" w:space="0"/>
                    <w:right w:val="single" w:color="auto" w:sz="4" w:space="0"/>
                  </w:tcBorders>
                  <w:noWrap w:val="0"/>
                  <w:vAlign w:val="center"/>
                </w:tcPr>
                <w:p w14:paraId="37A1C3B4">
                  <w:pPr>
                    <w:adjustRightInd w:val="0"/>
                    <w:snapToGrid w:val="0"/>
                    <w:spacing w:line="240" w:lineRule="auto"/>
                    <w:ind w:left="0" w:leftChars="0" w:firstLine="0" w:firstLineChars="0"/>
                    <w:jc w:val="both"/>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自然保护区</w:t>
                  </w:r>
                </w:p>
              </w:tc>
              <w:tc>
                <w:tcPr>
                  <w:tcW w:w="2212" w:type="pct"/>
                  <w:tcBorders>
                    <w:top w:val="single" w:color="auto" w:sz="4" w:space="0"/>
                    <w:left w:val="single" w:color="auto" w:sz="4" w:space="0"/>
                    <w:bottom w:val="single" w:color="auto" w:sz="12" w:space="0"/>
                    <w:right w:val="single" w:color="auto" w:sz="4" w:space="0"/>
                  </w:tcBorders>
                  <w:noWrap w:val="0"/>
                  <w:vAlign w:val="center"/>
                </w:tcPr>
                <w:p w14:paraId="2902A10C">
                  <w:pPr>
                    <w:widowControl w:val="0"/>
                    <w:spacing w:after="0" w:line="280" w:lineRule="exact"/>
                    <w:jc w:val="both"/>
                    <w:rPr>
                      <w:rFonts w:hint="default" w:ascii="Times New Roman" w:hAnsi="Times New Roman" w:eastAsia="宋体" w:cs="Times New Roman"/>
                      <w:color w:val="auto"/>
                      <w:sz w:val="21"/>
                      <w:szCs w:val="21"/>
                    </w:rPr>
                  </w:pPr>
                  <w:r>
                    <w:rPr>
                      <w:rFonts w:ascii="Times New Roman" w:hAnsi="Times New Roman" w:eastAsia="宋体" w:cs="Times New Roman"/>
                      <w:color w:val="auto"/>
                      <w:kern w:val="0"/>
                      <w:sz w:val="21"/>
                      <w:szCs w:val="20"/>
                      <w:lang w:val="en-US" w:eastAsia="zh-CN" w:bidi="ar-SA"/>
                    </w:rPr>
                    <w:t>包括自然保护区核心区、缓冲区和实验区。自然保护区五岛公园以及相连水域为核心区和缓冲区。实验区范围包括涟水县涟城镇的五岛公园以及相连水域，城郊废黄河沿线的林区和水域、湿地生态系统。坐标为：118°59′E</w:t>
                  </w:r>
                  <w:r>
                    <w:rPr>
                      <w:rFonts w:hint="eastAsia" w:ascii="Times New Roman" w:hAnsi="Times New Roman" w:eastAsia="宋体" w:cs="Times New Roman"/>
                      <w:color w:val="auto"/>
                      <w:kern w:val="0"/>
                      <w:sz w:val="21"/>
                      <w:szCs w:val="20"/>
                      <w:lang w:val="en-US" w:eastAsia="zh-CN" w:bidi="ar-SA"/>
                    </w:rPr>
                    <w:t>至</w:t>
                  </w:r>
                  <w:r>
                    <w:rPr>
                      <w:rFonts w:ascii="Times New Roman" w:hAnsi="Times New Roman" w:eastAsia="宋体" w:cs="Times New Roman"/>
                      <w:color w:val="auto"/>
                      <w:kern w:val="0"/>
                      <w:sz w:val="21"/>
                      <w:szCs w:val="20"/>
                      <w:lang w:val="en-US" w:eastAsia="zh-CN" w:bidi="ar-SA"/>
                    </w:rPr>
                    <w:t>119°35′E，33°45′N至34°65′N之间</w:t>
                  </w:r>
                  <w:r>
                    <w:rPr>
                      <w:rFonts w:hint="eastAsia" w:cs="Times New Roman"/>
                      <w:color w:val="auto"/>
                      <w:kern w:val="0"/>
                      <w:sz w:val="21"/>
                      <w:szCs w:val="20"/>
                      <w:lang w:val="en-US" w:eastAsia="zh-CN" w:bidi="ar-SA"/>
                    </w:rPr>
                    <w:t>。</w:t>
                  </w:r>
                </w:p>
              </w:tc>
              <w:tc>
                <w:tcPr>
                  <w:tcW w:w="589" w:type="pct"/>
                  <w:tcBorders>
                    <w:top w:val="single" w:color="auto" w:sz="4" w:space="0"/>
                    <w:left w:val="single" w:color="auto" w:sz="4" w:space="0"/>
                    <w:bottom w:val="single" w:color="auto" w:sz="12" w:space="0"/>
                    <w:right w:val="single" w:color="auto" w:sz="4" w:space="0"/>
                  </w:tcBorders>
                  <w:noWrap w:val="0"/>
                  <w:vAlign w:val="center"/>
                </w:tcPr>
                <w:p w14:paraId="78EE3715">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34.33</w:t>
                  </w:r>
                </w:p>
              </w:tc>
              <w:tc>
                <w:tcPr>
                  <w:tcW w:w="626" w:type="pct"/>
                  <w:tcBorders>
                    <w:top w:val="single" w:color="auto" w:sz="4" w:space="0"/>
                    <w:left w:val="single" w:color="auto" w:sz="4" w:space="0"/>
                    <w:bottom w:val="single" w:color="auto" w:sz="12" w:space="0"/>
                    <w:right w:val="nil"/>
                  </w:tcBorders>
                  <w:noWrap w:val="0"/>
                  <w:vAlign w:val="center"/>
                </w:tcPr>
                <w:p w14:paraId="2383B3A5">
                  <w:pPr>
                    <w:pStyle w:val="36"/>
                    <w:bidi w:val="0"/>
                    <w:ind w:firstLine="0" w:firstLineChars="0"/>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S</w:t>
                  </w:r>
                  <w:r>
                    <w:rPr>
                      <w:rFonts w:hint="eastAsia" w:ascii="Times New Roman" w:cs="Times New Roman"/>
                      <w:color w:val="auto"/>
                      <w:sz w:val="21"/>
                      <w:lang w:val="en-US" w:eastAsia="zh-CN"/>
                    </w:rPr>
                    <w:t>E4.11</w:t>
                  </w:r>
                  <w:r>
                    <w:rPr>
                      <w:rFonts w:hint="default" w:ascii="Times New Roman" w:hAnsi="Times New Roman" w:eastAsia="宋体" w:cs="Times New Roman"/>
                      <w:color w:val="auto"/>
                      <w:sz w:val="21"/>
                      <w:lang w:val="en-US" w:eastAsia="zh-CN"/>
                    </w:rPr>
                    <w:t>km</w:t>
                  </w:r>
                </w:p>
              </w:tc>
            </w:tr>
          </w:tbl>
          <w:p w14:paraId="05661837">
            <w:pPr>
              <w:pStyle w:val="16"/>
              <w:keepNext w:val="0"/>
              <w:keepLines w:val="0"/>
              <w:pageBreakBefore w:val="0"/>
              <w:widowControl w:val="0"/>
              <w:kinsoku/>
              <w:wordWrap/>
              <w:overflowPunct/>
              <w:topLinePunct w:val="0"/>
              <w:autoSpaceDE/>
              <w:autoSpaceDN/>
              <w:bidi w:val="0"/>
              <w:spacing w:after="0" w:line="360" w:lineRule="auto"/>
              <w:ind w:left="0" w:leftChars="0" w:firstLine="480"/>
              <w:textAlignment w:val="auto"/>
              <w:rPr>
                <w:color w:val="auto"/>
              </w:rPr>
            </w:pPr>
            <w:r>
              <w:rPr>
                <w:color w:val="auto"/>
              </w:rPr>
              <w:t>由表可知，距离建设项目最近的</w:t>
            </w:r>
            <w:r>
              <w:rPr>
                <w:color w:val="auto"/>
                <w:sz w:val="24"/>
              </w:rPr>
              <w:t>生态</w:t>
            </w:r>
            <w:r>
              <w:rPr>
                <w:rFonts w:hint="eastAsia"/>
                <w:color w:val="auto"/>
                <w:sz w:val="24"/>
                <w:lang w:val="en-US" w:eastAsia="zh-CN"/>
              </w:rPr>
              <w:t>保护红线</w:t>
            </w:r>
            <w:r>
              <w:rPr>
                <w:color w:val="auto"/>
                <w:sz w:val="24"/>
              </w:rPr>
              <w:t>区域</w:t>
            </w:r>
            <w:r>
              <w:rPr>
                <w:rFonts w:hint="eastAsia"/>
                <w:color w:val="auto"/>
                <w:sz w:val="24"/>
                <w:lang w:val="en-US" w:eastAsia="zh-CN"/>
              </w:rPr>
              <w:t>为江苏涟水涟漪湖黄嘴白鹭省级自然保护区</w:t>
            </w:r>
            <w:r>
              <w:rPr>
                <w:color w:val="auto"/>
              </w:rPr>
              <w:t>，距</w:t>
            </w:r>
            <w:r>
              <w:rPr>
                <w:rFonts w:hint="eastAsia"/>
                <w:color w:val="auto"/>
                <w:lang w:val="en-US" w:eastAsia="zh-CN"/>
              </w:rPr>
              <w:t>其</w:t>
            </w:r>
            <w:r>
              <w:rPr>
                <w:color w:val="auto"/>
              </w:rPr>
              <w:t>边界</w:t>
            </w:r>
            <w:r>
              <w:rPr>
                <w:rFonts w:hint="eastAsia"/>
                <w:color w:val="auto"/>
                <w:lang w:val="en-US" w:eastAsia="zh-CN"/>
              </w:rPr>
              <w:t>约4.11</w:t>
            </w:r>
            <w:r>
              <w:rPr>
                <w:color w:val="auto"/>
              </w:rPr>
              <w:t>km左右，不在</w:t>
            </w:r>
            <w:r>
              <w:rPr>
                <w:color w:val="auto"/>
                <w:sz w:val="24"/>
              </w:rPr>
              <w:t>生态</w:t>
            </w:r>
            <w:r>
              <w:rPr>
                <w:rFonts w:hint="eastAsia"/>
                <w:color w:val="auto"/>
                <w:sz w:val="24"/>
                <w:lang w:val="en-US" w:eastAsia="zh-CN"/>
              </w:rPr>
              <w:t>保护红线</w:t>
            </w:r>
            <w:r>
              <w:rPr>
                <w:color w:val="auto"/>
                <w:sz w:val="24"/>
              </w:rPr>
              <w:t>区域</w:t>
            </w:r>
            <w:r>
              <w:rPr>
                <w:color w:val="auto"/>
              </w:rPr>
              <w:t>范围内，因此项目建设与《江苏省国家级生态保护红线规划》的通知（苏政发〔2018〕74号）相符。</w:t>
            </w:r>
          </w:p>
          <w:p w14:paraId="0FF15BE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ascii="Times New Roman" w:hAnsi="Times New Roman" w:eastAsia="宋体"/>
                <w:color w:val="auto"/>
                <w:sz w:val="24"/>
              </w:rPr>
              <w:t>③</w:t>
            </w:r>
            <w:r>
              <w:rPr>
                <w:rFonts w:hint="default" w:ascii="Times New Roman" w:hAnsi="Times New Roman" w:eastAsia="宋体" w:cs="Times New Roman"/>
                <w:color w:val="auto"/>
                <w:sz w:val="24"/>
              </w:rPr>
              <w:t>与省市“三线一单”的相符性分析</w:t>
            </w:r>
          </w:p>
          <w:p w14:paraId="7991779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江苏省《关于印发江苏省“三线一单”生态环境分区管控方案的通知》（苏政发〔2020〕49号）、《市政府关于印发淮安市“三线一单”生态环境分区管控方案的通知》（淮政发〔2020〕16号）、《市政府办公室关于对淮安市“三线一单”生态环境分区管控方案内容修改的通知》（淮政办函〔2022〕5号），本项目位于江苏涟水经济开发区，属于重点管控单元。相符性分析见</w:t>
            </w:r>
            <w:r>
              <w:rPr>
                <w:rFonts w:hint="eastAsia" w:cs="Times New Roman"/>
                <w:color w:val="auto"/>
                <w:sz w:val="24"/>
                <w:lang w:val="en-US" w:eastAsia="zh-CN"/>
              </w:rPr>
              <w:t>下表</w:t>
            </w:r>
            <w:r>
              <w:rPr>
                <w:rFonts w:hint="default" w:ascii="Times New Roman" w:hAnsi="Times New Roman" w:eastAsia="宋体" w:cs="Times New Roman"/>
                <w:color w:val="auto"/>
                <w:sz w:val="24"/>
              </w:rPr>
              <w:t>。</w:t>
            </w:r>
          </w:p>
          <w:p w14:paraId="58E01784">
            <w:pPr>
              <w:pStyle w:val="17"/>
              <w:spacing w:line="240" w:lineRule="auto"/>
              <w:ind w:left="105" w:leftChars="50"/>
              <w:jc w:val="center"/>
              <w:rPr>
                <w:rFonts w:ascii="Times New Roman" w:hAnsi="Times New Roman"/>
                <w:b/>
                <w:bCs/>
                <w:color w:val="auto"/>
              </w:rPr>
            </w:pPr>
            <w:r>
              <w:rPr>
                <w:rFonts w:hint="default" w:ascii="Times New Roman" w:hAnsi="Times New Roman" w:eastAsia="宋体" w:cs="Times New Roman"/>
                <w:b/>
                <w:bCs/>
                <w:color w:val="auto"/>
                <w:sz w:val="21"/>
                <w:szCs w:val="21"/>
              </w:rPr>
              <w:t>表1-</w:t>
            </w:r>
            <w:r>
              <w:rPr>
                <w:rFonts w:hint="eastAsia" w:ascii="Times New Roman" w:hAnsi="Times New Roman" w:cs="Times New Roman"/>
                <w:b/>
                <w:bCs/>
                <w:color w:val="auto"/>
                <w:sz w:val="21"/>
                <w:szCs w:val="21"/>
                <w:lang w:val="en-US" w:eastAsia="zh-CN"/>
              </w:rPr>
              <w:t>5  本</w:t>
            </w:r>
            <w:r>
              <w:rPr>
                <w:rFonts w:hint="default" w:ascii="Times New Roman" w:hAnsi="Times New Roman" w:eastAsia="宋体" w:cs="Times New Roman"/>
                <w:b/>
                <w:bCs/>
                <w:color w:val="auto"/>
                <w:sz w:val="21"/>
                <w:szCs w:val="21"/>
              </w:rPr>
              <w:t>项目与（淮政办函〔2022〕5号）相符性分析</w:t>
            </w:r>
          </w:p>
          <w:tbl>
            <w:tblPr>
              <w:tblStyle w:val="21"/>
              <w:tblW w:w="7721"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55"/>
              <w:gridCol w:w="630"/>
              <w:gridCol w:w="3662"/>
              <w:gridCol w:w="2290"/>
              <w:gridCol w:w="784"/>
            </w:tblGrid>
            <w:tr w14:paraId="656F8615">
              <w:tc>
                <w:tcPr>
                  <w:tcW w:w="355" w:type="dxa"/>
                  <w:noWrap w:val="0"/>
                  <w:vAlign w:val="center"/>
                </w:tcPr>
                <w:p w14:paraId="7F74C296">
                  <w:pPr>
                    <w:pStyle w:val="36"/>
                    <w:bidi w:val="0"/>
                    <w:rPr>
                      <w:rFonts w:hint="default" w:ascii="Times New Roman" w:hAnsi="Times New Roman" w:eastAsia="宋体" w:cs="Times New Roman"/>
                      <w:color w:val="auto"/>
                      <w:lang w:val="en-US" w:eastAsia="zh-CN"/>
                    </w:rPr>
                  </w:pPr>
                  <w:r>
                    <w:rPr>
                      <w:rFonts w:hint="eastAsia" w:ascii="Times New Roman" w:cs="Times New Roman"/>
                      <w:color w:val="auto"/>
                      <w:lang w:val="en-US" w:eastAsia="zh-CN"/>
                    </w:rPr>
                    <w:t>省市</w:t>
                  </w:r>
                </w:p>
              </w:tc>
              <w:tc>
                <w:tcPr>
                  <w:tcW w:w="630" w:type="dxa"/>
                  <w:noWrap w:val="0"/>
                  <w:vAlign w:val="center"/>
                </w:tcPr>
                <w:p w14:paraId="10D4CDEE">
                  <w:pPr>
                    <w:pStyle w:val="36"/>
                    <w:bidi w:val="0"/>
                    <w:rPr>
                      <w:rFonts w:hint="default" w:ascii="Times New Roman" w:hAnsi="Times New Roman" w:cs="Times New Roman"/>
                      <w:color w:val="auto"/>
                    </w:rPr>
                  </w:pPr>
                  <w:r>
                    <w:rPr>
                      <w:rFonts w:hint="default" w:ascii="Times New Roman" w:hAnsi="Times New Roman" w:cs="Times New Roman"/>
                      <w:color w:val="auto"/>
                    </w:rPr>
                    <w:t>管控类别</w:t>
                  </w:r>
                </w:p>
              </w:tc>
              <w:tc>
                <w:tcPr>
                  <w:tcW w:w="3662" w:type="dxa"/>
                  <w:noWrap w:val="0"/>
                  <w:vAlign w:val="center"/>
                </w:tcPr>
                <w:p w14:paraId="6F05665E">
                  <w:pPr>
                    <w:pStyle w:val="36"/>
                    <w:bidi w:val="0"/>
                    <w:rPr>
                      <w:rFonts w:hint="default" w:ascii="Times New Roman" w:hAnsi="Times New Roman" w:cs="Times New Roman"/>
                      <w:color w:val="auto"/>
                    </w:rPr>
                  </w:pPr>
                  <w:r>
                    <w:rPr>
                      <w:rFonts w:hint="default" w:ascii="Times New Roman" w:hAnsi="Times New Roman" w:cs="Times New Roman"/>
                      <w:color w:val="auto"/>
                    </w:rPr>
                    <w:t>重点管控要求</w:t>
                  </w:r>
                </w:p>
              </w:tc>
              <w:tc>
                <w:tcPr>
                  <w:tcW w:w="2290" w:type="dxa"/>
                  <w:noWrap w:val="0"/>
                  <w:vAlign w:val="center"/>
                </w:tcPr>
                <w:p w14:paraId="360DB320">
                  <w:pPr>
                    <w:pStyle w:val="36"/>
                    <w:bidi w:val="0"/>
                    <w:rPr>
                      <w:rFonts w:hint="default" w:ascii="Times New Roman" w:hAnsi="Times New Roman" w:cs="Times New Roman"/>
                      <w:color w:val="auto"/>
                    </w:rPr>
                  </w:pPr>
                  <w:r>
                    <w:rPr>
                      <w:rFonts w:hint="default" w:ascii="Times New Roman" w:hAnsi="Times New Roman" w:cs="Times New Roman"/>
                      <w:color w:val="auto"/>
                    </w:rPr>
                    <w:t>相符性分析</w:t>
                  </w:r>
                </w:p>
              </w:tc>
              <w:tc>
                <w:tcPr>
                  <w:tcW w:w="784" w:type="dxa"/>
                  <w:noWrap w:val="0"/>
                  <w:vAlign w:val="center"/>
                </w:tcPr>
                <w:p w14:paraId="1B879D66">
                  <w:pPr>
                    <w:pStyle w:val="36"/>
                    <w:bidi w:val="0"/>
                    <w:rPr>
                      <w:rFonts w:hint="eastAsia" w:ascii="Times New Roman" w:hAnsi="Times New Roman" w:eastAsia="宋体" w:cs="Times New Roman"/>
                      <w:color w:val="auto"/>
                      <w:lang w:eastAsia="zh-CN"/>
                    </w:rPr>
                  </w:pPr>
                  <w:r>
                    <w:rPr>
                      <w:rFonts w:hint="eastAsia" w:ascii="Times New Roman" w:cs="Times New Roman"/>
                      <w:color w:val="auto"/>
                      <w:lang w:val="en-US" w:eastAsia="zh-CN"/>
                    </w:rPr>
                    <w:t>相符性分析</w:t>
                  </w:r>
                </w:p>
              </w:tc>
            </w:tr>
            <w:tr w14:paraId="5D8BB7B4">
              <w:tc>
                <w:tcPr>
                  <w:tcW w:w="355" w:type="dxa"/>
                  <w:vMerge w:val="restart"/>
                  <w:noWrap w:val="0"/>
                  <w:vAlign w:val="center"/>
                </w:tcPr>
                <w:p w14:paraId="1B87A795">
                  <w:pPr>
                    <w:pStyle w:val="36"/>
                    <w:bidi w:val="0"/>
                    <w:rPr>
                      <w:rFonts w:hint="eastAsia" w:ascii="Times New Roman" w:hAnsi="Times New Roman" w:eastAsia="宋体" w:cs="Times New Roman"/>
                      <w:color w:val="auto"/>
                      <w:lang w:val="en-US" w:eastAsia="zh-CN"/>
                    </w:rPr>
                  </w:pPr>
                  <w:r>
                    <w:rPr>
                      <w:rFonts w:hint="eastAsia" w:ascii="Times New Roman" w:cs="Times New Roman"/>
                      <w:color w:val="auto"/>
                      <w:lang w:val="en-US" w:eastAsia="zh-CN"/>
                    </w:rPr>
                    <w:t>江苏省</w:t>
                  </w:r>
                </w:p>
              </w:tc>
              <w:tc>
                <w:tcPr>
                  <w:tcW w:w="630" w:type="dxa"/>
                  <w:noWrap w:val="0"/>
                  <w:vAlign w:val="center"/>
                </w:tcPr>
                <w:p w14:paraId="7C81B99A">
                  <w:pPr>
                    <w:pStyle w:val="36"/>
                    <w:bidi w:val="0"/>
                    <w:rPr>
                      <w:rFonts w:hint="default" w:ascii="Times New Roman" w:hAnsi="Times New Roman" w:cs="Times New Roman"/>
                      <w:color w:val="auto"/>
                    </w:rPr>
                  </w:pPr>
                  <w:r>
                    <w:rPr>
                      <w:rFonts w:hint="default" w:ascii="Times New Roman" w:hAnsi="Times New Roman" w:cs="Times New Roman"/>
                      <w:color w:val="auto"/>
                    </w:rPr>
                    <w:t>空间布局约束</w:t>
                  </w:r>
                </w:p>
              </w:tc>
              <w:tc>
                <w:tcPr>
                  <w:tcW w:w="3662" w:type="dxa"/>
                  <w:noWrap w:val="0"/>
                  <w:vAlign w:val="center"/>
                </w:tcPr>
                <w:p w14:paraId="0F102596">
                  <w:pPr>
                    <w:pStyle w:val="36"/>
                    <w:bidi w:val="0"/>
                    <w:rPr>
                      <w:rFonts w:hint="default" w:ascii="Times New Roman" w:hAnsi="Times New Roman" w:cs="Times New Roman"/>
                      <w:color w:val="auto"/>
                    </w:rPr>
                  </w:pPr>
                  <w:r>
                    <w:rPr>
                      <w:rFonts w:hint="default" w:ascii="Times New Roman" w:hAnsi="Times New Roman" w:cs="Times New Roman"/>
                      <w:color w:val="auto"/>
                    </w:rPr>
                    <w:t>禁止在淮河流域新建化学制浆造纸企业</w:t>
                  </w:r>
                  <w:r>
                    <w:rPr>
                      <w:rFonts w:hint="default" w:ascii="Times New Roman" w:hAnsi="Times New Roman" w:cs="Times New Roman"/>
                      <w:color w:val="auto"/>
                      <w:lang w:eastAsia="zh-CN"/>
                    </w:rPr>
                    <w:t>，</w:t>
                  </w:r>
                  <w:r>
                    <w:rPr>
                      <w:rFonts w:hint="default" w:ascii="Times New Roman" w:hAnsi="Times New Roman" w:cs="Times New Roman"/>
                      <w:color w:val="auto"/>
                    </w:rPr>
                    <w:t>禁止在淮河流域新建制革、化工、印染、电镀、酿造等污染严重的小型企业</w:t>
                  </w:r>
                </w:p>
              </w:tc>
              <w:tc>
                <w:tcPr>
                  <w:tcW w:w="2290" w:type="dxa"/>
                  <w:noWrap w:val="0"/>
                  <w:vAlign w:val="center"/>
                </w:tcPr>
                <w:p w14:paraId="3B00B23E">
                  <w:pPr>
                    <w:pStyle w:val="36"/>
                    <w:bidi w:val="0"/>
                    <w:rPr>
                      <w:rFonts w:hint="default" w:ascii="Times New Roman" w:hAnsi="Times New Roman" w:cs="Times New Roman"/>
                      <w:color w:val="auto"/>
                    </w:rPr>
                  </w:pPr>
                  <w:r>
                    <w:rPr>
                      <w:rFonts w:hint="default" w:ascii="Times New Roman" w:hAnsi="Times New Roman" w:cs="Times New Roman"/>
                      <w:color w:val="auto"/>
                    </w:rPr>
                    <w:t>本项目不属于化学制浆造纸、制革、化工、印染、电镀、酿造等污染严重的小型企业。</w:t>
                  </w:r>
                </w:p>
              </w:tc>
              <w:tc>
                <w:tcPr>
                  <w:tcW w:w="784" w:type="dxa"/>
                  <w:noWrap w:val="0"/>
                  <w:vAlign w:val="center"/>
                </w:tcPr>
                <w:p w14:paraId="33DD44F9">
                  <w:pPr>
                    <w:pStyle w:val="36"/>
                    <w:bidi w:val="0"/>
                    <w:rPr>
                      <w:rFonts w:hint="default" w:ascii="Times New Roman" w:hAnsi="Times New Roman" w:cs="Times New Roman"/>
                      <w:color w:val="auto"/>
                    </w:rPr>
                  </w:pPr>
                  <w:r>
                    <w:rPr>
                      <w:rFonts w:hint="default" w:ascii="Times New Roman" w:hAnsi="Times New Roman" w:cs="Times New Roman"/>
                      <w:color w:val="auto"/>
                    </w:rPr>
                    <w:t>符合</w:t>
                  </w:r>
                </w:p>
              </w:tc>
            </w:tr>
            <w:tr w14:paraId="03754B56">
              <w:trPr>
                <w:trHeight w:val="90" w:hRule="atLeast"/>
              </w:trPr>
              <w:tc>
                <w:tcPr>
                  <w:tcW w:w="355" w:type="dxa"/>
                  <w:vMerge w:val="continue"/>
                  <w:noWrap w:val="0"/>
                  <w:vAlign w:val="center"/>
                </w:tcPr>
                <w:p w14:paraId="781F9423">
                  <w:pPr>
                    <w:pStyle w:val="36"/>
                    <w:bidi w:val="0"/>
                    <w:rPr>
                      <w:rFonts w:hint="default" w:ascii="Times New Roman" w:hAnsi="Times New Roman" w:cs="Times New Roman"/>
                      <w:color w:val="auto"/>
                    </w:rPr>
                  </w:pPr>
                </w:p>
              </w:tc>
              <w:tc>
                <w:tcPr>
                  <w:tcW w:w="630" w:type="dxa"/>
                  <w:noWrap w:val="0"/>
                  <w:vAlign w:val="center"/>
                </w:tcPr>
                <w:p w14:paraId="641F2F74">
                  <w:pPr>
                    <w:pStyle w:val="36"/>
                    <w:bidi w:val="0"/>
                    <w:rPr>
                      <w:rFonts w:hint="default" w:ascii="Times New Roman" w:hAnsi="Times New Roman" w:cs="Times New Roman"/>
                      <w:color w:val="auto"/>
                    </w:rPr>
                  </w:pPr>
                  <w:r>
                    <w:rPr>
                      <w:rFonts w:hint="default" w:ascii="Times New Roman" w:hAnsi="Times New Roman" w:cs="Times New Roman"/>
                      <w:color w:val="auto"/>
                    </w:rPr>
                    <w:t>污染物排放管控</w:t>
                  </w:r>
                </w:p>
              </w:tc>
              <w:tc>
                <w:tcPr>
                  <w:tcW w:w="3662" w:type="dxa"/>
                  <w:noWrap w:val="0"/>
                  <w:vAlign w:val="center"/>
                </w:tcPr>
                <w:p w14:paraId="0791C303">
                  <w:pPr>
                    <w:pStyle w:val="36"/>
                    <w:bidi w:val="0"/>
                    <w:rPr>
                      <w:rFonts w:hint="default" w:ascii="Times New Roman" w:hAnsi="Times New Roman" w:cs="Times New Roman"/>
                      <w:color w:val="auto"/>
                    </w:rPr>
                  </w:pPr>
                  <w:r>
                    <w:rPr>
                      <w:rFonts w:hint="default" w:ascii="Times New Roman" w:hAnsi="Times New Roman" w:cs="Times New Roman"/>
                      <w:color w:val="auto"/>
                    </w:rPr>
                    <w:t>按照《淮河流域水污染防治暂行条例》实施排污总量控制制度</w:t>
                  </w:r>
                </w:p>
              </w:tc>
              <w:tc>
                <w:tcPr>
                  <w:tcW w:w="2290" w:type="dxa"/>
                  <w:noWrap w:val="0"/>
                  <w:vAlign w:val="center"/>
                </w:tcPr>
                <w:p w14:paraId="4030BC7E">
                  <w:pPr>
                    <w:pStyle w:val="36"/>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本项目严格执行排污总量控制制度</w:t>
                  </w:r>
                  <w:r>
                    <w:rPr>
                      <w:rFonts w:hint="eastAsia" w:ascii="Times New Roman" w:cs="Times New Roman"/>
                      <w:color w:val="auto"/>
                      <w:kern w:val="2"/>
                      <w:sz w:val="21"/>
                      <w:szCs w:val="21"/>
                      <w:lang w:val="en-US" w:eastAsia="zh-CN" w:bidi="ar-SA"/>
                    </w:rPr>
                    <w:t>。</w:t>
                  </w:r>
                </w:p>
              </w:tc>
              <w:tc>
                <w:tcPr>
                  <w:tcW w:w="784" w:type="dxa"/>
                  <w:noWrap w:val="0"/>
                  <w:vAlign w:val="center"/>
                </w:tcPr>
                <w:p w14:paraId="1D671D34">
                  <w:pPr>
                    <w:pStyle w:val="36"/>
                    <w:bidi w:val="0"/>
                    <w:rPr>
                      <w:rFonts w:hint="default" w:ascii="Times New Roman" w:hAnsi="Times New Roman" w:cs="Times New Roman"/>
                      <w:color w:val="auto"/>
                    </w:rPr>
                  </w:pPr>
                  <w:r>
                    <w:rPr>
                      <w:rFonts w:hint="default" w:ascii="Times New Roman" w:hAnsi="Times New Roman" w:cs="Times New Roman"/>
                      <w:color w:val="auto"/>
                    </w:rPr>
                    <w:t>符合</w:t>
                  </w:r>
                </w:p>
              </w:tc>
            </w:tr>
            <w:tr w14:paraId="5BD9D44B">
              <w:trPr>
                <w:trHeight w:val="90" w:hRule="atLeast"/>
              </w:trPr>
              <w:tc>
                <w:tcPr>
                  <w:tcW w:w="355" w:type="dxa"/>
                  <w:vMerge w:val="continue"/>
                  <w:noWrap w:val="0"/>
                  <w:vAlign w:val="center"/>
                </w:tcPr>
                <w:p w14:paraId="612F244F">
                  <w:pPr>
                    <w:pStyle w:val="36"/>
                    <w:bidi w:val="0"/>
                    <w:rPr>
                      <w:rFonts w:hint="default" w:ascii="Times New Roman" w:hAnsi="Times New Roman" w:cs="Times New Roman"/>
                      <w:color w:val="auto"/>
                    </w:rPr>
                  </w:pPr>
                </w:p>
              </w:tc>
              <w:tc>
                <w:tcPr>
                  <w:tcW w:w="630" w:type="dxa"/>
                  <w:noWrap w:val="0"/>
                  <w:vAlign w:val="center"/>
                </w:tcPr>
                <w:p w14:paraId="653833A8">
                  <w:pPr>
                    <w:pStyle w:val="36"/>
                    <w:bidi w:val="0"/>
                    <w:rPr>
                      <w:rFonts w:hint="default" w:ascii="Times New Roman" w:hAnsi="Times New Roman" w:cs="Times New Roman"/>
                      <w:color w:val="auto"/>
                    </w:rPr>
                  </w:pPr>
                  <w:r>
                    <w:rPr>
                      <w:rFonts w:hint="default" w:ascii="Times New Roman" w:hAnsi="Times New Roman" w:cs="Times New Roman"/>
                      <w:color w:val="auto"/>
                    </w:rPr>
                    <w:t>环境风险</w:t>
                  </w:r>
                </w:p>
                <w:p w14:paraId="2349698D">
                  <w:pPr>
                    <w:pStyle w:val="36"/>
                    <w:bidi w:val="0"/>
                    <w:rPr>
                      <w:rFonts w:hint="default" w:ascii="Times New Roman" w:hAnsi="Times New Roman" w:cs="Times New Roman"/>
                      <w:color w:val="auto"/>
                    </w:rPr>
                  </w:pPr>
                  <w:r>
                    <w:rPr>
                      <w:rFonts w:hint="default" w:ascii="Times New Roman" w:hAnsi="Times New Roman" w:cs="Times New Roman"/>
                      <w:color w:val="auto"/>
                    </w:rPr>
                    <w:t>防控</w:t>
                  </w:r>
                </w:p>
              </w:tc>
              <w:tc>
                <w:tcPr>
                  <w:tcW w:w="3662" w:type="dxa"/>
                  <w:noWrap w:val="0"/>
                  <w:vAlign w:val="center"/>
                </w:tcPr>
                <w:p w14:paraId="5098ADEC">
                  <w:pPr>
                    <w:pStyle w:val="36"/>
                    <w:bidi w:val="0"/>
                    <w:rPr>
                      <w:rFonts w:hint="default" w:ascii="Times New Roman" w:hAnsi="Times New Roman" w:cs="Times New Roman"/>
                      <w:color w:val="auto"/>
                    </w:rPr>
                  </w:pPr>
                  <w:r>
                    <w:rPr>
                      <w:rFonts w:hint="default" w:ascii="Times New Roman" w:hAnsi="Times New Roman" w:cs="Times New Roman"/>
                      <w:color w:val="auto"/>
                    </w:rPr>
                    <w:t>禁止运输剧毒化学品以及国家规定禁止通过内河运输的其他危险化学品的船舶进入通榆河及主要供水河道。</w:t>
                  </w:r>
                </w:p>
              </w:tc>
              <w:tc>
                <w:tcPr>
                  <w:tcW w:w="2290" w:type="dxa"/>
                  <w:noWrap w:val="0"/>
                  <w:vAlign w:val="center"/>
                </w:tcPr>
                <w:p w14:paraId="57A87308">
                  <w:pPr>
                    <w:pStyle w:val="36"/>
                    <w:bidi w:val="0"/>
                    <w:rPr>
                      <w:rFonts w:hint="default" w:ascii="Times New Roman" w:hAnsi="Times New Roman" w:cs="Times New Roman"/>
                      <w:color w:val="auto"/>
                    </w:rPr>
                  </w:pPr>
                  <w:r>
                    <w:rPr>
                      <w:rFonts w:hint="default" w:ascii="Times New Roman" w:hAnsi="Times New Roman" w:cs="Times New Roman"/>
                      <w:color w:val="auto"/>
                    </w:rPr>
                    <w:t>建设项目原辅材料均采取汽运的方式，不涉及船运。</w:t>
                  </w:r>
                </w:p>
              </w:tc>
              <w:tc>
                <w:tcPr>
                  <w:tcW w:w="784" w:type="dxa"/>
                  <w:noWrap w:val="0"/>
                  <w:vAlign w:val="center"/>
                </w:tcPr>
                <w:p w14:paraId="4D2C7C0E">
                  <w:pPr>
                    <w:pStyle w:val="36"/>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符合</w:t>
                  </w:r>
                </w:p>
              </w:tc>
            </w:tr>
            <w:tr w14:paraId="2A3138AB">
              <w:tc>
                <w:tcPr>
                  <w:tcW w:w="355" w:type="dxa"/>
                  <w:vMerge w:val="continue"/>
                  <w:noWrap w:val="0"/>
                  <w:vAlign w:val="center"/>
                </w:tcPr>
                <w:p w14:paraId="15457D1F">
                  <w:pPr>
                    <w:pStyle w:val="36"/>
                    <w:bidi w:val="0"/>
                    <w:rPr>
                      <w:rFonts w:hint="default" w:ascii="Times New Roman" w:hAnsi="Times New Roman" w:cs="Times New Roman"/>
                      <w:color w:val="auto"/>
                    </w:rPr>
                  </w:pPr>
                </w:p>
              </w:tc>
              <w:tc>
                <w:tcPr>
                  <w:tcW w:w="630" w:type="dxa"/>
                  <w:noWrap w:val="0"/>
                  <w:vAlign w:val="center"/>
                </w:tcPr>
                <w:p w14:paraId="3B0FA513">
                  <w:pPr>
                    <w:pStyle w:val="36"/>
                    <w:bidi w:val="0"/>
                    <w:rPr>
                      <w:rFonts w:hint="default" w:ascii="Times New Roman" w:hAnsi="Times New Roman" w:cs="Times New Roman"/>
                      <w:color w:val="auto"/>
                    </w:rPr>
                  </w:pPr>
                  <w:r>
                    <w:rPr>
                      <w:rFonts w:hint="default" w:ascii="Times New Roman" w:hAnsi="Times New Roman" w:cs="Times New Roman"/>
                      <w:color w:val="auto"/>
                    </w:rPr>
                    <w:t>资源利用效率要求</w:t>
                  </w:r>
                </w:p>
              </w:tc>
              <w:tc>
                <w:tcPr>
                  <w:tcW w:w="3662" w:type="dxa"/>
                  <w:noWrap w:val="0"/>
                  <w:vAlign w:val="center"/>
                </w:tcPr>
                <w:p w14:paraId="725D24E9">
                  <w:pPr>
                    <w:pStyle w:val="36"/>
                    <w:bidi w:val="0"/>
                    <w:rPr>
                      <w:rFonts w:hint="default" w:ascii="Times New Roman" w:hAnsi="Times New Roman" w:cs="Times New Roman"/>
                      <w:color w:val="auto"/>
                    </w:rPr>
                  </w:pPr>
                  <w:r>
                    <w:rPr>
                      <w:rFonts w:hint="default" w:ascii="Times New Roman" w:hAnsi="Times New Roman" w:cs="Times New Roman"/>
                      <w:color w:val="auto"/>
                    </w:rPr>
                    <w:t>限制缺水地区发展耗水型产业</w:t>
                  </w:r>
                  <w:r>
                    <w:rPr>
                      <w:rFonts w:hint="default" w:ascii="Times New Roman" w:hAnsi="Times New Roman" w:cs="Times New Roman"/>
                      <w:color w:val="auto"/>
                      <w:lang w:eastAsia="zh-CN"/>
                    </w:rPr>
                    <w:t>，</w:t>
                  </w:r>
                  <w:r>
                    <w:rPr>
                      <w:rFonts w:hint="default" w:ascii="Times New Roman" w:hAnsi="Times New Roman" w:cs="Times New Roman"/>
                      <w:color w:val="auto"/>
                    </w:rPr>
                    <w:t>调整缺水地区的产业结构</w:t>
                  </w:r>
                  <w:r>
                    <w:rPr>
                      <w:rFonts w:hint="default" w:ascii="Times New Roman" w:hAnsi="Times New Roman" w:cs="Times New Roman"/>
                      <w:color w:val="auto"/>
                      <w:lang w:eastAsia="zh-CN"/>
                    </w:rPr>
                    <w:t>，</w:t>
                  </w:r>
                  <w:r>
                    <w:rPr>
                      <w:rFonts w:hint="default" w:ascii="Times New Roman" w:hAnsi="Times New Roman" w:cs="Times New Roman"/>
                      <w:color w:val="auto"/>
                    </w:rPr>
                    <w:t>严格控制高耗水、高耗能和重污染的建设项目</w:t>
                  </w:r>
                </w:p>
              </w:tc>
              <w:tc>
                <w:tcPr>
                  <w:tcW w:w="2290" w:type="dxa"/>
                  <w:noWrap w:val="0"/>
                  <w:vAlign w:val="center"/>
                </w:tcPr>
                <w:p w14:paraId="6A130C9E">
                  <w:pPr>
                    <w:pStyle w:val="36"/>
                    <w:bidi w:val="0"/>
                    <w:rPr>
                      <w:rFonts w:hint="eastAsia" w:ascii="Times New Roman" w:hAnsi="Times New Roman" w:eastAsia="宋体" w:cs="Times New Roman"/>
                      <w:color w:val="auto"/>
                      <w:lang w:eastAsia="zh-CN"/>
                    </w:rPr>
                  </w:pPr>
                  <w:r>
                    <w:rPr>
                      <w:rFonts w:hint="default" w:ascii="Times New Roman" w:hAnsi="Times New Roman" w:cs="Times New Roman"/>
                      <w:color w:val="auto"/>
                    </w:rPr>
                    <w:t>项目不属于高耗水、高耗能和重污染的建设项目</w:t>
                  </w:r>
                  <w:r>
                    <w:rPr>
                      <w:rFonts w:hint="eastAsia" w:ascii="Times New Roman" w:cs="Times New Roman"/>
                      <w:color w:val="auto"/>
                      <w:lang w:eastAsia="zh-CN"/>
                    </w:rPr>
                    <w:t>。</w:t>
                  </w:r>
                </w:p>
              </w:tc>
              <w:tc>
                <w:tcPr>
                  <w:tcW w:w="784" w:type="dxa"/>
                  <w:noWrap w:val="0"/>
                  <w:vAlign w:val="center"/>
                </w:tcPr>
                <w:p w14:paraId="0E887877">
                  <w:pPr>
                    <w:pStyle w:val="36"/>
                    <w:bidi w:val="0"/>
                    <w:rPr>
                      <w:rFonts w:hint="default" w:ascii="Times New Roman" w:hAnsi="Times New Roman" w:cs="Times New Roman"/>
                      <w:color w:val="auto"/>
                    </w:rPr>
                  </w:pPr>
                  <w:r>
                    <w:rPr>
                      <w:rFonts w:hint="default" w:ascii="Times New Roman" w:hAnsi="Times New Roman" w:cs="Times New Roman"/>
                      <w:color w:val="auto"/>
                    </w:rPr>
                    <w:t>符合</w:t>
                  </w:r>
                </w:p>
              </w:tc>
            </w:tr>
            <w:tr w14:paraId="15CFA04D">
              <w:tc>
                <w:tcPr>
                  <w:tcW w:w="355" w:type="dxa"/>
                  <w:vMerge w:val="restart"/>
                  <w:noWrap w:val="0"/>
                  <w:vAlign w:val="center"/>
                </w:tcPr>
                <w:p w14:paraId="406F1C95">
                  <w:pPr>
                    <w:pStyle w:val="36"/>
                    <w:bidi w:val="0"/>
                    <w:rPr>
                      <w:rFonts w:hint="eastAsia" w:ascii="Times New Roman" w:hAnsi="Times New Roman" w:eastAsia="宋体" w:cs="Times New Roman"/>
                      <w:color w:val="auto"/>
                      <w:lang w:val="en-US" w:eastAsia="zh-CN"/>
                    </w:rPr>
                  </w:pPr>
                  <w:r>
                    <w:rPr>
                      <w:rFonts w:hint="eastAsia" w:ascii="Times New Roman" w:cs="Times New Roman"/>
                      <w:color w:val="auto"/>
                      <w:lang w:val="en-US" w:eastAsia="zh-CN"/>
                    </w:rPr>
                    <w:t>淮安市</w:t>
                  </w:r>
                </w:p>
              </w:tc>
              <w:tc>
                <w:tcPr>
                  <w:tcW w:w="630" w:type="dxa"/>
                  <w:vMerge w:val="restart"/>
                  <w:noWrap w:val="0"/>
                  <w:vAlign w:val="center"/>
                </w:tcPr>
                <w:p w14:paraId="7918D46B">
                  <w:pPr>
                    <w:pStyle w:val="36"/>
                    <w:bidi w:val="0"/>
                    <w:rPr>
                      <w:rFonts w:hint="eastAsia" w:ascii="Times New Roman" w:hAnsi="Times New Roman" w:eastAsia="宋体" w:cs="Times New Roman"/>
                      <w:color w:val="auto"/>
                      <w:lang w:val="en-US" w:eastAsia="zh-CN"/>
                    </w:rPr>
                  </w:pPr>
                  <w:r>
                    <w:rPr>
                      <w:rFonts w:hint="eastAsia" w:ascii="Times New Roman" w:cs="Times New Roman"/>
                      <w:color w:val="auto"/>
                      <w:lang w:val="en-US" w:eastAsia="zh-CN"/>
                    </w:rPr>
                    <w:t>空间布局约束</w:t>
                  </w:r>
                </w:p>
              </w:tc>
              <w:tc>
                <w:tcPr>
                  <w:tcW w:w="3662" w:type="dxa"/>
                  <w:noWrap w:val="0"/>
                  <w:vAlign w:val="center"/>
                </w:tcPr>
                <w:p w14:paraId="116CCB19">
                  <w:pPr>
                    <w:overflowPunct w:val="0"/>
                    <w:autoSpaceDE w:val="0"/>
                    <w:autoSpaceDN w:val="0"/>
                    <w:adjustRightInd w:val="0"/>
                    <w:snapToGrid w:val="0"/>
                    <w:ind w:firstLine="420" w:firstLineChars="20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1.严格执行《中共淮安市委淮安市人民政府关于全面加强生态环境保护坚决打好污染防治攻坚战的实施意见》（淮发〔2018〕33号）、《淮安市打赢蓝天保卫战三年行动计划实施方案》（淮政发〔2018〕113号）、《淮安市“两减六治三提升”专项行动方案》（淮发〔2017〕26号）、《淮安市土壤污染防治工作方案》（淮政发〔2017〕86号）、《淮安市水污染防治工作方案》（淮政发〔2016〕95号）等文件要求。</w:t>
                  </w:r>
                </w:p>
              </w:tc>
              <w:tc>
                <w:tcPr>
                  <w:tcW w:w="2290" w:type="dxa"/>
                  <w:noWrap w:val="0"/>
                  <w:vAlign w:val="center"/>
                </w:tcPr>
                <w:p w14:paraId="629E1AFD">
                  <w:pPr>
                    <w:pStyle w:val="36"/>
                    <w:bidi w:val="0"/>
                    <w:rPr>
                      <w:rFonts w:hint="eastAsia" w:ascii="Times New Roman" w:hAnsi="Times New Roman" w:eastAsia="宋体" w:cs="Times New Roman"/>
                      <w:color w:val="auto"/>
                      <w:lang w:eastAsia="zh-CN"/>
                    </w:rPr>
                  </w:pPr>
                  <w:r>
                    <w:rPr>
                      <w:rFonts w:hint="default" w:ascii="Times New Roman" w:hAnsi="Times New Roman" w:cs="Times New Roman"/>
                      <w:color w:val="auto"/>
                    </w:rPr>
                    <w:t>本项目严格执行《淮安市“两减六治三提升”专项行动方案》（淮发〔2017〕26号）、《淮安市土壤污染防治工作方案》等文件要求</w:t>
                  </w:r>
                  <w:r>
                    <w:rPr>
                      <w:rFonts w:hint="eastAsia" w:ascii="Times New Roman" w:cs="Times New Roman"/>
                      <w:color w:val="auto"/>
                      <w:lang w:eastAsia="zh-CN"/>
                    </w:rPr>
                    <w:t>。</w:t>
                  </w:r>
                </w:p>
              </w:tc>
              <w:tc>
                <w:tcPr>
                  <w:tcW w:w="784" w:type="dxa"/>
                  <w:noWrap w:val="0"/>
                  <w:vAlign w:val="center"/>
                </w:tcPr>
                <w:p w14:paraId="4D66443A">
                  <w:pPr>
                    <w:pStyle w:val="36"/>
                    <w:bidi w:val="0"/>
                    <w:rPr>
                      <w:rFonts w:hint="default" w:ascii="Times New Roman" w:hAnsi="Times New Roman" w:cs="Times New Roman"/>
                      <w:color w:val="auto"/>
                    </w:rPr>
                  </w:pPr>
                  <w:r>
                    <w:rPr>
                      <w:rFonts w:hint="default" w:ascii="Times New Roman" w:hAnsi="Times New Roman" w:cs="Times New Roman"/>
                      <w:color w:val="auto"/>
                    </w:rPr>
                    <w:t>符合</w:t>
                  </w:r>
                </w:p>
              </w:tc>
            </w:tr>
            <w:tr w14:paraId="12DB8435">
              <w:tc>
                <w:tcPr>
                  <w:tcW w:w="355" w:type="dxa"/>
                  <w:vMerge w:val="continue"/>
                  <w:noWrap w:val="0"/>
                  <w:vAlign w:val="center"/>
                </w:tcPr>
                <w:p w14:paraId="2238C32F">
                  <w:pPr>
                    <w:pStyle w:val="36"/>
                    <w:bidi w:val="0"/>
                    <w:rPr>
                      <w:rFonts w:hint="default" w:ascii="Times New Roman" w:hAnsi="Times New Roman" w:cs="Times New Roman"/>
                      <w:color w:val="auto"/>
                    </w:rPr>
                  </w:pPr>
                </w:p>
              </w:tc>
              <w:tc>
                <w:tcPr>
                  <w:tcW w:w="630" w:type="dxa"/>
                  <w:vMerge w:val="continue"/>
                  <w:noWrap w:val="0"/>
                  <w:vAlign w:val="center"/>
                </w:tcPr>
                <w:p w14:paraId="1C735E86">
                  <w:pPr>
                    <w:pStyle w:val="36"/>
                    <w:bidi w:val="0"/>
                    <w:rPr>
                      <w:rFonts w:hint="default" w:ascii="Times New Roman" w:hAnsi="Times New Roman" w:cs="Times New Roman"/>
                      <w:color w:val="auto"/>
                    </w:rPr>
                  </w:pPr>
                </w:p>
              </w:tc>
              <w:tc>
                <w:tcPr>
                  <w:tcW w:w="3662" w:type="dxa"/>
                  <w:noWrap w:val="0"/>
                  <w:vAlign w:val="center"/>
                </w:tcPr>
                <w:p w14:paraId="03B04EEB">
                  <w:pPr>
                    <w:overflowPunct w:val="0"/>
                    <w:autoSpaceDE w:val="0"/>
                    <w:autoSpaceDN w:val="0"/>
                    <w:adjustRightInd w:val="0"/>
                    <w:snapToGrid w:val="0"/>
                    <w:ind w:firstLine="420" w:firstLineChars="20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2.严格执行《中共淮安市委淮安市人民政府关于优化全市空间功能定位和产业布局的意见》（淮发〔2016〕37号）、《淮安市产业结构调整指导目录（2018</w:t>
                  </w:r>
                  <w:r>
                    <w:rPr>
                      <w:rFonts w:hint="eastAsia" w:cs="Times New Roman"/>
                      <w:color w:val="auto"/>
                      <w:kern w:val="0"/>
                      <w:sz w:val="21"/>
                      <w:szCs w:val="20"/>
                      <w:lang w:val="en-US" w:eastAsia="zh-CN" w:bidi="ar-SA"/>
                    </w:rPr>
                    <w:t>—</w:t>
                  </w:r>
                  <w:r>
                    <w:rPr>
                      <w:rFonts w:hint="default" w:ascii="Times New Roman" w:hAnsi="Times New Roman" w:eastAsia="宋体" w:cs="Times New Roman"/>
                      <w:color w:val="auto"/>
                      <w:kern w:val="0"/>
                      <w:sz w:val="21"/>
                      <w:szCs w:val="20"/>
                      <w:lang w:val="en-US" w:eastAsia="zh-CN" w:bidi="ar-SA"/>
                    </w:rPr>
                    <w:t>2020年版）》（淮政办发〔2018〕6号）等文件要求，重点鼓励休闲农业、电子信息、高端装备制造、新能源汽车及零部件、金融、旅游、健康养生等资源节约型、环境友好型产业。对钢铁、电解铝、水泥、平板玻璃、船舶等产能严重过剩行业，以及乙醇、造纸、皮革、农药、橡胶、水泥、金属冶炼等高耗能、高污染、技术落后的产业进行限制和禁止。同时，对属于限制类的现有生产能力，允许企业开展技术改造，推动产业转型升级。</w:t>
                  </w:r>
                </w:p>
              </w:tc>
              <w:tc>
                <w:tcPr>
                  <w:tcW w:w="2290" w:type="dxa"/>
                  <w:noWrap w:val="0"/>
                  <w:vAlign w:val="center"/>
                </w:tcPr>
                <w:p w14:paraId="1795C6B7">
                  <w:pPr>
                    <w:pStyle w:val="36"/>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本项目位于涟水经济开发区，属于重点管控单元。本项目</w:t>
                  </w:r>
                  <w:r>
                    <w:rPr>
                      <w:rFonts w:hint="default" w:ascii="Times New Roman" w:hAnsi="Times New Roman" w:cs="Times New Roman"/>
                      <w:color w:val="auto"/>
                    </w:rPr>
                    <w:t>属于C1523 果菜汁及果菜汁饮料制造、C1524 含乳饮料和植物蛋白饮料制造、C1529 茶饮料及其他饮料制造、C2926 塑料包装箱及容器制造</w:t>
                  </w:r>
                  <w:r>
                    <w:rPr>
                      <w:rFonts w:hint="default" w:ascii="Times New Roman" w:hAnsi="Times New Roman" w:eastAsia="宋体" w:cs="Times New Roman"/>
                      <w:color w:val="auto"/>
                      <w:lang w:val="en-US" w:eastAsia="zh-CN"/>
                    </w:rPr>
                    <w:t>，不属于所述限制和禁止类产业。</w:t>
                  </w:r>
                </w:p>
              </w:tc>
              <w:tc>
                <w:tcPr>
                  <w:tcW w:w="784" w:type="dxa"/>
                  <w:noWrap w:val="0"/>
                  <w:vAlign w:val="center"/>
                </w:tcPr>
                <w:p w14:paraId="1208A710">
                  <w:pPr>
                    <w:pStyle w:val="36"/>
                    <w:bidi w:val="0"/>
                    <w:rPr>
                      <w:rFonts w:hint="default" w:ascii="Times New Roman" w:hAnsi="Times New Roman" w:cs="Times New Roman"/>
                      <w:color w:val="auto"/>
                    </w:rPr>
                  </w:pPr>
                  <w:r>
                    <w:rPr>
                      <w:rFonts w:hint="default" w:ascii="Times New Roman" w:hAnsi="Times New Roman" w:cs="Times New Roman"/>
                      <w:color w:val="auto"/>
                    </w:rPr>
                    <w:t>符合</w:t>
                  </w:r>
                </w:p>
              </w:tc>
            </w:tr>
            <w:tr w14:paraId="0D6E9D63">
              <w:tc>
                <w:tcPr>
                  <w:tcW w:w="355" w:type="dxa"/>
                  <w:vMerge w:val="continue"/>
                  <w:noWrap w:val="0"/>
                  <w:vAlign w:val="center"/>
                </w:tcPr>
                <w:p w14:paraId="4A1D38A6">
                  <w:pPr>
                    <w:pStyle w:val="36"/>
                    <w:bidi w:val="0"/>
                    <w:rPr>
                      <w:rFonts w:hint="default" w:ascii="Times New Roman" w:hAnsi="Times New Roman" w:cs="Times New Roman"/>
                      <w:color w:val="auto"/>
                    </w:rPr>
                  </w:pPr>
                </w:p>
              </w:tc>
              <w:tc>
                <w:tcPr>
                  <w:tcW w:w="630" w:type="dxa"/>
                  <w:vMerge w:val="continue"/>
                  <w:noWrap w:val="0"/>
                  <w:vAlign w:val="center"/>
                </w:tcPr>
                <w:p w14:paraId="7564A058">
                  <w:pPr>
                    <w:pStyle w:val="36"/>
                    <w:bidi w:val="0"/>
                    <w:rPr>
                      <w:rFonts w:hint="default" w:ascii="Times New Roman" w:hAnsi="Times New Roman" w:cs="Times New Roman"/>
                      <w:color w:val="auto"/>
                    </w:rPr>
                  </w:pPr>
                </w:p>
              </w:tc>
              <w:tc>
                <w:tcPr>
                  <w:tcW w:w="3662" w:type="dxa"/>
                  <w:noWrap w:val="0"/>
                  <w:vAlign w:val="center"/>
                </w:tcPr>
                <w:p w14:paraId="71A90ACA">
                  <w:pPr>
                    <w:overflowPunct w:val="0"/>
                    <w:autoSpaceDE w:val="0"/>
                    <w:autoSpaceDN w:val="0"/>
                    <w:adjustRightInd w:val="0"/>
                    <w:snapToGrid w:val="0"/>
                    <w:ind w:firstLine="420" w:firstLineChars="20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3.根据《淮安市“两减六治三提升”专项行动方案》（淮发〔2017〕26号），推动化工企业入园进区，禁止园区外（除重点监测点化工企业外）一切新建、扩建化工项目。一律不批化工园区内环境基础设施不完善或长期不能稳定运行企业的新改扩建化工项目。新建（含搬迁）化工项目必须进入已经依法完成规划环评审查的化工园区。园区外化工企业（除重点监测点化工企业外）只允许在原有生产产品种类不变、产能规模不变、排放总量不增加的前提下，进行安全隐患改造和节能环保设施改造。禁止限制类项目产能（搬迁改造升级项目除外）入园进区。</w:t>
                  </w:r>
                </w:p>
              </w:tc>
              <w:tc>
                <w:tcPr>
                  <w:tcW w:w="2290" w:type="dxa"/>
                  <w:noWrap w:val="0"/>
                  <w:vAlign w:val="center"/>
                </w:tcPr>
                <w:p w14:paraId="1A688B33">
                  <w:pPr>
                    <w:pStyle w:val="36"/>
                    <w:bidi w:val="0"/>
                    <w:rPr>
                      <w:rFonts w:hint="default" w:ascii="Times New Roman" w:hAnsi="Times New Roman" w:cs="Times New Roman"/>
                      <w:color w:val="auto"/>
                    </w:rPr>
                  </w:pPr>
                  <w:r>
                    <w:rPr>
                      <w:rFonts w:hint="default" w:ascii="Times New Roman" w:hAnsi="Times New Roman" w:cs="Times New Roman"/>
                      <w:color w:val="auto"/>
                    </w:rPr>
                    <w:t>本项目属于</w:t>
                  </w:r>
                  <w:r>
                    <w:rPr>
                      <w:rFonts w:hint="eastAsia" w:ascii="Times New Roman" w:cs="Times New Roman"/>
                      <w:color w:val="auto"/>
                      <w:lang w:eastAsia="zh-CN"/>
                    </w:rPr>
                    <w:t>C1523 果菜汁及果菜汁饮料制造、C1524 含乳饮料和植物蛋白饮料制造、C1529 茶饮料及其他饮料制造、C2926 塑料包装箱及容器制造，</w:t>
                  </w:r>
                  <w:r>
                    <w:rPr>
                      <w:rFonts w:hint="eastAsia" w:ascii="Times New Roman" w:cs="Times New Roman"/>
                      <w:color w:val="auto"/>
                      <w:lang w:val="en-US" w:eastAsia="zh-CN"/>
                    </w:rPr>
                    <w:t>不属于化工项目。</w:t>
                  </w:r>
                </w:p>
              </w:tc>
              <w:tc>
                <w:tcPr>
                  <w:tcW w:w="784" w:type="dxa"/>
                  <w:noWrap w:val="0"/>
                  <w:vAlign w:val="center"/>
                </w:tcPr>
                <w:p w14:paraId="7ADE159E">
                  <w:pPr>
                    <w:pStyle w:val="36"/>
                    <w:bidi w:val="0"/>
                    <w:rPr>
                      <w:rFonts w:hint="default" w:ascii="Times New Roman" w:hAnsi="Times New Roman" w:cs="Times New Roman"/>
                      <w:color w:val="auto"/>
                    </w:rPr>
                  </w:pPr>
                  <w:r>
                    <w:rPr>
                      <w:rFonts w:hint="default" w:ascii="Times New Roman" w:hAnsi="Times New Roman" w:cs="Times New Roman"/>
                      <w:color w:val="auto"/>
                    </w:rPr>
                    <w:t>符合</w:t>
                  </w:r>
                </w:p>
              </w:tc>
            </w:tr>
            <w:tr w14:paraId="50538734">
              <w:tc>
                <w:tcPr>
                  <w:tcW w:w="355" w:type="dxa"/>
                  <w:vMerge w:val="continue"/>
                  <w:noWrap w:val="0"/>
                  <w:vAlign w:val="center"/>
                </w:tcPr>
                <w:p w14:paraId="38CBA357">
                  <w:pPr>
                    <w:pStyle w:val="36"/>
                    <w:bidi w:val="0"/>
                    <w:rPr>
                      <w:rFonts w:hint="default" w:ascii="Times New Roman" w:hAnsi="Times New Roman" w:cs="Times New Roman"/>
                      <w:color w:val="auto"/>
                    </w:rPr>
                  </w:pPr>
                </w:p>
              </w:tc>
              <w:tc>
                <w:tcPr>
                  <w:tcW w:w="630" w:type="dxa"/>
                  <w:vMerge w:val="continue"/>
                  <w:noWrap w:val="0"/>
                  <w:vAlign w:val="center"/>
                </w:tcPr>
                <w:p w14:paraId="1380AB89">
                  <w:pPr>
                    <w:pStyle w:val="36"/>
                    <w:bidi w:val="0"/>
                    <w:rPr>
                      <w:rFonts w:hint="default" w:ascii="Times New Roman" w:hAnsi="Times New Roman" w:cs="Times New Roman"/>
                      <w:color w:val="auto"/>
                    </w:rPr>
                  </w:pPr>
                </w:p>
              </w:tc>
              <w:tc>
                <w:tcPr>
                  <w:tcW w:w="3662" w:type="dxa"/>
                  <w:noWrap w:val="0"/>
                  <w:vAlign w:val="center"/>
                </w:tcPr>
                <w:p w14:paraId="2CF6BA1A">
                  <w:pPr>
                    <w:overflowPunct w:val="0"/>
                    <w:autoSpaceDE w:val="0"/>
                    <w:autoSpaceDN w:val="0"/>
                    <w:adjustRightInd w:val="0"/>
                    <w:snapToGrid w:val="0"/>
                    <w:ind w:firstLine="420" w:firstLineChars="20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4.根据《中共淮安市委淮安市人民政府关于全面加强生态环境保护坚决打好污染防治攻坚战的实施意见》（淮发〔2018〕33号），从严控制京杭大运河（南水北调东线）沿岸两侧危化品码头新建项目的审批。严禁在京杭运河沿线1公里范围内新建布局化工园区和化工企业。</w:t>
                  </w:r>
                </w:p>
              </w:tc>
              <w:tc>
                <w:tcPr>
                  <w:tcW w:w="2290" w:type="dxa"/>
                  <w:noWrap w:val="0"/>
                  <w:vAlign w:val="center"/>
                </w:tcPr>
                <w:p w14:paraId="44B230C0">
                  <w:pPr>
                    <w:pStyle w:val="36"/>
                    <w:bidi w:val="0"/>
                    <w:rPr>
                      <w:rFonts w:hint="default" w:ascii="Times New Roman" w:hAnsi="Times New Roman" w:cs="Times New Roman"/>
                      <w:color w:val="auto"/>
                    </w:rPr>
                  </w:pPr>
                  <w:r>
                    <w:rPr>
                      <w:rFonts w:hint="default" w:ascii="Times New Roman" w:hAnsi="Times New Roman" w:cs="Times New Roman"/>
                      <w:color w:val="auto"/>
                    </w:rPr>
                    <w:t>本项目不在京杭运河沿线1公里范围内。</w:t>
                  </w:r>
                </w:p>
              </w:tc>
              <w:tc>
                <w:tcPr>
                  <w:tcW w:w="784" w:type="dxa"/>
                  <w:noWrap w:val="0"/>
                  <w:vAlign w:val="center"/>
                </w:tcPr>
                <w:p w14:paraId="41417551">
                  <w:pPr>
                    <w:pStyle w:val="36"/>
                    <w:bidi w:val="0"/>
                    <w:rPr>
                      <w:rFonts w:hint="default" w:ascii="Times New Roman" w:hAnsi="Times New Roman" w:cs="Times New Roman"/>
                      <w:color w:val="auto"/>
                    </w:rPr>
                  </w:pPr>
                  <w:r>
                    <w:rPr>
                      <w:rFonts w:hint="default" w:ascii="Times New Roman" w:hAnsi="Times New Roman" w:cs="Times New Roman"/>
                      <w:color w:val="auto"/>
                    </w:rPr>
                    <w:t>符合</w:t>
                  </w:r>
                </w:p>
              </w:tc>
            </w:tr>
            <w:tr w14:paraId="560BFDAC">
              <w:tc>
                <w:tcPr>
                  <w:tcW w:w="355" w:type="dxa"/>
                  <w:vMerge w:val="continue"/>
                  <w:noWrap w:val="0"/>
                  <w:vAlign w:val="center"/>
                </w:tcPr>
                <w:p w14:paraId="517EAA97">
                  <w:pPr>
                    <w:pStyle w:val="36"/>
                    <w:bidi w:val="0"/>
                    <w:rPr>
                      <w:rFonts w:hint="default" w:ascii="Times New Roman" w:hAnsi="Times New Roman" w:cs="Times New Roman"/>
                      <w:color w:val="auto"/>
                    </w:rPr>
                  </w:pPr>
                </w:p>
              </w:tc>
              <w:tc>
                <w:tcPr>
                  <w:tcW w:w="630" w:type="dxa"/>
                  <w:vMerge w:val="continue"/>
                  <w:noWrap w:val="0"/>
                  <w:vAlign w:val="center"/>
                </w:tcPr>
                <w:p w14:paraId="37984116">
                  <w:pPr>
                    <w:pStyle w:val="36"/>
                    <w:bidi w:val="0"/>
                    <w:rPr>
                      <w:rFonts w:hint="default" w:ascii="Times New Roman" w:hAnsi="Times New Roman" w:cs="Times New Roman"/>
                      <w:color w:val="auto"/>
                    </w:rPr>
                  </w:pPr>
                </w:p>
              </w:tc>
              <w:tc>
                <w:tcPr>
                  <w:tcW w:w="3662" w:type="dxa"/>
                  <w:noWrap w:val="0"/>
                  <w:vAlign w:val="center"/>
                </w:tcPr>
                <w:p w14:paraId="40210FAD">
                  <w:pPr>
                    <w:overflowPunct w:val="0"/>
                    <w:autoSpaceDE w:val="0"/>
                    <w:autoSpaceDN w:val="0"/>
                    <w:adjustRightInd w:val="0"/>
                    <w:snapToGrid w:val="0"/>
                    <w:ind w:firstLine="420" w:firstLineChars="20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5.根据《省政府关于加强全省化工园区化工集中区规范化管理的通知》（苏政发〔2020〕94号），淮安市具备化工定位的化工集中区为江苏淮安工业园区，化工集中区内已建成的企业要通过改进工艺、更新装备、加大信息化智能化改造等措施提升本质安全水平。取消化工定位的园区（集中区）要大幅压减化工生产企业数量，不得新增化工生产企业、新建扩建化工生产项目，现有化工生产企业符合条件的可以定位为化工重点监测点，重点监测点在不新增供地和污染物排放总量的情况下可以实施产业政策鼓励类、允许类的技术改造项目。</w:t>
                  </w:r>
                </w:p>
              </w:tc>
              <w:tc>
                <w:tcPr>
                  <w:tcW w:w="2290" w:type="dxa"/>
                  <w:noWrap w:val="0"/>
                  <w:vAlign w:val="center"/>
                </w:tcPr>
                <w:p w14:paraId="05D7DEC8">
                  <w:pPr>
                    <w:pStyle w:val="36"/>
                    <w:bidi w:val="0"/>
                    <w:rPr>
                      <w:rFonts w:hint="default" w:ascii="Times New Roman" w:hAnsi="Times New Roman" w:cs="Times New Roman"/>
                      <w:color w:val="auto"/>
                    </w:rPr>
                  </w:pPr>
                  <w:r>
                    <w:rPr>
                      <w:rFonts w:hint="default" w:ascii="Times New Roman" w:hAnsi="Times New Roman" w:cs="Times New Roman"/>
                      <w:color w:val="auto"/>
                    </w:rPr>
                    <w:t>本项目属于</w:t>
                  </w:r>
                  <w:r>
                    <w:rPr>
                      <w:rFonts w:hint="eastAsia" w:ascii="Times New Roman" w:cs="Times New Roman"/>
                      <w:color w:val="auto"/>
                      <w:lang w:eastAsia="zh-CN"/>
                    </w:rPr>
                    <w:t>C1523 果菜汁及果菜汁饮料制造、C1524 含乳饮料和植物蛋白饮料制造、C1529 茶饮料及其他饮料制造、C2926 塑料包装箱及容器制造，</w:t>
                  </w:r>
                  <w:r>
                    <w:rPr>
                      <w:rFonts w:hint="eastAsia" w:ascii="Times New Roman" w:cs="Times New Roman"/>
                      <w:color w:val="auto"/>
                      <w:lang w:val="en-US" w:eastAsia="zh-CN"/>
                    </w:rPr>
                    <w:t>不属于化工项目。</w:t>
                  </w:r>
                </w:p>
              </w:tc>
              <w:tc>
                <w:tcPr>
                  <w:tcW w:w="784" w:type="dxa"/>
                  <w:noWrap w:val="0"/>
                  <w:vAlign w:val="center"/>
                </w:tcPr>
                <w:p w14:paraId="561ACBC3">
                  <w:pPr>
                    <w:pStyle w:val="36"/>
                    <w:bidi w:val="0"/>
                    <w:rPr>
                      <w:rFonts w:hint="default" w:ascii="Times New Roman" w:hAnsi="Times New Roman" w:cs="Times New Roman"/>
                      <w:color w:val="auto"/>
                    </w:rPr>
                  </w:pPr>
                  <w:r>
                    <w:rPr>
                      <w:rFonts w:hint="default" w:ascii="Times New Roman" w:hAnsi="Times New Roman" w:cs="Times New Roman"/>
                      <w:color w:val="auto"/>
                    </w:rPr>
                    <w:t>符合</w:t>
                  </w:r>
                </w:p>
              </w:tc>
            </w:tr>
            <w:tr w14:paraId="12AC6A7F">
              <w:tc>
                <w:tcPr>
                  <w:tcW w:w="355" w:type="dxa"/>
                  <w:vMerge w:val="continue"/>
                  <w:noWrap w:val="0"/>
                  <w:vAlign w:val="center"/>
                </w:tcPr>
                <w:p w14:paraId="758351F8">
                  <w:pPr>
                    <w:pStyle w:val="36"/>
                    <w:bidi w:val="0"/>
                    <w:rPr>
                      <w:rFonts w:hint="default" w:ascii="Times New Roman" w:hAnsi="Times New Roman" w:cs="Times New Roman"/>
                      <w:color w:val="auto"/>
                    </w:rPr>
                  </w:pPr>
                </w:p>
              </w:tc>
              <w:tc>
                <w:tcPr>
                  <w:tcW w:w="630" w:type="dxa"/>
                  <w:vMerge w:val="restart"/>
                  <w:noWrap w:val="0"/>
                  <w:vAlign w:val="center"/>
                </w:tcPr>
                <w:p w14:paraId="4CC4F600">
                  <w:pPr>
                    <w:pStyle w:val="36"/>
                    <w:bidi w:val="0"/>
                    <w:rPr>
                      <w:rFonts w:hint="eastAsia" w:ascii="Times New Roman" w:hAnsi="Times New Roman" w:eastAsia="宋体" w:cs="Times New Roman"/>
                      <w:color w:val="auto"/>
                      <w:lang w:val="en-US" w:eastAsia="zh-CN"/>
                    </w:rPr>
                  </w:pPr>
                  <w:r>
                    <w:rPr>
                      <w:rFonts w:hint="eastAsia" w:ascii="Times New Roman" w:cs="Times New Roman"/>
                      <w:color w:val="auto"/>
                      <w:lang w:val="en-US" w:eastAsia="zh-CN"/>
                    </w:rPr>
                    <w:t>污染物排放管控</w:t>
                  </w:r>
                </w:p>
              </w:tc>
              <w:tc>
                <w:tcPr>
                  <w:tcW w:w="3662" w:type="dxa"/>
                  <w:noWrap w:val="0"/>
                  <w:vAlign w:val="center"/>
                </w:tcPr>
                <w:p w14:paraId="4345B31F">
                  <w:pPr>
                    <w:overflowPunct w:val="0"/>
                    <w:autoSpaceDE w:val="0"/>
                    <w:autoSpaceDN w:val="0"/>
                    <w:adjustRightInd w:val="0"/>
                    <w:snapToGrid w:val="0"/>
                    <w:ind w:firstLine="420" w:firstLineChars="20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1.允许排放量要求：根据《淮安市“十三五”节能减排综合实施方案》（淮政发〔2017〕119号），到2020年，淮安市化学需氧量、氨氮、总氮、总磷、二氧化硫、氮氧化物、VOCs排放量不得超过5.91万吨/年、0.77万吨/年、1.50万吨/年、0.155万吨/年、3.57万吨/年、4.72万吨/年、7.92万吨/年。</w:t>
                  </w:r>
                </w:p>
              </w:tc>
              <w:tc>
                <w:tcPr>
                  <w:tcW w:w="2290" w:type="dxa"/>
                  <w:noWrap w:val="0"/>
                  <w:vAlign w:val="center"/>
                </w:tcPr>
                <w:p w14:paraId="6104ADC5">
                  <w:pPr>
                    <w:pStyle w:val="14"/>
                    <w:keepNext w:val="0"/>
                    <w:keepLines w:val="0"/>
                    <w:pageBreakBefore w:val="0"/>
                    <w:widowControl/>
                    <w:kinsoku/>
                    <w:wordWrap/>
                    <w:overflowPunct/>
                    <w:topLinePunct w:val="0"/>
                    <w:autoSpaceDE/>
                    <w:autoSpaceDN/>
                    <w:bidi w:val="0"/>
                    <w:adjustRightInd/>
                    <w:snapToGrid/>
                    <w:spacing w:before="0" w:beforeAutospacing="0" w:after="0" w:afterAutospacing="0"/>
                    <w:jc w:val="both"/>
                    <w:textAlignment w:val="auto"/>
                    <w:outlineLvl w:val="0"/>
                    <w:rPr>
                      <w:rFonts w:hint="eastAsia" w:ascii="Times New Roman" w:hAnsi="Times New Roman"/>
                      <w:color w:val="auto"/>
                      <w:sz w:val="21"/>
                    </w:rPr>
                  </w:pPr>
                  <w:r>
                    <w:rPr>
                      <w:rFonts w:hint="eastAsia" w:ascii="Times New Roman" w:hAnsi="Times New Roman"/>
                      <w:color w:val="auto"/>
                      <w:sz w:val="21"/>
                    </w:rPr>
                    <w:t>废气：非甲烷总烃控制总量为1.03</w:t>
                  </w:r>
                  <w:r>
                    <w:rPr>
                      <w:rFonts w:hint="eastAsia" w:ascii="Times New Roman" w:hAnsi="Times New Roman"/>
                      <w:color w:val="auto"/>
                      <w:sz w:val="21"/>
                      <w:lang w:val="en-US" w:eastAsia="zh-CN"/>
                    </w:rPr>
                    <w:t>7</w:t>
                  </w:r>
                  <w:r>
                    <w:rPr>
                      <w:rFonts w:hint="eastAsia" w:ascii="Times New Roman" w:hAnsi="Times New Roman"/>
                      <w:color w:val="auto"/>
                      <w:sz w:val="21"/>
                    </w:rPr>
                    <w:t>t/a（有组织0.679t/a，无组织0.35</w:t>
                  </w:r>
                  <w:r>
                    <w:rPr>
                      <w:rFonts w:hint="eastAsia" w:ascii="Times New Roman" w:hAnsi="Times New Roman"/>
                      <w:color w:val="auto"/>
                      <w:sz w:val="21"/>
                      <w:lang w:val="en-US" w:eastAsia="zh-CN"/>
                    </w:rPr>
                    <w:t>8</w:t>
                  </w:r>
                  <w:r>
                    <w:rPr>
                      <w:rFonts w:hint="eastAsia" w:ascii="Times New Roman" w:hAnsi="Times New Roman"/>
                      <w:color w:val="auto"/>
                      <w:sz w:val="21"/>
                    </w:rPr>
                    <w:t>t/a）。</w:t>
                  </w:r>
                  <w:r>
                    <w:rPr>
                      <w:rFonts w:hint="eastAsia" w:ascii="Times New Roman" w:hAnsi="Times New Roman"/>
                      <w:color w:val="auto"/>
                      <w:sz w:val="21"/>
                      <w:lang w:eastAsia="zh-CN"/>
                    </w:rPr>
                    <w:t>空气污染物</w:t>
                  </w:r>
                  <w:r>
                    <w:rPr>
                      <w:rFonts w:hint="eastAsia" w:ascii="Times New Roman" w:hAnsi="Times New Roman"/>
                      <w:color w:val="auto"/>
                      <w:sz w:val="21"/>
                    </w:rPr>
                    <w:t>总量在涟水县内平衡。</w:t>
                  </w:r>
                </w:p>
                <w:p w14:paraId="53D7C41E">
                  <w:pPr>
                    <w:pStyle w:val="14"/>
                    <w:keepNext w:val="0"/>
                    <w:keepLines w:val="0"/>
                    <w:pageBreakBefore w:val="0"/>
                    <w:widowControl/>
                    <w:kinsoku/>
                    <w:wordWrap/>
                    <w:overflowPunct/>
                    <w:topLinePunct w:val="0"/>
                    <w:autoSpaceDE/>
                    <w:autoSpaceDN/>
                    <w:bidi w:val="0"/>
                    <w:adjustRightInd/>
                    <w:snapToGrid/>
                    <w:spacing w:before="0" w:beforeAutospacing="0" w:after="0" w:afterAutospacing="0"/>
                    <w:jc w:val="both"/>
                    <w:textAlignment w:val="auto"/>
                    <w:outlineLvl w:val="0"/>
                    <w:rPr>
                      <w:rFonts w:hint="default" w:ascii="Times New Roman" w:hAnsi="Times New Roman" w:cs="Times New Roman"/>
                      <w:color w:val="auto"/>
                    </w:rPr>
                  </w:pPr>
                  <w:r>
                    <w:rPr>
                      <w:rFonts w:hint="eastAsia" w:ascii="Times New Roman" w:hAnsi="Times New Roman"/>
                      <w:color w:val="auto"/>
                      <w:sz w:val="21"/>
                    </w:rPr>
                    <w:t>废水：环境排放量为：COD4.9</w:t>
                  </w:r>
                  <w:r>
                    <w:rPr>
                      <w:rFonts w:hint="eastAsia" w:ascii="Times New Roman" w:hAnsi="Times New Roman"/>
                      <w:color w:val="auto"/>
                      <w:sz w:val="21"/>
                      <w:lang w:val="en-US" w:eastAsia="zh-CN"/>
                    </w:rPr>
                    <w:t>74</w:t>
                  </w:r>
                  <w:r>
                    <w:rPr>
                      <w:rFonts w:hint="eastAsia" w:ascii="Times New Roman" w:hAnsi="Times New Roman"/>
                      <w:color w:val="auto"/>
                      <w:sz w:val="21"/>
                    </w:rPr>
                    <w:t>t/a、NH</w:t>
                  </w:r>
                  <w:r>
                    <w:rPr>
                      <w:rFonts w:hint="eastAsia" w:ascii="Times New Roman" w:hAnsi="Times New Roman"/>
                      <w:color w:val="auto"/>
                      <w:sz w:val="21"/>
                      <w:vertAlign w:val="subscript"/>
                    </w:rPr>
                    <w:t>3</w:t>
                  </w:r>
                  <w:r>
                    <w:rPr>
                      <w:rFonts w:hint="eastAsia" w:ascii="Times New Roman" w:hAnsi="Times New Roman"/>
                      <w:color w:val="auto"/>
                      <w:sz w:val="21"/>
                    </w:rPr>
                    <w:t>-N0.1</w:t>
                  </w:r>
                  <w:r>
                    <w:rPr>
                      <w:rFonts w:hint="eastAsia" w:ascii="Times New Roman" w:hAnsi="Times New Roman"/>
                      <w:color w:val="auto"/>
                      <w:sz w:val="21"/>
                      <w:lang w:val="en-US" w:eastAsia="zh-CN"/>
                    </w:rPr>
                    <w:t>92</w:t>
                  </w:r>
                  <w:r>
                    <w:rPr>
                      <w:rFonts w:hint="eastAsia" w:ascii="Times New Roman" w:hAnsi="Times New Roman"/>
                      <w:color w:val="auto"/>
                      <w:sz w:val="21"/>
                    </w:rPr>
                    <w:t>t/a、TN0.</w:t>
                  </w:r>
                  <w:r>
                    <w:rPr>
                      <w:rFonts w:hint="eastAsia" w:ascii="Times New Roman" w:hAnsi="Times New Roman"/>
                      <w:color w:val="auto"/>
                      <w:sz w:val="21"/>
                      <w:lang w:val="en-US" w:eastAsia="zh-CN"/>
                    </w:rPr>
                    <w:t>945</w:t>
                  </w:r>
                  <w:r>
                    <w:rPr>
                      <w:rFonts w:hint="eastAsia" w:ascii="Times New Roman" w:hAnsi="Times New Roman"/>
                      <w:color w:val="auto"/>
                      <w:sz w:val="21"/>
                    </w:rPr>
                    <w:t>t/a、TP0.05t/a。</w:t>
                  </w:r>
                </w:p>
              </w:tc>
              <w:tc>
                <w:tcPr>
                  <w:tcW w:w="784" w:type="dxa"/>
                  <w:noWrap w:val="0"/>
                  <w:vAlign w:val="center"/>
                </w:tcPr>
                <w:p w14:paraId="36371EF6">
                  <w:pPr>
                    <w:pStyle w:val="36"/>
                    <w:bidi w:val="0"/>
                    <w:rPr>
                      <w:rFonts w:hint="default" w:ascii="Times New Roman" w:hAnsi="Times New Roman" w:cs="Times New Roman"/>
                      <w:color w:val="auto"/>
                    </w:rPr>
                  </w:pPr>
                  <w:r>
                    <w:rPr>
                      <w:rFonts w:hint="default" w:ascii="Times New Roman" w:hAnsi="Times New Roman" w:cs="Times New Roman"/>
                      <w:color w:val="auto"/>
                    </w:rPr>
                    <w:t>符合</w:t>
                  </w:r>
                </w:p>
              </w:tc>
            </w:tr>
            <w:tr w14:paraId="7200ACEA">
              <w:tc>
                <w:tcPr>
                  <w:tcW w:w="355" w:type="dxa"/>
                  <w:vMerge w:val="continue"/>
                  <w:noWrap w:val="0"/>
                  <w:vAlign w:val="center"/>
                </w:tcPr>
                <w:p w14:paraId="101BAAAF">
                  <w:pPr>
                    <w:pStyle w:val="36"/>
                    <w:bidi w:val="0"/>
                    <w:rPr>
                      <w:rFonts w:hint="default" w:ascii="Times New Roman" w:hAnsi="Times New Roman" w:cs="Times New Roman"/>
                      <w:color w:val="auto"/>
                    </w:rPr>
                  </w:pPr>
                </w:p>
              </w:tc>
              <w:tc>
                <w:tcPr>
                  <w:tcW w:w="630" w:type="dxa"/>
                  <w:vMerge w:val="continue"/>
                  <w:noWrap w:val="0"/>
                  <w:vAlign w:val="center"/>
                </w:tcPr>
                <w:p w14:paraId="78C5BB71">
                  <w:pPr>
                    <w:pStyle w:val="36"/>
                    <w:bidi w:val="0"/>
                    <w:rPr>
                      <w:rFonts w:hint="default" w:ascii="Times New Roman" w:hAnsi="Times New Roman" w:cs="Times New Roman"/>
                      <w:color w:val="auto"/>
                    </w:rPr>
                  </w:pPr>
                </w:p>
              </w:tc>
              <w:tc>
                <w:tcPr>
                  <w:tcW w:w="3662" w:type="dxa"/>
                  <w:noWrap w:val="0"/>
                  <w:vAlign w:val="center"/>
                </w:tcPr>
                <w:p w14:paraId="7B99B7B2">
                  <w:pPr>
                    <w:overflowPunct w:val="0"/>
                    <w:autoSpaceDE w:val="0"/>
                    <w:autoSpaceDN w:val="0"/>
                    <w:adjustRightInd w:val="0"/>
                    <w:snapToGrid w:val="0"/>
                    <w:ind w:firstLine="420" w:firstLineChars="20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2.新增源排放标准限制：根据《淮安市打赢蓝天保卫战三年行动计划实施方案》（淮政发〔2018〕113号），全市范围内二氧化硫、氮氧化物、颗粒物、VOCs全面执行大气污染物特别排放限值。</w:t>
                  </w:r>
                </w:p>
              </w:tc>
              <w:tc>
                <w:tcPr>
                  <w:tcW w:w="2290" w:type="dxa"/>
                  <w:noWrap w:val="0"/>
                  <w:vAlign w:val="center"/>
                </w:tcPr>
                <w:p w14:paraId="3A71A667">
                  <w:pPr>
                    <w:pStyle w:val="36"/>
                    <w:keepNext w:val="0"/>
                    <w:keepLines w:val="0"/>
                    <w:pageBreakBefore w:val="0"/>
                    <w:kinsoku/>
                    <w:wordWrap/>
                    <w:overflowPunct/>
                    <w:topLinePunct w:val="0"/>
                    <w:bidi w:val="0"/>
                    <w:jc w:val="both"/>
                    <w:textAlignment w:val="auto"/>
                    <w:rPr>
                      <w:rFonts w:hint="eastAsia" w:ascii="Times New Roman" w:hAnsi="Times New Roman" w:eastAsia="宋体" w:cs="Times New Roman"/>
                      <w:color w:val="auto"/>
                      <w:lang w:eastAsia="zh-CN"/>
                    </w:rPr>
                  </w:pPr>
                  <w:r>
                    <w:rPr>
                      <w:rFonts w:hint="eastAsia" w:ascii="Times New Roman" w:cs="Times New Roman"/>
                      <w:color w:val="auto"/>
                      <w:lang w:val="en-US" w:eastAsia="zh-CN"/>
                    </w:rPr>
                    <w:t>本项目有组织非甲烷总烃的排放（DA001）执行《大气污染物综合排放标准》（DB32/4041-2021）中限值要求，（DA002）执行《合成树脂工业污染物排放标准》（GB 31572-2015，含2024年修改单）限值要求</w:t>
                  </w:r>
                  <w:r>
                    <w:rPr>
                      <w:rFonts w:hint="eastAsia" w:ascii="Times New Roman" w:cs="Times New Roman"/>
                      <w:color w:val="auto"/>
                      <w:lang w:eastAsia="zh-CN"/>
                    </w:rPr>
                    <w:t>。</w:t>
                  </w:r>
                </w:p>
              </w:tc>
              <w:tc>
                <w:tcPr>
                  <w:tcW w:w="784" w:type="dxa"/>
                  <w:noWrap w:val="0"/>
                  <w:vAlign w:val="center"/>
                </w:tcPr>
                <w:p w14:paraId="5EE5C9D6">
                  <w:pPr>
                    <w:pStyle w:val="36"/>
                    <w:bidi w:val="0"/>
                    <w:rPr>
                      <w:rFonts w:hint="default" w:ascii="Times New Roman" w:hAnsi="Times New Roman" w:cs="Times New Roman"/>
                      <w:color w:val="auto"/>
                    </w:rPr>
                  </w:pPr>
                  <w:r>
                    <w:rPr>
                      <w:rFonts w:hint="default" w:ascii="Times New Roman" w:hAnsi="Times New Roman" w:cs="Times New Roman"/>
                      <w:color w:val="auto"/>
                    </w:rPr>
                    <w:t>符合</w:t>
                  </w:r>
                </w:p>
              </w:tc>
            </w:tr>
            <w:tr w14:paraId="60B5E678">
              <w:tc>
                <w:tcPr>
                  <w:tcW w:w="355" w:type="dxa"/>
                  <w:vMerge w:val="continue"/>
                  <w:noWrap w:val="0"/>
                  <w:vAlign w:val="center"/>
                </w:tcPr>
                <w:p w14:paraId="46CB5630">
                  <w:pPr>
                    <w:pStyle w:val="36"/>
                    <w:bidi w:val="0"/>
                    <w:rPr>
                      <w:rFonts w:hint="default" w:ascii="Times New Roman" w:hAnsi="Times New Roman" w:cs="Times New Roman"/>
                      <w:color w:val="auto"/>
                    </w:rPr>
                  </w:pPr>
                </w:p>
              </w:tc>
              <w:tc>
                <w:tcPr>
                  <w:tcW w:w="630" w:type="dxa"/>
                  <w:vMerge w:val="restart"/>
                  <w:noWrap w:val="0"/>
                  <w:vAlign w:val="center"/>
                </w:tcPr>
                <w:p w14:paraId="05DDF4E9">
                  <w:pPr>
                    <w:pStyle w:val="36"/>
                    <w:bidi w:val="0"/>
                    <w:rPr>
                      <w:rFonts w:hint="eastAsia" w:ascii="Times New Roman" w:hAnsi="Times New Roman" w:eastAsia="宋体" w:cs="Times New Roman"/>
                      <w:color w:val="auto"/>
                      <w:lang w:val="en-US" w:eastAsia="zh-CN"/>
                    </w:rPr>
                  </w:pPr>
                  <w:r>
                    <w:rPr>
                      <w:rFonts w:hint="eastAsia" w:ascii="Times New Roman" w:cs="Times New Roman"/>
                      <w:color w:val="auto"/>
                      <w:lang w:val="en-US" w:eastAsia="zh-CN"/>
                    </w:rPr>
                    <w:t>环境风险管控</w:t>
                  </w:r>
                </w:p>
              </w:tc>
              <w:tc>
                <w:tcPr>
                  <w:tcW w:w="3662" w:type="dxa"/>
                  <w:noWrap w:val="0"/>
                  <w:vAlign w:val="center"/>
                </w:tcPr>
                <w:p w14:paraId="0A1926A1">
                  <w:pPr>
                    <w:overflowPunct w:val="0"/>
                    <w:autoSpaceDE w:val="0"/>
                    <w:autoSpaceDN w:val="0"/>
                    <w:adjustRightInd w:val="0"/>
                    <w:snapToGrid w:val="0"/>
                    <w:ind w:firstLine="420" w:firstLineChars="20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1.严格执行《淮安市突发环境事件应急预案》（淮政办发〔2017〕93号）、《淮安市集中式饮用水源突发污染事件应急预案》（淮政办发〔2010〕173号）、《淮安市核与辐射突发环境事件应急预案》《淮安市重污染天气应急预案》（淮政办发〔2016〕159号）等文件要求，建立区域监测预警系统，建立省市县上下联动、区域之间左右联动等联动应急响应体系，实行联防联控。</w:t>
                  </w:r>
                </w:p>
              </w:tc>
              <w:tc>
                <w:tcPr>
                  <w:tcW w:w="2290" w:type="dxa"/>
                  <w:vMerge w:val="restart"/>
                  <w:noWrap w:val="0"/>
                  <w:vAlign w:val="center"/>
                </w:tcPr>
                <w:p w14:paraId="40816F3F">
                  <w:pPr>
                    <w:pStyle w:val="36"/>
                    <w:bidi w:val="0"/>
                    <w:rPr>
                      <w:rFonts w:hint="default" w:ascii="Times New Roman" w:hAnsi="Times New Roman" w:cs="Times New Roman"/>
                      <w:color w:val="auto"/>
                    </w:rPr>
                  </w:pPr>
                  <w:r>
                    <w:rPr>
                      <w:rFonts w:hint="default" w:ascii="Times New Roman" w:hAnsi="Times New Roman" w:cs="Times New Roman"/>
                      <w:color w:val="auto"/>
                    </w:rPr>
                    <w:t>拟建项目位于淮安市涟水经济开发区，不属于石化、化工、水泥、钢铁等重污染企业和危险化学品企业。企业严格管理，配备消防器材等应急物资及应急设施，采取严密的应急防范措施，按照要求编制突发环境事件应急预案并备案，定期组织演练，提高应急处置能力。</w:t>
                  </w:r>
                </w:p>
              </w:tc>
              <w:tc>
                <w:tcPr>
                  <w:tcW w:w="784" w:type="dxa"/>
                  <w:vMerge w:val="restart"/>
                  <w:noWrap w:val="0"/>
                  <w:vAlign w:val="center"/>
                </w:tcPr>
                <w:p w14:paraId="77995707">
                  <w:pPr>
                    <w:pStyle w:val="36"/>
                    <w:bidi w:val="0"/>
                    <w:rPr>
                      <w:rFonts w:hint="default" w:ascii="Times New Roman" w:hAnsi="Times New Roman" w:cs="Times New Roman"/>
                      <w:color w:val="auto"/>
                    </w:rPr>
                  </w:pPr>
                  <w:r>
                    <w:rPr>
                      <w:rFonts w:hint="default" w:ascii="Times New Roman" w:hAnsi="Times New Roman" w:cs="Times New Roman"/>
                      <w:color w:val="auto"/>
                    </w:rPr>
                    <w:t>符合</w:t>
                  </w:r>
                </w:p>
              </w:tc>
            </w:tr>
            <w:tr w14:paraId="38754A82">
              <w:tc>
                <w:tcPr>
                  <w:tcW w:w="355" w:type="dxa"/>
                  <w:vMerge w:val="continue"/>
                  <w:noWrap w:val="0"/>
                  <w:vAlign w:val="center"/>
                </w:tcPr>
                <w:p w14:paraId="34D3AABC">
                  <w:pPr>
                    <w:pStyle w:val="36"/>
                    <w:bidi w:val="0"/>
                    <w:rPr>
                      <w:rFonts w:hint="default" w:ascii="Times New Roman" w:hAnsi="Times New Roman" w:cs="Times New Roman"/>
                      <w:color w:val="auto"/>
                    </w:rPr>
                  </w:pPr>
                </w:p>
              </w:tc>
              <w:tc>
                <w:tcPr>
                  <w:tcW w:w="630" w:type="dxa"/>
                  <w:vMerge w:val="continue"/>
                  <w:noWrap w:val="0"/>
                  <w:vAlign w:val="center"/>
                </w:tcPr>
                <w:p w14:paraId="142DF172">
                  <w:pPr>
                    <w:pStyle w:val="36"/>
                    <w:bidi w:val="0"/>
                    <w:rPr>
                      <w:rFonts w:hint="default" w:ascii="Times New Roman" w:hAnsi="Times New Roman" w:cs="Times New Roman"/>
                      <w:color w:val="auto"/>
                    </w:rPr>
                  </w:pPr>
                </w:p>
              </w:tc>
              <w:tc>
                <w:tcPr>
                  <w:tcW w:w="3662" w:type="dxa"/>
                  <w:noWrap w:val="0"/>
                  <w:vAlign w:val="center"/>
                </w:tcPr>
                <w:p w14:paraId="49F82A7B">
                  <w:pPr>
                    <w:overflowPunct w:val="0"/>
                    <w:autoSpaceDE w:val="0"/>
                    <w:autoSpaceDN w:val="0"/>
                    <w:adjustRightInd w:val="0"/>
                    <w:snapToGrid w:val="0"/>
                    <w:ind w:firstLine="420" w:firstLineChars="20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2.根据《淮安市“两减六治三提升”专项行动方案》（淮发〔2017〕26号），加强县以上城市应急备用水源建设和管理，强化应急体系建设，建立饮用水源地实时监测监控系统，落实水源地日常巡查制度。</w:t>
                  </w:r>
                </w:p>
              </w:tc>
              <w:tc>
                <w:tcPr>
                  <w:tcW w:w="2290" w:type="dxa"/>
                  <w:vMerge w:val="continue"/>
                  <w:noWrap w:val="0"/>
                  <w:vAlign w:val="center"/>
                </w:tcPr>
                <w:p w14:paraId="6EADE757">
                  <w:pPr>
                    <w:pStyle w:val="36"/>
                    <w:bidi w:val="0"/>
                    <w:rPr>
                      <w:rFonts w:hint="default" w:ascii="Times New Roman" w:hAnsi="Times New Roman" w:cs="Times New Roman"/>
                      <w:color w:val="auto"/>
                    </w:rPr>
                  </w:pPr>
                </w:p>
              </w:tc>
              <w:tc>
                <w:tcPr>
                  <w:tcW w:w="784" w:type="dxa"/>
                  <w:vMerge w:val="continue"/>
                  <w:noWrap w:val="0"/>
                  <w:vAlign w:val="center"/>
                </w:tcPr>
                <w:p w14:paraId="5CD226B1">
                  <w:pPr>
                    <w:pStyle w:val="36"/>
                    <w:bidi w:val="0"/>
                    <w:rPr>
                      <w:rFonts w:hint="default" w:ascii="Times New Roman" w:hAnsi="Times New Roman" w:cs="Times New Roman"/>
                      <w:color w:val="auto"/>
                    </w:rPr>
                  </w:pPr>
                </w:p>
              </w:tc>
            </w:tr>
            <w:tr w14:paraId="48F846E8">
              <w:tc>
                <w:tcPr>
                  <w:tcW w:w="355" w:type="dxa"/>
                  <w:vMerge w:val="continue"/>
                  <w:noWrap w:val="0"/>
                  <w:vAlign w:val="center"/>
                </w:tcPr>
                <w:p w14:paraId="136EF471">
                  <w:pPr>
                    <w:pStyle w:val="36"/>
                    <w:bidi w:val="0"/>
                    <w:rPr>
                      <w:rFonts w:hint="default" w:ascii="Times New Roman" w:hAnsi="Times New Roman" w:cs="Times New Roman"/>
                      <w:color w:val="auto"/>
                    </w:rPr>
                  </w:pPr>
                </w:p>
              </w:tc>
              <w:tc>
                <w:tcPr>
                  <w:tcW w:w="630" w:type="dxa"/>
                  <w:vMerge w:val="continue"/>
                  <w:noWrap w:val="0"/>
                  <w:vAlign w:val="center"/>
                </w:tcPr>
                <w:p w14:paraId="598939A0">
                  <w:pPr>
                    <w:pStyle w:val="36"/>
                    <w:bidi w:val="0"/>
                    <w:rPr>
                      <w:rFonts w:hint="default" w:ascii="Times New Roman" w:hAnsi="Times New Roman" w:cs="Times New Roman"/>
                      <w:color w:val="auto"/>
                    </w:rPr>
                  </w:pPr>
                </w:p>
              </w:tc>
              <w:tc>
                <w:tcPr>
                  <w:tcW w:w="3662" w:type="dxa"/>
                  <w:noWrap w:val="0"/>
                  <w:vAlign w:val="center"/>
                </w:tcPr>
                <w:p w14:paraId="757B4F26">
                  <w:pPr>
                    <w:overflowPunct w:val="0"/>
                    <w:autoSpaceDE w:val="0"/>
                    <w:autoSpaceDN w:val="0"/>
                    <w:adjustRightInd w:val="0"/>
                    <w:snapToGrid w:val="0"/>
                    <w:ind w:firstLine="420" w:firstLineChars="20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3.根据《中共淮安市委淮安市人民政府关于全面加强生态环境保护坚决打好污染防治攻坚战的实施意见》（淮发〔2018〕33号），严格控制环境风险项目，整合和提升现有工业集聚区，加快城市建成区内石化、化工、水泥、钢铁等重污染企业和危险化学品企业搬迁改造。深化跨部门、跨县区环境应急协调联动，建立环境应急预案电子备案系统。分区域建立环境应急物资储备库，市、县（区）两级政府建立应急物资储备库，各级工业园区和企业环境应急装备和储备物资应纳入储备体系。完善市、县、乡三级突发环境事件应急响应体系，定期组织演练，提高应急处置能力。</w:t>
                  </w:r>
                </w:p>
              </w:tc>
              <w:tc>
                <w:tcPr>
                  <w:tcW w:w="2290" w:type="dxa"/>
                  <w:vMerge w:val="continue"/>
                  <w:noWrap w:val="0"/>
                  <w:vAlign w:val="center"/>
                </w:tcPr>
                <w:p w14:paraId="5084E775">
                  <w:pPr>
                    <w:pStyle w:val="36"/>
                    <w:bidi w:val="0"/>
                    <w:rPr>
                      <w:rFonts w:hint="default" w:ascii="Times New Roman" w:hAnsi="Times New Roman" w:cs="Times New Roman"/>
                      <w:color w:val="auto"/>
                    </w:rPr>
                  </w:pPr>
                </w:p>
              </w:tc>
              <w:tc>
                <w:tcPr>
                  <w:tcW w:w="784" w:type="dxa"/>
                  <w:vMerge w:val="continue"/>
                  <w:noWrap w:val="0"/>
                  <w:vAlign w:val="center"/>
                </w:tcPr>
                <w:p w14:paraId="362165B8">
                  <w:pPr>
                    <w:pStyle w:val="36"/>
                    <w:bidi w:val="0"/>
                    <w:rPr>
                      <w:rFonts w:hint="default" w:ascii="Times New Roman" w:hAnsi="Times New Roman" w:cs="Times New Roman"/>
                      <w:color w:val="auto"/>
                    </w:rPr>
                  </w:pPr>
                </w:p>
              </w:tc>
            </w:tr>
            <w:tr w14:paraId="6C5D09C8">
              <w:tc>
                <w:tcPr>
                  <w:tcW w:w="355" w:type="dxa"/>
                  <w:vMerge w:val="continue"/>
                  <w:noWrap w:val="0"/>
                  <w:vAlign w:val="center"/>
                </w:tcPr>
                <w:p w14:paraId="728918B8">
                  <w:pPr>
                    <w:pStyle w:val="36"/>
                    <w:bidi w:val="0"/>
                    <w:rPr>
                      <w:rFonts w:hint="default" w:ascii="Times New Roman" w:hAnsi="Times New Roman" w:cs="Times New Roman"/>
                      <w:color w:val="auto"/>
                    </w:rPr>
                  </w:pPr>
                </w:p>
              </w:tc>
              <w:tc>
                <w:tcPr>
                  <w:tcW w:w="630" w:type="dxa"/>
                  <w:vMerge w:val="restart"/>
                  <w:noWrap w:val="0"/>
                  <w:vAlign w:val="center"/>
                </w:tcPr>
                <w:p w14:paraId="74D6CC09">
                  <w:pPr>
                    <w:pStyle w:val="36"/>
                    <w:bidi w:val="0"/>
                    <w:rPr>
                      <w:rFonts w:hint="eastAsia" w:ascii="Times New Roman" w:hAnsi="Times New Roman" w:eastAsia="宋体" w:cs="Times New Roman"/>
                      <w:color w:val="auto"/>
                      <w:lang w:val="en-US" w:eastAsia="zh-CN"/>
                    </w:rPr>
                  </w:pPr>
                  <w:r>
                    <w:rPr>
                      <w:rFonts w:hint="eastAsia" w:ascii="Times New Roman" w:cs="Times New Roman"/>
                      <w:color w:val="auto"/>
                      <w:lang w:val="en-US" w:eastAsia="zh-CN"/>
                    </w:rPr>
                    <w:t>资源利用效率要求</w:t>
                  </w:r>
                </w:p>
              </w:tc>
              <w:tc>
                <w:tcPr>
                  <w:tcW w:w="3662" w:type="dxa"/>
                  <w:noWrap w:val="0"/>
                  <w:vAlign w:val="center"/>
                </w:tcPr>
                <w:p w14:paraId="438CCCF7">
                  <w:pPr>
                    <w:overflowPunct w:val="0"/>
                    <w:autoSpaceDE w:val="0"/>
                    <w:autoSpaceDN w:val="0"/>
                    <w:adjustRightInd w:val="0"/>
                    <w:snapToGrid w:val="0"/>
                    <w:ind w:firstLine="420" w:firstLineChars="20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1.水资源利用总量及效率要求：根据《省最严格水资源管理考核联席会议关于下达2020年和2030年全省实行最严格水资源管理制度控制指标的通知》（苏水资联〔2016〕5号），到2020年，淮安市用水总量不得超过33.33亿立方米，万元地区生产总值用水量降至79立方米以下，万元工业增加值用水量降至10.3立方米以下，农田灌溉水有效利用系数达到0.610以上。</w:t>
                  </w:r>
                </w:p>
              </w:tc>
              <w:tc>
                <w:tcPr>
                  <w:tcW w:w="2290" w:type="dxa"/>
                  <w:vMerge w:val="restart"/>
                  <w:noWrap w:val="0"/>
                  <w:vAlign w:val="center"/>
                </w:tcPr>
                <w:p w14:paraId="0BABDF85">
                  <w:pPr>
                    <w:pStyle w:val="36"/>
                    <w:bidi w:val="0"/>
                    <w:rPr>
                      <w:rFonts w:hint="default" w:ascii="Times New Roman" w:hAnsi="Times New Roman" w:cs="Times New Roman"/>
                      <w:color w:val="auto"/>
                    </w:rPr>
                  </w:pPr>
                  <w:r>
                    <w:rPr>
                      <w:rFonts w:hint="default" w:ascii="Times New Roman" w:hAnsi="Times New Roman" w:cs="Times New Roman"/>
                      <w:color w:val="auto"/>
                    </w:rPr>
                    <w:t>本项目位于涟水经济开发区，不涉及</w:t>
                  </w:r>
                  <w:r>
                    <w:rPr>
                      <w:rFonts w:hint="eastAsia" w:ascii="Times New Roman" w:cs="Times New Roman"/>
                      <w:color w:val="auto"/>
                      <w:lang w:val="en-US" w:eastAsia="zh-CN"/>
                    </w:rPr>
                    <w:t>地下水开采</w:t>
                  </w:r>
                  <w:r>
                    <w:rPr>
                      <w:rFonts w:hint="default" w:ascii="Times New Roman" w:hAnsi="Times New Roman" w:cs="Times New Roman"/>
                      <w:color w:val="auto"/>
                    </w:rPr>
                    <w:t>，不属于禁燃区内；本项目不属于高耗能项目。</w:t>
                  </w:r>
                </w:p>
              </w:tc>
              <w:tc>
                <w:tcPr>
                  <w:tcW w:w="784" w:type="dxa"/>
                  <w:vMerge w:val="restart"/>
                  <w:noWrap w:val="0"/>
                  <w:vAlign w:val="center"/>
                </w:tcPr>
                <w:p w14:paraId="7D19975B">
                  <w:pPr>
                    <w:pStyle w:val="36"/>
                    <w:bidi w:val="0"/>
                    <w:rPr>
                      <w:rFonts w:hint="default" w:ascii="Times New Roman" w:hAnsi="Times New Roman" w:cs="Times New Roman"/>
                      <w:color w:val="auto"/>
                    </w:rPr>
                  </w:pPr>
                  <w:r>
                    <w:rPr>
                      <w:rFonts w:hint="default" w:ascii="Times New Roman" w:hAnsi="Times New Roman" w:cs="Times New Roman"/>
                      <w:color w:val="auto"/>
                    </w:rPr>
                    <w:t>符合</w:t>
                  </w:r>
                </w:p>
              </w:tc>
            </w:tr>
            <w:tr w14:paraId="1C80A4A2">
              <w:tc>
                <w:tcPr>
                  <w:tcW w:w="355" w:type="dxa"/>
                  <w:vMerge w:val="continue"/>
                  <w:noWrap w:val="0"/>
                  <w:vAlign w:val="center"/>
                </w:tcPr>
                <w:p w14:paraId="7ECB520E">
                  <w:pPr>
                    <w:pStyle w:val="36"/>
                    <w:bidi w:val="0"/>
                    <w:rPr>
                      <w:rFonts w:hint="default" w:ascii="Times New Roman" w:hAnsi="Times New Roman" w:cs="Times New Roman"/>
                      <w:color w:val="auto"/>
                    </w:rPr>
                  </w:pPr>
                </w:p>
              </w:tc>
              <w:tc>
                <w:tcPr>
                  <w:tcW w:w="630" w:type="dxa"/>
                  <w:vMerge w:val="continue"/>
                  <w:noWrap w:val="0"/>
                  <w:vAlign w:val="center"/>
                </w:tcPr>
                <w:p w14:paraId="33FA6EBA">
                  <w:pPr>
                    <w:pStyle w:val="36"/>
                    <w:bidi w:val="0"/>
                    <w:rPr>
                      <w:rFonts w:hint="default" w:ascii="Times New Roman" w:hAnsi="Times New Roman" w:cs="Times New Roman"/>
                      <w:color w:val="auto"/>
                    </w:rPr>
                  </w:pPr>
                </w:p>
              </w:tc>
              <w:tc>
                <w:tcPr>
                  <w:tcW w:w="3662" w:type="dxa"/>
                  <w:noWrap w:val="0"/>
                  <w:vAlign w:val="center"/>
                </w:tcPr>
                <w:p w14:paraId="2AD27DB0">
                  <w:pPr>
                    <w:overflowPunct w:val="0"/>
                    <w:autoSpaceDE w:val="0"/>
                    <w:autoSpaceDN w:val="0"/>
                    <w:adjustRightInd w:val="0"/>
                    <w:snapToGrid w:val="0"/>
                    <w:ind w:firstLine="420" w:firstLineChars="20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2.地下水开采要求：根据《淮安市“两减六治三提升”专项行动方案》（淮发〔2017〕26号），到2020年，淮安市地下水超采区全面达到用水总量控制和水位红线控制要求，累计压缩地下水开采量3952.3万立方米。</w:t>
                  </w:r>
                </w:p>
              </w:tc>
              <w:tc>
                <w:tcPr>
                  <w:tcW w:w="2290" w:type="dxa"/>
                  <w:vMerge w:val="continue"/>
                  <w:noWrap w:val="0"/>
                  <w:vAlign w:val="center"/>
                </w:tcPr>
                <w:p w14:paraId="7EBA56C3">
                  <w:pPr>
                    <w:pStyle w:val="36"/>
                    <w:bidi w:val="0"/>
                    <w:rPr>
                      <w:rFonts w:hint="default" w:ascii="Times New Roman" w:hAnsi="Times New Roman" w:cs="Times New Roman"/>
                      <w:color w:val="auto"/>
                    </w:rPr>
                  </w:pPr>
                </w:p>
              </w:tc>
              <w:tc>
                <w:tcPr>
                  <w:tcW w:w="784" w:type="dxa"/>
                  <w:vMerge w:val="continue"/>
                  <w:noWrap w:val="0"/>
                  <w:vAlign w:val="center"/>
                </w:tcPr>
                <w:p w14:paraId="5B9F5851">
                  <w:pPr>
                    <w:pStyle w:val="36"/>
                    <w:bidi w:val="0"/>
                    <w:rPr>
                      <w:rFonts w:hint="default" w:ascii="Times New Roman" w:hAnsi="Times New Roman" w:cs="Times New Roman"/>
                      <w:color w:val="auto"/>
                    </w:rPr>
                  </w:pPr>
                </w:p>
              </w:tc>
            </w:tr>
            <w:tr w14:paraId="52EBDB91">
              <w:tc>
                <w:tcPr>
                  <w:tcW w:w="355" w:type="dxa"/>
                  <w:vMerge w:val="continue"/>
                  <w:noWrap w:val="0"/>
                  <w:vAlign w:val="center"/>
                </w:tcPr>
                <w:p w14:paraId="2F32C75A">
                  <w:pPr>
                    <w:pStyle w:val="36"/>
                    <w:bidi w:val="0"/>
                    <w:rPr>
                      <w:rFonts w:hint="default" w:ascii="Times New Roman" w:hAnsi="Times New Roman" w:cs="Times New Roman"/>
                      <w:color w:val="auto"/>
                    </w:rPr>
                  </w:pPr>
                </w:p>
              </w:tc>
              <w:tc>
                <w:tcPr>
                  <w:tcW w:w="630" w:type="dxa"/>
                  <w:vMerge w:val="continue"/>
                  <w:noWrap w:val="0"/>
                  <w:vAlign w:val="center"/>
                </w:tcPr>
                <w:p w14:paraId="7C9013EC">
                  <w:pPr>
                    <w:pStyle w:val="36"/>
                    <w:bidi w:val="0"/>
                    <w:rPr>
                      <w:rFonts w:hint="default" w:ascii="Times New Roman" w:hAnsi="Times New Roman" w:cs="Times New Roman"/>
                      <w:color w:val="auto"/>
                    </w:rPr>
                  </w:pPr>
                </w:p>
              </w:tc>
              <w:tc>
                <w:tcPr>
                  <w:tcW w:w="3662" w:type="dxa"/>
                  <w:noWrap w:val="0"/>
                  <w:vAlign w:val="center"/>
                </w:tcPr>
                <w:p w14:paraId="16C67170">
                  <w:pPr>
                    <w:overflowPunct w:val="0"/>
                    <w:autoSpaceDE w:val="0"/>
                    <w:autoSpaceDN w:val="0"/>
                    <w:adjustRightInd w:val="0"/>
                    <w:snapToGrid w:val="0"/>
                    <w:ind w:firstLine="420" w:firstLineChars="20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3.土地资源利用总量及效率要求：根据《淮安市土地利用总体规划（2006</w:t>
                  </w:r>
                  <w:r>
                    <w:rPr>
                      <w:rFonts w:hint="eastAsia" w:cs="Times New Roman"/>
                      <w:color w:val="auto"/>
                      <w:kern w:val="0"/>
                      <w:sz w:val="21"/>
                      <w:szCs w:val="20"/>
                      <w:lang w:val="en-US" w:eastAsia="zh-CN" w:bidi="ar-SA"/>
                    </w:rPr>
                    <w:t>—</w:t>
                  </w:r>
                  <w:r>
                    <w:rPr>
                      <w:rFonts w:hint="default" w:ascii="Times New Roman" w:hAnsi="Times New Roman" w:eastAsia="宋体" w:cs="Times New Roman"/>
                      <w:color w:val="auto"/>
                      <w:kern w:val="0"/>
                      <w:sz w:val="21"/>
                      <w:szCs w:val="20"/>
                      <w:lang w:val="en-US" w:eastAsia="zh-CN" w:bidi="ar-SA"/>
                    </w:rPr>
                    <w:t>2020年）调整方案》，到2020年，淮安市耕地保有量不得低于47.6027万公顷，永久基本农田保护面积不低于39.4699万公顷，开发强度不得高于18%。</w:t>
                  </w:r>
                </w:p>
              </w:tc>
              <w:tc>
                <w:tcPr>
                  <w:tcW w:w="2290" w:type="dxa"/>
                  <w:vMerge w:val="continue"/>
                  <w:noWrap w:val="0"/>
                  <w:vAlign w:val="center"/>
                </w:tcPr>
                <w:p w14:paraId="58A89C4D">
                  <w:pPr>
                    <w:pStyle w:val="36"/>
                    <w:bidi w:val="0"/>
                    <w:rPr>
                      <w:rFonts w:hint="default" w:ascii="Times New Roman" w:hAnsi="Times New Roman" w:cs="Times New Roman"/>
                      <w:color w:val="auto"/>
                    </w:rPr>
                  </w:pPr>
                </w:p>
              </w:tc>
              <w:tc>
                <w:tcPr>
                  <w:tcW w:w="784" w:type="dxa"/>
                  <w:vMerge w:val="continue"/>
                  <w:noWrap w:val="0"/>
                  <w:vAlign w:val="center"/>
                </w:tcPr>
                <w:p w14:paraId="520AEDD2">
                  <w:pPr>
                    <w:pStyle w:val="36"/>
                    <w:bidi w:val="0"/>
                    <w:rPr>
                      <w:rFonts w:hint="default" w:ascii="Times New Roman" w:hAnsi="Times New Roman" w:cs="Times New Roman"/>
                      <w:color w:val="auto"/>
                    </w:rPr>
                  </w:pPr>
                </w:p>
              </w:tc>
            </w:tr>
            <w:tr w14:paraId="2A25295F">
              <w:tc>
                <w:tcPr>
                  <w:tcW w:w="355" w:type="dxa"/>
                  <w:vMerge w:val="continue"/>
                  <w:noWrap w:val="0"/>
                  <w:vAlign w:val="center"/>
                </w:tcPr>
                <w:p w14:paraId="7EA32258">
                  <w:pPr>
                    <w:pStyle w:val="36"/>
                    <w:bidi w:val="0"/>
                    <w:rPr>
                      <w:rFonts w:hint="default" w:ascii="Times New Roman" w:hAnsi="Times New Roman" w:cs="Times New Roman"/>
                      <w:color w:val="auto"/>
                    </w:rPr>
                  </w:pPr>
                </w:p>
              </w:tc>
              <w:tc>
                <w:tcPr>
                  <w:tcW w:w="630" w:type="dxa"/>
                  <w:vMerge w:val="continue"/>
                  <w:noWrap w:val="0"/>
                  <w:vAlign w:val="center"/>
                </w:tcPr>
                <w:p w14:paraId="1943BC97">
                  <w:pPr>
                    <w:pStyle w:val="36"/>
                    <w:bidi w:val="0"/>
                    <w:rPr>
                      <w:rFonts w:hint="default" w:ascii="Times New Roman" w:hAnsi="Times New Roman" w:cs="Times New Roman"/>
                      <w:color w:val="auto"/>
                    </w:rPr>
                  </w:pPr>
                </w:p>
              </w:tc>
              <w:tc>
                <w:tcPr>
                  <w:tcW w:w="3662" w:type="dxa"/>
                  <w:noWrap w:val="0"/>
                  <w:vAlign w:val="center"/>
                </w:tcPr>
                <w:p w14:paraId="2C2591B7">
                  <w:pPr>
                    <w:overflowPunct w:val="0"/>
                    <w:autoSpaceDE w:val="0"/>
                    <w:autoSpaceDN w:val="0"/>
                    <w:adjustRightInd w:val="0"/>
                    <w:snapToGrid w:val="0"/>
                    <w:ind w:firstLine="420" w:firstLineChars="20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4.能源利用总量及效率要求：根据《淮安市“两减六治三提升”专项行动方案》（淮发〔2017〕26号），到2020年，淮安市煤炭消费总量比2016年减少55万吨，电子行业煤炭消费占煤炭消费总量的比重提高到65%以上，非化石能源占一次能源比重达到10%。</w:t>
                  </w:r>
                </w:p>
              </w:tc>
              <w:tc>
                <w:tcPr>
                  <w:tcW w:w="2290" w:type="dxa"/>
                  <w:vMerge w:val="continue"/>
                  <w:noWrap w:val="0"/>
                  <w:vAlign w:val="center"/>
                </w:tcPr>
                <w:p w14:paraId="401C7CB3">
                  <w:pPr>
                    <w:pStyle w:val="36"/>
                    <w:bidi w:val="0"/>
                    <w:rPr>
                      <w:rFonts w:hint="default" w:ascii="Times New Roman" w:hAnsi="Times New Roman" w:cs="Times New Roman"/>
                      <w:color w:val="auto"/>
                    </w:rPr>
                  </w:pPr>
                </w:p>
              </w:tc>
              <w:tc>
                <w:tcPr>
                  <w:tcW w:w="784" w:type="dxa"/>
                  <w:vMerge w:val="continue"/>
                  <w:noWrap w:val="0"/>
                  <w:vAlign w:val="center"/>
                </w:tcPr>
                <w:p w14:paraId="195D80CA">
                  <w:pPr>
                    <w:pStyle w:val="36"/>
                    <w:bidi w:val="0"/>
                    <w:rPr>
                      <w:rFonts w:hint="default" w:ascii="Times New Roman" w:hAnsi="Times New Roman" w:cs="Times New Roman"/>
                      <w:color w:val="auto"/>
                    </w:rPr>
                  </w:pPr>
                </w:p>
              </w:tc>
            </w:tr>
            <w:tr w14:paraId="379C2FDC">
              <w:tc>
                <w:tcPr>
                  <w:tcW w:w="355" w:type="dxa"/>
                  <w:vMerge w:val="continue"/>
                  <w:noWrap w:val="0"/>
                  <w:vAlign w:val="center"/>
                </w:tcPr>
                <w:p w14:paraId="438FADDE">
                  <w:pPr>
                    <w:pStyle w:val="36"/>
                    <w:bidi w:val="0"/>
                    <w:rPr>
                      <w:rFonts w:hint="default" w:ascii="Times New Roman" w:hAnsi="Times New Roman" w:cs="Times New Roman"/>
                      <w:color w:val="auto"/>
                    </w:rPr>
                  </w:pPr>
                </w:p>
              </w:tc>
              <w:tc>
                <w:tcPr>
                  <w:tcW w:w="630" w:type="dxa"/>
                  <w:vMerge w:val="continue"/>
                  <w:noWrap w:val="0"/>
                  <w:vAlign w:val="center"/>
                </w:tcPr>
                <w:p w14:paraId="58551DD0">
                  <w:pPr>
                    <w:pStyle w:val="36"/>
                    <w:bidi w:val="0"/>
                    <w:rPr>
                      <w:rFonts w:hint="default" w:ascii="Times New Roman" w:hAnsi="Times New Roman" w:cs="Times New Roman"/>
                      <w:color w:val="auto"/>
                    </w:rPr>
                  </w:pPr>
                </w:p>
              </w:tc>
              <w:tc>
                <w:tcPr>
                  <w:tcW w:w="3662" w:type="dxa"/>
                  <w:noWrap w:val="0"/>
                  <w:vAlign w:val="center"/>
                </w:tcPr>
                <w:p w14:paraId="7FB051E3">
                  <w:pPr>
                    <w:overflowPunct w:val="0"/>
                    <w:autoSpaceDE w:val="0"/>
                    <w:autoSpaceDN w:val="0"/>
                    <w:adjustRightInd w:val="0"/>
                    <w:snapToGrid w:val="0"/>
                    <w:ind w:firstLine="420" w:firstLineChars="20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5.禁燃区要求：根据《江苏省大气污染防治条例》，禁燃区禁止新建、扩建燃用高污染燃料的项目和设施，已建成的应逐步或依法限期改用天然气、电或者其他清洁能源。</w:t>
                  </w:r>
                </w:p>
              </w:tc>
              <w:tc>
                <w:tcPr>
                  <w:tcW w:w="2290" w:type="dxa"/>
                  <w:vMerge w:val="continue"/>
                  <w:noWrap w:val="0"/>
                  <w:vAlign w:val="center"/>
                </w:tcPr>
                <w:p w14:paraId="673F66FA">
                  <w:pPr>
                    <w:pStyle w:val="36"/>
                    <w:bidi w:val="0"/>
                    <w:rPr>
                      <w:rFonts w:hint="default" w:ascii="Times New Roman" w:hAnsi="Times New Roman" w:cs="Times New Roman"/>
                      <w:color w:val="auto"/>
                    </w:rPr>
                  </w:pPr>
                </w:p>
              </w:tc>
              <w:tc>
                <w:tcPr>
                  <w:tcW w:w="784" w:type="dxa"/>
                  <w:vMerge w:val="continue"/>
                  <w:noWrap w:val="0"/>
                  <w:vAlign w:val="center"/>
                </w:tcPr>
                <w:p w14:paraId="1DA87122">
                  <w:pPr>
                    <w:pStyle w:val="36"/>
                    <w:bidi w:val="0"/>
                    <w:rPr>
                      <w:rFonts w:hint="default" w:ascii="Times New Roman" w:hAnsi="Times New Roman" w:cs="Times New Roman"/>
                      <w:color w:val="auto"/>
                    </w:rPr>
                  </w:pPr>
                </w:p>
              </w:tc>
            </w:tr>
            <w:tr w14:paraId="7EB9B4DA">
              <w:tc>
                <w:tcPr>
                  <w:tcW w:w="355" w:type="dxa"/>
                  <w:vMerge w:val="continue"/>
                  <w:noWrap w:val="0"/>
                  <w:vAlign w:val="center"/>
                </w:tcPr>
                <w:p w14:paraId="5CEDB1FF">
                  <w:pPr>
                    <w:pStyle w:val="36"/>
                    <w:bidi w:val="0"/>
                    <w:rPr>
                      <w:rFonts w:hint="default" w:ascii="Times New Roman" w:hAnsi="Times New Roman" w:cs="Times New Roman"/>
                      <w:color w:val="auto"/>
                    </w:rPr>
                  </w:pPr>
                </w:p>
              </w:tc>
              <w:tc>
                <w:tcPr>
                  <w:tcW w:w="630" w:type="dxa"/>
                  <w:vMerge w:val="continue"/>
                  <w:noWrap w:val="0"/>
                  <w:vAlign w:val="center"/>
                </w:tcPr>
                <w:p w14:paraId="19999E67">
                  <w:pPr>
                    <w:pStyle w:val="36"/>
                    <w:bidi w:val="0"/>
                    <w:rPr>
                      <w:rFonts w:hint="default" w:ascii="Times New Roman" w:hAnsi="Times New Roman" w:cs="Times New Roman"/>
                      <w:color w:val="auto"/>
                    </w:rPr>
                  </w:pPr>
                </w:p>
              </w:tc>
              <w:tc>
                <w:tcPr>
                  <w:tcW w:w="3662" w:type="dxa"/>
                  <w:noWrap w:val="0"/>
                  <w:vAlign w:val="center"/>
                </w:tcPr>
                <w:p w14:paraId="62ABC53C">
                  <w:pPr>
                    <w:overflowPunct w:val="0"/>
                    <w:autoSpaceDE w:val="0"/>
                    <w:autoSpaceDN w:val="0"/>
                    <w:adjustRightInd w:val="0"/>
                    <w:snapToGrid w:val="0"/>
                    <w:ind w:firstLine="420" w:firstLineChars="20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6.能耗要求：根据《淮安市打赢蓝天保卫战三年行动计划实施方案》（淮政发〔2018〕113号），新建高耗能项目单位产品（产值）能耗要达到国际先进水平。</w:t>
                  </w:r>
                </w:p>
              </w:tc>
              <w:tc>
                <w:tcPr>
                  <w:tcW w:w="2290" w:type="dxa"/>
                  <w:vMerge w:val="continue"/>
                  <w:noWrap w:val="0"/>
                  <w:vAlign w:val="center"/>
                </w:tcPr>
                <w:p w14:paraId="77168ADC">
                  <w:pPr>
                    <w:pStyle w:val="36"/>
                    <w:bidi w:val="0"/>
                    <w:rPr>
                      <w:rFonts w:hint="default" w:ascii="Times New Roman" w:hAnsi="Times New Roman" w:cs="Times New Roman"/>
                      <w:color w:val="auto"/>
                    </w:rPr>
                  </w:pPr>
                </w:p>
              </w:tc>
              <w:tc>
                <w:tcPr>
                  <w:tcW w:w="784" w:type="dxa"/>
                  <w:vMerge w:val="continue"/>
                  <w:noWrap w:val="0"/>
                  <w:vAlign w:val="center"/>
                </w:tcPr>
                <w:p w14:paraId="1BF4329B">
                  <w:pPr>
                    <w:pStyle w:val="36"/>
                    <w:bidi w:val="0"/>
                    <w:rPr>
                      <w:rFonts w:hint="default" w:ascii="Times New Roman" w:hAnsi="Times New Roman" w:cs="Times New Roman"/>
                      <w:color w:val="auto"/>
                    </w:rPr>
                  </w:pPr>
                </w:p>
              </w:tc>
            </w:tr>
          </w:tbl>
          <w:p w14:paraId="7E3DA2A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rPr>
            </w:pPr>
            <w:r>
              <w:rPr>
                <w:rFonts w:hint="eastAsia"/>
                <w:color w:val="auto"/>
                <w:sz w:val="24"/>
                <w:lang w:val="en-US" w:eastAsia="zh-CN"/>
              </w:rPr>
              <w:t>根据上表分析可知，项目与《淮安市“三线一单”生态环境分区管控方案》及《市政府办公室关于对淮安市“三线一单”生态环境分区管控方案内容修改的通知》（淮政办函〔2022〕5号）是相符的。</w:t>
            </w:r>
          </w:p>
          <w:p w14:paraId="5BD4F2A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eastAsia="宋体"/>
                <w:color w:val="auto"/>
                <w:sz w:val="24"/>
                <w:lang w:eastAsia="zh-CN"/>
              </w:rPr>
            </w:pPr>
            <w:r>
              <w:rPr>
                <w:rFonts w:hint="eastAsia"/>
                <w:color w:val="auto"/>
                <w:sz w:val="24"/>
              </w:rPr>
              <w:t>对照《江苏省2023年度生态环境分区管控动态更新成果》，建设项目所在地属于重点管控单元（单元名称；江苏涟水经济开发区；单元编码：ZH32082620176），本项目建设符合《江苏省2023年度生态环境分区管控动态更新成果》相关要求，</w:t>
            </w:r>
            <w:r>
              <w:rPr>
                <w:rFonts w:hint="eastAsia"/>
                <w:color w:val="auto"/>
                <w:sz w:val="24"/>
                <w:lang w:val="en-US" w:eastAsia="zh-CN"/>
              </w:rPr>
              <w:t>根据</w:t>
            </w:r>
            <w:r>
              <w:rPr>
                <w:rFonts w:hint="eastAsia"/>
                <w:color w:val="auto"/>
                <w:sz w:val="24"/>
              </w:rPr>
              <w:t>更新的生态环境管控要求分析本次项目相符性，相符性分析见</w:t>
            </w:r>
            <w:r>
              <w:rPr>
                <w:rFonts w:hint="eastAsia"/>
                <w:color w:val="auto"/>
                <w:sz w:val="24"/>
                <w:lang w:val="en-US" w:eastAsia="zh-CN"/>
              </w:rPr>
              <w:t>下</w:t>
            </w:r>
            <w:r>
              <w:rPr>
                <w:rFonts w:hint="eastAsia"/>
                <w:color w:val="auto"/>
                <w:sz w:val="24"/>
              </w:rPr>
              <w:t>表</w:t>
            </w:r>
            <w:r>
              <w:rPr>
                <w:rFonts w:hint="eastAsia"/>
                <w:color w:val="auto"/>
                <w:sz w:val="24"/>
                <w:lang w:eastAsia="zh-CN"/>
              </w:rPr>
              <w:t>。</w:t>
            </w:r>
          </w:p>
          <w:p w14:paraId="4CA705E6">
            <w:pPr>
              <w:pStyle w:val="54"/>
              <w:rPr>
                <w:rFonts w:hint="eastAsia" w:ascii="Times New Roman" w:hAnsi="Times New Roman" w:eastAsia="宋体" w:cs="Times New Roman"/>
                <w:b/>
                <w:bCs/>
                <w:color w:val="auto"/>
                <w:spacing w:val="0"/>
                <w:kern w:val="2"/>
                <w:sz w:val="21"/>
                <w:szCs w:val="21"/>
                <w:lang w:val="en-US" w:eastAsia="zh-CN" w:bidi="ar-SA"/>
              </w:rPr>
            </w:pPr>
            <w:r>
              <w:rPr>
                <w:rFonts w:hint="default" w:ascii="Times New Roman" w:hAnsi="Times New Roman" w:eastAsia="宋体" w:cs="Times New Roman"/>
                <w:b/>
                <w:bCs/>
                <w:color w:val="auto"/>
                <w:spacing w:val="0"/>
                <w:kern w:val="2"/>
                <w:sz w:val="21"/>
                <w:szCs w:val="21"/>
                <w:lang w:val="en-US" w:eastAsia="zh-CN" w:bidi="ar-SA"/>
              </w:rPr>
              <w:t>表1-</w:t>
            </w:r>
            <w:r>
              <w:rPr>
                <w:rFonts w:hint="eastAsia" w:hAnsi="Times New Roman" w:eastAsia="宋体" w:cs="Times New Roman"/>
                <w:b/>
                <w:bCs/>
                <w:color w:val="auto"/>
                <w:spacing w:val="0"/>
                <w:kern w:val="2"/>
                <w:sz w:val="21"/>
                <w:szCs w:val="21"/>
                <w:lang w:val="en-US" w:eastAsia="zh-CN" w:bidi="ar-SA"/>
              </w:rPr>
              <w:t>6  本</w:t>
            </w:r>
            <w:r>
              <w:rPr>
                <w:rFonts w:hint="default" w:ascii="Times New Roman" w:hAnsi="Times New Roman" w:eastAsia="宋体" w:cs="Times New Roman"/>
                <w:b/>
                <w:bCs/>
                <w:color w:val="auto"/>
                <w:spacing w:val="0"/>
                <w:kern w:val="2"/>
                <w:sz w:val="21"/>
                <w:szCs w:val="21"/>
                <w:lang w:val="en-US" w:eastAsia="zh-CN" w:bidi="ar-SA"/>
              </w:rPr>
              <w:t>项目与《</w:t>
            </w:r>
            <w:r>
              <w:rPr>
                <w:rFonts w:hint="eastAsia" w:ascii="Times New Roman" w:hAnsi="Times New Roman" w:eastAsia="宋体" w:cs="Times New Roman"/>
                <w:b/>
                <w:bCs/>
                <w:color w:val="auto"/>
                <w:spacing w:val="0"/>
                <w:kern w:val="2"/>
                <w:sz w:val="21"/>
                <w:szCs w:val="21"/>
                <w:lang w:val="en-US" w:eastAsia="zh-CN" w:bidi="ar-SA"/>
              </w:rPr>
              <w:t>江苏省2023年度生态环境分区管控动态更新成果</w:t>
            </w:r>
            <w:r>
              <w:rPr>
                <w:rFonts w:hint="default" w:ascii="Times New Roman" w:hAnsi="Times New Roman" w:eastAsia="宋体" w:cs="Times New Roman"/>
                <w:b/>
                <w:bCs/>
                <w:color w:val="auto"/>
                <w:spacing w:val="0"/>
                <w:kern w:val="2"/>
                <w:sz w:val="21"/>
                <w:szCs w:val="21"/>
                <w:lang w:val="en-US" w:eastAsia="zh-CN" w:bidi="ar-SA"/>
              </w:rPr>
              <w:t>》相符性分析</w:t>
            </w:r>
          </w:p>
          <w:tbl>
            <w:tblPr>
              <w:tblStyle w:val="20"/>
              <w:tblpPr w:bottomFromText="170" w:vertAnchor="text" w:tblpXSpec="center"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1" w:type="dxa"/>
                <w:left w:w="11" w:type="dxa"/>
                <w:bottom w:w="11" w:type="dxa"/>
                <w:right w:w="11" w:type="dxa"/>
              </w:tblCellMar>
            </w:tblPr>
            <w:tblGrid>
              <w:gridCol w:w="548"/>
              <w:gridCol w:w="4428"/>
              <w:gridCol w:w="2375"/>
              <w:gridCol w:w="486"/>
            </w:tblGrid>
            <w:tr w14:paraId="3E7F7F4F">
              <w:trPr>
                <w:trHeight w:val="397" w:hRule="atLeast"/>
              </w:trPr>
              <w:tc>
                <w:tcPr>
                  <w:tcW w:w="350" w:type="pct"/>
                  <w:tcBorders>
                    <w:tl2br w:val="nil"/>
                    <w:tr2bl w:val="nil"/>
                  </w:tcBorders>
                  <w:shd w:val="clear" w:color="auto" w:fill="auto"/>
                  <w:vAlign w:val="center"/>
                </w:tcPr>
                <w:p w14:paraId="3E9A1402">
                  <w:pPr>
                    <w:overflowPunct w:val="0"/>
                    <w:autoSpaceDE w:val="0"/>
                    <w:autoSpaceDN w:val="0"/>
                    <w:adjustRightInd w:val="0"/>
                    <w:snapToGrid w:val="0"/>
                    <w:jc w:val="center"/>
                    <w:rPr>
                      <w:rFonts w:ascii="Times New Roman" w:hAnsi="Times New Roman" w:eastAsia="宋体"/>
                      <w:bCs/>
                      <w:snapToGrid w:val="0"/>
                      <w:color w:val="auto"/>
                      <w:kern w:val="0"/>
                      <w:sz w:val="21"/>
                      <w:szCs w:val="18"/>
                    </w:rPr>
                  </w:pPr>
                  <w:r>
                    <w:rPr>
                      <w:rFonts w:ascii="Times New Roman" w:hAnsi="Times New Roman" w:eastAsia="宋体"/>
                      <w:bCs/>
                      <w:snapToGrid w:val="0"/>
                      <w:color w:val="auto"/>
                      <w:kern w:val="0"/>
                      <w:sz w:val="21"/>
                      <w:szCs w:val="18"/>
                    </w:rPr>
                    <w:t>管控类别</w:t>
                  </w:r>
                </w:p>
              </w:tc>
              <w:tc>
                <w:tcPr>
                  <w:tcW w:w="2825" w:type="pct"/>
                  <w:tcBorders>
                    <w:tl2br w:val="nil"/>
                    <w:tr2bl w:val="nil"/>
                  </w:tcBorders>
                  <w:shd w:val="clear" w:color="auto" w:fill="auto"/>
                  <w:vAlign w:val="center"/>
                </w:tcPr>
                <w:p w14:paraId="37FE6732">
                  <w:pPr>
                    <w:overflowPunct w:val="0"/>
                    <w:autoSpaceDE w:val="0"/>
                    <w:autoSpaceDN w:val="0"/>
                    <w:adjustRightInd w:val="0"/>
                    <w:snapToGrid w:val="0"/>
                    <w:jc w:val="center"/>
                    <w:rPr>
                      <w:rFonts w:ascii="Times New Roman" w:hAnsi="Times New Roman" w:eastAsia="宋体"/>
                      <w:bCs/>
                      <w:snapToGrid w:val="0"/>
                      <w:color w:val="auto"/>
                      <w:kern w:val="0"/>
                      <w:sz w:val="21"/>
                      <w:szCs w:val="18"/>
                    </w:rPr>
                  </w:pPr>
                  <w:r>
                    <w:rPr>
                      <w:rFonts w:ascii="Times New Roman" w:hAnsi="Times New Roman" w:eastAsia="宋体"/>
                      <w:bCs/>
                      <w:snapToGrid w:val="0"/>
                      <w:color w:val="auto"/>
                      <w:kern w:val="0"/>
                      <w:sz w:val="21"/>
                      <w:szCs w:val="18"/>
                    </w:rPr>
                    <w:t>重点管控要求</w:t>
                  </w:r>
                </w:p>
              </w:tc>
              <w:tc>
                <w:tcPr>
                  <w:tcW w:w="1515" w:type="pct"/>
                  <w:tcBorders>
                    <w:tl2br w:val="nil"/>
                    <w:tr2bl w:val="nil"/>
                  </w:tcBorders>
                  <w:shd w:val="clear" w:color="auto" w:fill="auto"/>
                  <w:vAlign w:val="center"/>
                </w:tcPr>
                <w:p w14:paraId="35C9B42B">
                  <w:pPr>
                    <w:overflowPunct w:val="0"/>
                    <w:autoSpaceDE w:val="0"/>
                    <w:autoSpaceDN w:val="0"/>
                    <w:adjustRightInd w:val="0"/>
                    <w:snapToGrid w:val="0"/>
                    <w:jc w:val="center"/>
                    <w:rPr>
                      <w:rFonts w:ascii="Times New Roman" w:hAnsi="Times New Roman" w:eastAsia="宋体"/>
                      <w:bCs/>
                      <w:snapToGrid w:val="0"/>
                      <w:color w:val="auto"/>
                      <w:kern w:val="0"/>
                      <w:sz w:val="21"/>
                      <w:szCs w:val="18"/>
                    </w:rPr>
                  </w:pPr>
                  <w:r>
                    <w:rPr>
                      <w:rFonts w:ascii="Times New Roman" w:hAnsi="Times New Roman" w:eastAsia="宋体"/>
                      <w:bCs/>
                      <w:snapToGrid w:val="0"/>
                      <w:color w:val="auto"/>
                      <w:kern w:val="0"/>
                      <w:sz w:val="21"/>
                      <w:szCs w:val="18"/>
                    </w:rPr>
                    <w:t>项目情况</w:t>
                  </w:r>
                </w:p>
              </w:tc>
              <w:tc>
                <w:tcPr>
                  <w:tcW w:w="308" w:type="pct"/>
                  <w:tcBorders>
                    <w:tl2br w:val="nil"/>
                    <w:tr2bl w:val="nil"/>
                  </w:tcBorders>
                  <w:shd w:val="clear" w:color="auto" w:fill="auto"/>
                  <w:vAlign w:val="center"/>
                </w:tcPr>
                <w:p w14:paraId="1611A8A5">
                  <w:pPr>
                    <w:overflowPunct w:val="0"/>
                    <w:autoSpaceDE w:val="0"/>
                    <w:autoSpaceDN w:val="0"/>
                    <w:adjustRightInd w:val="0"/>
                    <w:snapToGrid w:val="0"/>
                    <w:jc w:val="center"/>
                    <w:rPr>
                      <w:rFonts w:ascii="Times New Roman" w:hAnsi="Times New Roman" w:eastAsia="宋体"/>
                      <w:bCs/>
                      <w:snapToGrid w:val="0"/>
                      <w:color w:val="auto"/>
                      <w:kern w:val="0"/>
                      <w:sz w:val="21"/>
                      <w:szCs w:val="18"/>
                    </w:rPr>
                  </w:pPr>
                  <w:r>
                    <w:rPr>
                      <w:rFonts w:ascii="Times New Roman" w:hAnsi="Times New Roman" w:eastAsia="宋体"/>
                      <w:bCs/>
                      <w:snapToGrid w:val="0"/>
                      <w:color w:val="auto"/>
                      <w:kern w:val="0"/>
                      <w:sz w:val="21"/>
                      <w:szCs w:val="18"/>
                    </w:rPr>
                    <w:t>符合性</w:t>
                  </w:r>
                </w:p>
              </w:tc>
            </w:tr>
            <w:tr w14:paraId="220ABCB7">
              <w:trPr>
                <w:trHeight w:val="397" w:hRule="atLeast"/>
              </w:trPr>
              <w:tc>
                <w:tcPr>
                  <w:tcW w:w="350" w:type="pct"/>
                  <w:vMerge w:val="restart"/>
                  <w:tcBorders>
                    <w:tl2br w:val="nil"/>
                    <w:tr2bl w:val="nil"/>
                  </w:tcBorders>
                  <w:shd w:val="clear" w:color="auto" w:fill="auto"/>
                  <w:vAlign w:val="center"/>
                </w:tcPr>
                <w:p w14:paraId="3C43CA79">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空间布局约束</w:t>
                  </w:r>
                </w:p>
              </w:tc>
              <w:tc>
                <w:tcPr>
                  <w:tcW w:w="2825" w:type="pct"/>
                  <w:tcBorders>
                    <w:tl2br w:val="nil"/>
                    <w:tr2bl w:val="nil"/>
                  </w:tcBorders>
                  <w:shd w:val="clear" w:color="auto" w:fill="auto"/>
                  <w:vAlign w:val="center"/>
                </w:tcPr>
                <w:p w14:paraId="0FBB5675">
                  <w:pPr>
                    <w:overflowPunct w:val="0"/>
                    <w:autoSpaceDE w:val="0"/>
                    <w:autoSpaceDN w:val="0"/>
                    <w:adjustRightInd w:val="0"/>
                    <w:snapToGrid w:val="0"/>
                    <w:rPr>
                      <w:rFonts w:ascii="Times New Roman" w:hAnsi="Times New Roman" w:eastAsia="宋体"/>
                      <w:snapToGrid w:val="0"/>
                      <w:color w:val="auto"/>
                      <w:kern w:val="0"/>
                      <w:sz w:val="21"/>
                      <w:szCs w:val="18"/>
                    </w:rPr>
                  </w:pPr>
                  <w:r>
                    <w:rPr>
                      <w:rFonts w:hint="eastAsia"/>
                      <w:snapToGrid w:val="0"/>
                      <w:color w:val="auto"/>
                      <w:kern w:val="0"/>
                      <w:sz w:val="21"/>
                      <w:szCs w:val="18"/>
                      <w:lang w:eastAsia="zh-CN"/>
                    </w:rPr>
                    <w:t>1.</w:t>
                  </w:r>
                  <w:r>
                    <w:rPr>
                      <w:rFonts w:ascii="Times New Roman" w:hAnsi="Times New Roman" w:eastAsia="宋体"/>
                      <w:snapToGrid w:val="0"/>
                      <w:color w:val="auto"/>
                      <w:kern w:val="0"/>
                      <w:sz w:val="21"/>
                      <w:szCs w:val="18"/>
                    </w:rPr>
                    <w:t>按照《自然资源部生态环境部国家林业和草原局关于加强生态保护红线管理的通知（试行）》（自然资发〔2022〕142号）、《省政府关于印发江苏省生态空间管控区域规划的通知》（苏政发〔2020〕1号）、《关于进一步加强生态保护红线监督管理的通知》（苏自然函</w:t>
                  </w:r>
                  <w:r>
                    <w:rPr>
                      <w:rFonts w:hint="eastAsia"/>
                      <w:snapToGrid w:val="0"/>
                      <w:color w:val="auto"/>
                      <w:kern w:val="0"/>
                      <w:sz w:val="21"/>
                      <w:szCs w:val="18"/>
                      <w:lang w:eastAsia="zh-CN"/>
                    </w:rPr>
                    <w:t>〔2023〕880号</w:t>
                  </w:r>
                  <w:r>
                    <w:rPr>
                      <w:rFonts w:ascii="Times New Roman" w:hAnsi="Times New Roman" w:eastAsia="宋体"/>
                      <w:snapToGrid w:val="0"/>
                      <w:color w:val="auto"/>
                      <w:kern w:val="0"/>
                      <w:sz w:val="21"/>
                      <w:szCs w:val="18"/>
                    </w:rPr>
                    <w:t>）、《江苏省国土空间规划（2021</w:t>
                  </w:r>
                  <w:r>
                    <w:rPr>
                      <w:rFonts w:hint="eastAsia"/>
                      <w:snapToGrid w:val="0"/>
                      <w:color w:val="auto"/>
                      <w:kern w:val="0"/>
                      <w:sz w:val="21"/>
                      <w:szCs w:val="18"/>
                      <w:lang w:eastAsia="zh-CN"/>
                    </w:rPr>
                    <w:t>—</w:t>
                  </w:r>
                  <w:r>
                    <w:rPr>
                      <w:rFonts w:ascii="Times New Roman" w:hAnsi="Times New Roman" w:eastAsia="宋体"/>
                      <w:snapToGrid w:val="0"/>
                      <w:color w:val="auto"/>
                      <w:kern w:val="0"/>
                      <w:sz w:val="21"/>
                      <w:szCs w:val="18"/>
                    </w:rPr>
                    <w:t>2035年）》（国函〔2023〕69号），坚持节约优先、保护优先、自然恢复为主的方针，以改善生态环境质量为核心，以保障和维护生态功能为主线，统筹山水林田湖草一体化保护和修复，严守生态保护红线，实行最严格的生态空间管控制度，确保全省生态功能不降低、面积不减少、性质不改变，切实维护生态安全。生态保护红线不低于1.82万平方千米，其中海洋生态保护红线不低于0.95万平方千米。</w:t>
                  </w:r>
                </w:p>
              </w:tc>
              <w:tc>
                <w:tcPr>
                  <w:tcW w:w="1515" w:type="pct"/>
                  <w:tcBorders>
                    <w:tl2br w:val="nil"/>
                    <w:tr2bl w:val="nil"/>
                  </w:tcBorders>
                  <w:shd w:val="clear" w:color="auto" w:fill="auto"/>
                  <w:vAlign w:val="center"/>
                </w:tcPr>
                <w:p w14:paraId="20F07975">
                  <w:pPr>
                    <w:overflowPunct w:val="0"/>
                    <w:autoSpaceDE w:val="0"/>
                    <w:autoSpaceDN w:val="0"/>
                    <w:adjustRightInd w:val="0"/>
                    <w:snapToGrid w:val="0"/>
                    <w:rPr>
                      <w:rFonts w:hint="eastAsia" w:ascii="Times New Roman" w:hAnsi="Times New Roman" w:eastAsia="宋体"/>
                      <w:snapToGrid w:val="0"/>
                      <w:color w:val="auto"/>
                      <w:kern w:val="0"/>
                      <w:sz w:val="21"/>
                      <w:szCs w:val="18"/>
                      <w:lang w:eastAsia="zh-CN"/>
                    </w:rPr>
                  </w:pPr>
                  <w:r>
                    <w:rPr>
                      <w:rFonts w:ascii="Times New Roman" w:hAnsi="Times New Roman" w:eastAsia="宋体"/>
                      <w:snapToGrid w:val="0"/>
                      <w:color w:val="auto"/>
                      <w:kern w:val="0"/>
                      <w:sz w:val="21"/>
                      <w:szCs w:val="18"/>
                    </w:rPr>
                    <w:t>项目位于涟水经济开发区西区，与《自然资源部生态环境部国家林业和草原局关于加强生态保护红线管理的通知（试行）》（自然资发〔2022〕142号）、《省政府关于印发江苏省生态空间管控区域规划的通知》（苏政发〔2020〕1号）、《关于进一步加强生态保护红线监督管理的通知》（苏自然函</w:t>
                  </w:r>
                  <w:r>
                    <w:rPr>
                      <w:rFonts w:hint="eastAsia"/>
                      <w:snapToGrid w:val="0"/>
                      <w:color w:val="auto"/>
                      <w:kern w:val="0"/>
                      <w:sz w:val="21"/>
                      <w:szCs w:val="18"/>
                      <w:lang w:eastAsia="zh-CN"/>
                    </w:rPr>
                    <w:t>〔2023〕880号</w:t>
                  </w:r>
                  <w:r>
                    <w:rPr>
                      <w:rFonts w:ascii="Times New Roman" w:hAnsi="Times New Roman" w:eastAsia="宋体"/>
                      <w:snapToGrid w:val="0"/>
                      <w:color w:val="auto"/>
                      <w:kern w:val="0"/>
                      <w:sz w:val="21"/>
                      <w:szCs w:val="18"/>
                    </w:rPr>
                    <w:t>）、《江苏省国土空间规划（2021</w:t>
                  </w:r>
                  <w:r>
                    <w:rPr>
                      <w:rFonts w:hint="eastAsia"/>
                      <w:snapToGrid w:val="0"/>
                      <w:color w:val="auto"/>
                      <w:kern w:val="0"/>
                      <w:sz w:val="21"/>
                      <w:szCs w:val="18"/>
                      <w:lang w:eastAsia="zh-CN"/>
                    </w:rPr>
                    <w:t>—</w:t>
                  </w:r>
                  <w:r>
                    <w:rPr>
                      <w:rFonts w:ascii="Times New Roman" w:hAnsi="Times New Roman" w:eastAsia="宋体"/>
                      <w:snapToGrid w:val="0"/>
                      <w:color w:val="auto"/>
                      <w:kern w:val="0"/>
                      <w:sz w:val="21"/>
                      <w:szCs w:val="18"/>
                    </w:rPr>
                    <w:t>2035年）》（国函〔2023〕69号）相符，不涉及生态保护红线区域，满足国土空间规划</w:t>
                  </w:r>
                  <w:r>
                    <w:rPr>
                      <w:rFonts w:hint="eastAsia"/>
                      <w:snapToGrid w:val="0"/>
                      <w:color w:val="auto"/>
                      <w:kern w:val="0"/>
                      <w:sz w:val="21"/>
                      <w:szCs w:val="18"/>
                      <w:lang w:eastAsia="zh-CN"/>
                    </w:rPr>
                    <w:t>。</w:t>
                  </w:r>
                </w:p>
              </w:tc>
              <w:tc>
                <w:tcPr>
                  <w:tcW w:w="308" w:type="pct"/>
                  <w:tcBorders>
                    <w:tl2br w:val="nil"/>
                    <w:tr2bl w:val="nil"/>
                  </w:tcBorders>
                  <w:shd w:val="clear" w:color="auto" w:fill="auto"/>
                  <w:vAlign w:val="center"/>
                </w:tcPr>
                <w:p w14:paraId="447044C3">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相符</w:t>
                  </w:r>
                </w:p>
              </w:tc>
            </w:tr>
            <w:tr w14:paraId="6660E988">
              <w:trPr>
                <w:trHeight w:val="397" w:hRule="atLeast"/>
              </w:trPr>
              <w:tc>
                <w:tcPr>
                  <w:tcW w:w="350" w:type="pct"/>
                  <w:vMerge w:val="continue"/>
                  <w:tcBorders>
                    <w:tl2br w:val="nil"/>
                    <w:tr2bl w:val="nil"/>
                  </w:tcBorders>
                  <w:shd w:val="clear" w:color="auto" w:fill="auto"/>
                  <w:vAlign w:val="center"/>
                </w:tcPr>
                <w:p w14:paraId="10F68416">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c>
                <w:tcPr>
                  <w:tcW w:w="2825" w:type="pct"/>
                  <w:tcBorders>
                    <w:tl2br w:val="nil"/>
                    <w:tr2bl w:val="nil"/>
                  </w:tcBorders>
                  <w:shd w:val="clear" w:color="auto" w:fill="auto"/>
                  <w:vAlign w:val="center"/>
                </w:tcPr>
                <w:p w14:paraId="5C35FE08">
                  <w:pPr>
                    <w:overflowPunct w:val="0"/>
                    <w:autoSpaceDE w:val="0"/>
                    <w:autoSpaceDN w:val="0"/>
                    <w:adjustRightInd w:val="0"/>
                    <w:snapToGrid w:val="0"/>
                    <w:rPr>
                      <w:rFonts w:ascii="Times New Roman" w:hAnsi="Times New Roman" w:eastAsia="宋体"/>
                      <w:snapToGrid w:val="0"/>
                      <w:color w:val="auto"/>
                      <w:kern w:val="0"/>
                      <w:sz w:val="21"/>
                      <w:szCs w:val="18"/>
                    </w:rPr>
                  </w:pPr>
                  <w:r>
                    <w:rPr>
                      <w:rFonts w:hint="eastAsia"/>
                      <w:snapToGrid w:val="0"/>
                      <w:color w:val="auto"/>
                      <w:kern w:val="0"/>
                      <w:sz w:val="21"/>
                      <w:szCs w:val="18"/>
                      <w:lang w:eastAsia="zh-CN"/>
                    </w:rPr>
                    <w:t>2.</w:t>
                  </w:r>
                  <w:r>
                    <w:rPr>
                      <w:rFonts w:ascii="Times New Roman" w:hAnsi="Times New Roman" w:eastAsia="宋体"/>
                      <w:snapToGrid w:val="0"/>
                      <w:color w:val="auto"/>
                      <w:kern w:val="0"/>
                      <w:sz w:val="21"/>
                      <w:szCs w:val="18"/>
                    </w:rPr>
                    <w:t>牢牢把握推动长江经济带发展“</w:t>
                  </w:r>
                  <w:r>
                    <w:rPr>
                      <w:rFonts w:hint="eastAsia"/>
                      <w:snapToGrid w:val="0"/>
                      <w:color w:val="auto"/>
                      <w:kern w:val="0"/>
                      <w:sz w:val="21"/>
                      <w:szCs w:val="18"/>
                      <w:lang w:eastAsia="zh-CN"/>
                    </w:rPr>
                    <w:t>共抓大保护、不搞大开发</w:t>
                  </w:r>
                  <w:r>
                    <w:rPr>
                      <w:rFonts w:ascii="Times New Roman" w:hAnsi="Times New Roman" w:eastAsia="宋体"/>
                      <w:snapToGrid w:val="0"/>
                      <w:color w:val="auto"/>
                      <w:kern w:val="0"/>
                      <w:sz w:val="21"/>
                      <w:szCs w:val="18"/>
                    </w:rPr>
                    <w:t>”战略导向，对省域范围内需要重点保护的岸线、河段和区域实行严格管控，管住控好排放量大、耗能高、产能过剩的产业，推动长江经济带高质量发展。</w:t>
                  </w:r>
                </w:p>
              </w:tc>
              <w:tc>
                <w:tcPr>
                  <w:tcW w:w="1515" w:type="pct"/>
                  <w:tcBorders>
                    <w:tl2br w:val="nil"/>
                    <w:tr2bl w:val="nil"/>
                  </w:tcBorders>
                  <w:shd w:val="clear" w:color="auto" w:fill="auto"/>
                  <w:vAlign w:val="center"/>
                </w:tcPr>
                <w:p w14:paraId="1E5F6208">
                  <w:pPr>
                    <w:overflowPunct w:val="0"/>
                    <w:autoSpaceDE w:val="0"/>
                    <w:autoSpaceDN w:val="0"/>
                    <w:adjustRightInd w:val="0"/>
                    <w:snapToGrid w:val="0"/>
                    <w:rPr>
                      <w:rFonts w:hint="eastAsia" w:ascii="Times New Roman" w:hAnsi="Times New Roman" w:eastAsia="宋体"/>
                      <w:snapToGrid w:val="0"/>
                      <w:color w:val="auto"/>
                      <w:kern w:val="0"/>
                      <w:sz w:val="21"/>
                      <w:szCs w:val="18"/>
                      <w:lang w:eastAsia="zh-CN"/>
                    </w:rPr>
                  </w:pPr>
                  <w:r>
                    <w:rPr>
                      <w:rFonts w:ascii="Times New Roman" w:hAnsi="Times New Roman" w:eastAsia="宋体"/>
                      <w:snapToGrid w:val="0"/>
                      <w:color w:val="auto"/>
                      <w:kern w:val="0"/>
                      <w:sz w:val="21"/>
                      <w:szCs w:val="18"/>
                    </w:rPr>
                    <w:t>项目位于涟水经济开发区西区，不在省域范围需要重点保护的岸线、河段和区域实行严格管控区域，且项目不属于排放量大、耗能高、产能过剩产业</w:t>
                  </w:r>
                  <w:r>
                    <w:rPr>
                      <w:rFonts w:hint="eastAsia"/>
                      <w:snapToGrid w:val="0"/>
                      <w:color w:val="auto"/>
                      <w:kern w:val="0"/>
                      <w:sz w:val="21"/>
                      <w:szCs w:val="18"/>
                      <w:lang w:eastAsia="zh-CN"/>
                    </w:rPr>
                    <w:t>。</w:t>
                  </w:r>
                </w:p>
              </w:tc>
              <w:tc>
                <w:tcPr>
                  <w:tcW w:w="308" w:type="pct"/>
                  <w:tcBorders>
                    <w:tl2br w:val="nil"/>
                    <w:tr2bl w:val="nil"/>
                  </w:tcBorders>
                  <w:shd w:val="clear" w:color="auto" w:fill="auto"/>
                  <w:vAlign w:val="center"/>
                </w:tcPr>
                <w:p w14:paraId="4C40A0AD">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相符</w:t>
                  </w:r>
                </w:p>
              </w:tc>
            </w:tr>
            <w:tr w14:paraId="0948B464">
              <w:trPr>
                <w:trHeight w:val="397" w:hRule="atLeast"/>
              </w:trPr>
              <w:tc>
                <w:tcPr>
                  <w:tcW w:w="350" w:type="pct"/>
                  <w:vMerge w:val="continue"/>
                  <w:tcBorders>
                    <w:tl2br w:val="nil"/>
                    <w:tr2bl w:val="nil"/>
                  </w:tcBorders>
                  <w:shd w:val="clear" w:color="auto" w:fill="auto"/>
                  <w:vAlign w:val="center"/>
                </w:tcPr>
                <w:p w14:paraId="2EEBFAB2">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c>
                <w:tcPr>
                  <w:tcW w:w="2825" w:type="pct"/>
                  <w:tcBorders>
                    <w:tl2br w:val="nil"/>
                    <w:tr2bl w:val="nil"/>
                  </w:tcBorders>
                  <w:shd w:val="clear" w:color="auto" w:fill="auto"/>
                  <w:vAlign w:val="center"/>
                </w:tcPr>
                <w:p w14:paraId="2DFD54E8">
                  <w:pPr>
                    <w:overflowPunct w:val="0"/>
                    <w:autoSpaceDE w:val="0"/>
                    <w:autoSpaceDN w:val="0"/>
                    <w:adjustRightInd w:val="0"/>
                    <w:snapToGrid w:val="0"/>
                    <w:rPr>
                      <w:rFonts w:ascii="Times New Roman" w:hAnsi="Times New Roman" w:eastAsia="宋体"/>
                      <w:snapToGrid w:val="0"/>
                      <w:color w:val="auto"/>
                      <w:kern w:val="0"/>
                      <w:sz w:val="21"/>
                      <w:szCs w:val="18"/>
                    </w:rPr>
                  </w:pPr>
                  <w:r>
                    <w:rPr>
                      <w:rFonts w:hint="eastAsia"/>
                      <w:snapToGrid w:val="0"/>
                      <w:color w:val="auto"/>
                      <w:kern w:val="0"/>
                      <w:sz w:val="21"/>
                      <w:szCs w:val="18"/>
                      <w:lang w:eastAsia="zh-CN"/>
                    </w:rPr>
                    <w:t>3.</w:t>
                  </w:r>
                  <w:r>
                    <w:rPr>
                      <w:rFonts w:ascii="Times New Roman" w:hAnsi="Times New Roman" w:eastAsia="宋体"/>
                      <w:snapToGrid w:val="0"/>
                      <w:color w:val="auto"/>
                      <w:kern w:val="0"/>
                      <w:sz w:val="21"/>
                      <w:szCs w:val="18"/>
                    </w:rPr>
                    <w:t>大幅压减沿长江干支流两侧1公里范围内、环境敏感区域、城镇人口密集区、化工园区外和规模以下化工生产企业，着力破解“重化围江”突出问题，高起点同步推进沿江地区战略性转型和沿海地区战略性布局。</w:t>
                  </w:r>
                </w:p>
              </w:tc>
              <w:tc>
                <w:tcPr>
                  <w:tcW w:w="1515" w:type="pct"/>
                  <w:tcBorders>
                    <w:tl2br w:val="nil"/>
                    <w:tr2bl w:val="nil"/>
                  </w:tcBorders>
                  <w:shd w:val="clear" w:color="auto" w:fill="auto"/>
                  <w:vAlign w:val="center"/>
                </w:tcPr>
                <w:p w14:paraId="6AAF24BE">
                  <w:pPr>
                    <w:overflowPunct w:val="0"/>
                    <w:autoSpaceDE w:val="0"/>
                    <w:autoSpaceDN w:val="0"/>
                    <w:adjustRightInd w:val="0"/>
                    <w:snapToGrid w:val="0"/>
                    <w:rPr>
                      <w:rFonts w:hint="eastAsia" w:ascii="Times New Roman" w:hAnsi="Times New Roman" w:eastAsia="宋体"/>
                      <w:snapToGrid w:val="0"/>
                      <w:color w:val="auto"/>
                      <w:kern w:val="0"/>
                      <w:sz w:val="21"/>
                      <w:szCs w:val="18"/>
                      <w:lang w:eastAsia="zh-CN"/>
                    </w:rPr>
                  </w:pPr>
                  <w:r>
                    <w:rPr>
                      <w:rFonts w:ascii="Times New Roman" w:hAnsi="Times New Roman" w:eastAsia="宋体"/>
                      <w:snapToGrid w:val="0"/>
                      <w:color w:val="auto"/>
                      <w:kern w:val="0"/>
                      <w:sz w:val="21"/>
                      <w:szCs w:val="18"/>
                    </w:rPr>
                    <w:t>项目不在长江干支流两侧1公里范围内</w:t>
                  </w:r>
                  <w:r>
                    <w:rPr>
                      <w:rFonts w:hint="eastAsia"/>
                      <w:snapToGrid w:val="0"/>
                      <w:color w:val="auto"/>
                      <w:kern w:val="0"/>
                      <w:sz w:val="21"/>
                      <w:szCs w:val="18"/>
                      <w:lang w:eastAsia="zh-CN"/>
                    </w:rPr>
                    <w:t>。</w:t>
                  </w:r>
                </w:p>
              </w:tc>
              <w:tc>
                <w:tcPr>
                  <w:tcW w:w="308" w:type="pct"/>
                  <w:tcBorders>
                    <w:tl2br w:val="nil"/>
                    <w:tr2bl w:val="nil"/>
                  </w:tcBorders>
                  <w:shd w:val="clear" w:color="auto" w:fill="auto"/>
                  <w:vAlign w:val="center"/>
                </w:tcPr>
                <w:p w14:paraId="5C216C68">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相符</w:t>
                  </w:r>
                </w:p>
              </w:tc>
            </w:tr>
            <w:tr w14:paraId="6F7A2F41">
              <w:trPr>
                <w:trHeight w:val="397" w:hRule="atLeast"/>
              </w:trPr>
              <w:tc>
                <w:tcPr>
                  <w:tcW w:w="350" w:type="pct"/>
                  <w:vMerge w:val="continue"/>
                  <w:tcBorders>
                    <w:tl2br w:val="nil"/>
                    <w:tr2bl w:val="nil"/>
                  </w:tcBorders>
                  <w:shd w:val="clear" w:color="auto" w:fill="auto"/>
                  <w:vAlign w:val="center"/>
                </w:tcPr>
                <w:p w14:paraId="453D154D">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c>
                <w:tcPr>
                  <w:tcW w:w="2825" w:type="pct"/>
                  <w:tcBorders>
                    <w:tl2br w:val="nil"/>
                    <w:tr2bl w:val="nil"/>
                  </w:tcBorders>
                  <w:shd w:val="clear" w:color="auto" w:fill="auto"/>
                  <w:vAlign w:val="center"/>
                </w:tcPr>
                <w:p w14:paraId="536714EC">
                  <w:pPr>
                    <w:overflowPunct w:val="0"/>
                    <w:autoSpaceDE w:val="0"/>
                    <w:autoSpaceDN w:val="0"/>
                    <w:adjustRightInd w:val="0"/>
                    <w:snapToGrid w:val="0"/>
                    <w:rPr>
                      <w:rFonts w:ascii="Times New Roman" w:hAnsi="Times New Roman" w:eastAsia="宋体"/>
                      <w:snapToGrid w:val="0"/>
                      <w:color w:val="auto"/>
                      <w:kern w:val="0"/>
                      <w:sz w:val="21"/>
                      <w:szCs w:val="18"/>
                    </w:rPr>
                  </w:pPr>
                  <w:r>
                    <w:rPr>
                      <w:rFonts w:hint="eastAsia"/>
                      <w:snapToGrid w:val="0"/>
                      <w:color w:val="auto"/>
                      <w:kern w:val="0"/>
                      <w:sz w:val="21"/>
                      <w:szCs w:val="18"/>
                      <w:lang w:eastAsia="zh-CN"/>
                    </w:rPr>
                    <w:t>4.</w:t>
                  </w:r>
                  <w:r>
                    <w:rPr>
                      <w:rFonts w:ascii="Times New Roman" w:hAnsi="Times New Roman" w:eastAsia="宋体"/>
                      <w:snapToGrid w:val="0"/>
                      <w:color w:val="auto"/>
                      <w:kern w:val="0"/>
                      <w:sz w:val="21"/>
                      <w:szCs w:val="18"/>
                    </w:rPr>
                    <w:t>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w:t>
                  </w:r>
                </w:p>
              </w:tc>
              <w:tc>
                <w:tcPr>
                  <w:tcW w:w="1515" w:type="pct"/>
                  <w:tcBorders>
                    <w:tl2br w:val="nil"/>
                    <w:tr2bl w:val="nil"/>
                  </w:tcBorders>
                  <w:shd w:val="clear" w:color="auto" w:fill="auto"/>
                  <w:vAlign w:val="center"/>
                </w:tcPr>
                <w:p w14:paraId="349A756E">
                  <w:pPr>
                    <w:overflowPunct w:val="0"/>
                    <w:autoSpaceDE w:val="0"/>
                    <w:autoSpaceDN w:val="0"/>
                    <w:adjustRightInd w:val="0"/>
                    <w:snapToGrid w:val="0"/>
                    <w:rPr>
                      <w:rFonts w:hint="eastAsia" w:ascii="Times New Roman" w:hAnsi="Times New Roman" w:eastAsia="宋体"/>
                      <w:snapToGrid w:val="0"/>
                      <w:color w:val="auto"/>
                      <w:kern w:val="0"/>
                      <w:sz w:val="21"/>
                      <w:szCs w:val="18"/>
                      <w:lang w:eastAsia="zh-CN"/>
                    </w:rPr>
                  </w:pPr>
                  <w:r>
                    <w:rPr>
                      <w:rFonts w:ascii="Times New Roman" w:hAnsi="Times New Roman" w:eastAsia="宋体"/>
                      <w:snapToGrid w:val="0"/>
                      <w:color w:val="auto"/>
                      <w:kern w:val="0"/>
                      <w:sz w:val="21"/>
                      <w:szCs w:val="18"/>
                    </w:rPr>
                    <w:t>项目不属于钢铁行业</w:t>
                  </w:r>
                  <w:r>
                    <w:rPr>
                      <w:rFonts w:hint="eastAsia"/>
                      <w:snapToGrid w:val="0"/>
                      <w:color w:val="auto"/>
                      <w:kern w:val="0"/>
                      <w:sz w:val="21"/>
                      <w:szCs w:val="18"/>
                      <w:lang w:eastAsia="zh-CN"/>
                    </w:rPr>
                    <w:t>。</w:t>
                  </w:r>
                </w:p>
              </w:tc>
              <w:tc>
                <w:tcPr>
                  <w:tcW w:w="308" w:type="pct"/>
                  <w:tcBorders>
                    <w:tl2br w:val="nil"/>
                    <w:tr2bl w:val="nil"/>
                  </w:tcBorders>
                  <w:shd w:val="clear" w:color="auto" w:fill="auto"/>
                  <w:vAlign w:val="center"/>
                </w:tcPr>
                <w:p w14:paraId="2497D2AE">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相符</w:t>
                  </w:r>
                </w:p>
              </w:tc>
            </w:tr>
            <w:tr w14:paraId="26D1EA2D">
              <w:trPr>
                <w:trHeight w:val="397" w:hRule="atLeast"/>
              </w:trPr>
              <w:tc>
                <w:tcPr>
                  <w:tcW w:w="350" w:type="pct"/>
                  <w:vMerge w:val="continue"/>
                  <w:tcBorders>
                    <w:tl2br w:val="nil"/>
                    <w:tr2bl w:val="nil"/>
                  </w:tcBorders>
                  <w:shd w:val="clear" w:color="auto" w:fill="auto"/>
                  <w:vAlign w:val="center"/>
                </w:tcPr>
                <w:p w14:paraId="3D73CCD8">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c>
                <w:tcPr>
                  <w:tcW w:w="2825" w:type="pct"/>
                  <w:tcBorders>
                    <w:tl2br w:val="nil"/>
                    <w:tr2bl w:val="nil"/>
                  </w:tcBorders>
                  <w:shd w:val="clear" w:color="auto" w:fill="auto"/>
                  <w:vAlign w:val="center"/>
                </w:tcPr>
                <w:p w14:paraId="1E865A9B">
                  <w:pPr>
                    <w:overflowPunct w:val="0"/>
                    <w:autoSpaceDE w:val="0"/>
                    <w:autoSpaceDN w:val="0"/>
                    <w:adjustRightInd w:val="0"/>
                    <w:snapToGrid w:val="0"/>
                    <w:rPr>
                      <w:rFonts w:ascii="Times New Roman" w:hAnsi="Times New Roman" w:eastAsia="宋体"/>
                      <w:snapToGrid w:val="0"/>
                      <w:color w:val="auto"/>
                      <w:kern w:val="0"/>
                      <w:sz w:val="21"/>
                      <w:szCs w:val="18"/>
                    </w:rPr>
                  </w:pPr>
                  <w:r>
                    <w:rPr>
                      <w:rFonts w:hint="eastAsia"/>
                      <w:snapToGrid w:val="0"/>
                      <w:color w:val="auto"/>
                      <w:kern w:val="0"/>
                      <w:sz w:val="21"/>
                      <w:szCs w:val="18"/>
                      <w:lang w:eastAsia="zh-CN"/>
                    </w:rPr>
                    <w:t>5.</w:t>
                  </w:r>
                  <w:r>
                    <w:rPr>
                      <w:rFonts w:ascii="Times New Roman" w:hAnsi="Times New Roman" w:eastAsia="宋体"/>
                      <w:snapToGrid w:val="0"/>
                      <w:color w:val="auto"/>
                      <w:kern w:val="0"/>
                      <w:sz w:val="21"/>
                      <w:szCs w:val="18"/>
                    </w:rPr>
                    <w:t>对列入国家和省规划，涉及生态保护红线和相关法定保护区的</w:t>
                  </w:r>
                  <w:r>
                    <w:rPr>
                      <w:rFonts w:hint="eastAsia"/>
                      <w:snapToGrid w:val="0"/>
                      <w:color w:val="auto"/>
                      <w:kern w:val="0"/>
                      <w:sz w:val="21"/>
                      <w:szCs w:val="18"/>
                      <w:lang w:eastAsia="zh-CN"/>
                    </w:rPr>
                    <w:t>重要民生项目</w:t>
                  </w:r>
                  <w:r>
                    <w:rPr>
                      <w:rFonts w:ascii="Times New Roman" w:hAnsi="Times New Roman" w:eastAsia="宋体"/>
                      <w:snapToGrid w:val="0"/>
                      <w:color w:val="auto"/>
                      <w:kern w:val="0"/>
                      <w:sz w:val="21"/>
                      <w:szCs w:val="18"/>
                    </w:rPr>
                    <w:t>、重大基础设施项目（交通基础设施项目等），应优化空间布局（选线）、主动避让；确实无法避让的，应采取无害化方式（如无害化穿、跨越方式等），依法依规履行行政审批手续，强化减缓生态环境影响和生态补偿措施。</w:t>
                  </w:r>
                </w:p>
              </w:tc>
              <w:tc>
                <w:tcPr>
                  <w:tcW w:w="1515" w:type="pct"/>
                  <w:tcBorders>
                    <w:tl2br w:val="nil"/>
                    <w:tr2bl w:val="nil"/>
                  </w:tcBorders>
                  <w:shd w:val="clear" w:color="auto" w:fill="auto"/>
                  <w:vAlign w:val="center"/>
                </w:tcPr>
                <w:p w14:paraId="234EA182">
                  <w:pPr>
                    <w:overflowPunct w:val="0"/>
                    <w:autoSpaceDE w:val="0"/>
                    <w:autoSpaceDN w:val="0"/>
                    <w:adjustRightInd w:val="0"/>
                    <w:snapToGrid w:val="0"/>
                    <w:rPr>
                      <w:rFonts w:hint="eastAsia" w:ascii="Times New Roman" w:hAnsi="Times New Roman" w:eastAsia="宋体"/>
                      <w:snapToGrid w:val="0"/>
                      <w:color w:val="auto"/>
                      <w:kern w:val="0"/>
                      <w:sz w:val="21"/>
                      <w:szCs w:val="18"/>
                      <w:lang w:eastAsia="zh-CN"/>
                    </w:rPr>
                  </w:pPr>
                  <w:r>
                    <w:rPr>
                      <w:rFonts w:ascii="Times New Roman" w:hAnsi="Times New Roman" w:eastAsia="宋体"/>
                      <w:snapToGrid w:val="0"/>
                      <w:color w:val="auto"/>
                      <w:kern w:val="0"/>
                      <w:sz w:val="21"/>
                      <w:szCs w:val="18"/>
                    </w:rPr>
                    <w:t>项目不涉及生态保护红线和相关法定保护区</w:t>
                  </w:r>
                  <w:r>
                    <w:rPr>
                      <w:rFonts w:hint="eastAsia"/>
                      <w:snapToGrid w:val="0"/>
                      <w:color w:val="auto"/>
                      <w:kern w:val="0"/>
                      <w:sz w:val="21"/>
                      <w:szCs w:val="18"/>
                      <w:lang w:eastAsia="zh-CN"/>
                    </w:rPr>
                    <w:t>。</w:t>
                  </w:r>
                </w:p>
              </w:tc>
              <w:tc>
                <w:tcPr>
                  <w:tcW w:w="308" w:type="pct"/>
                  <w:tcBorders>
                    <w:tl2br w:val="nil"/>
                    <w:tr2bl w:val="nil"/>
                  </w:tcBorders>
                  <w:shd w:val="clear" w:color="auto" w:fill="auto"/>
                  <w:vAlign w:val="center"/>
                </w:tcPr>
                <w:p w14:paraId="1A96D0B8">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相符</w:t>
                  </w:r>
                </w:p>
              </w:tc>
            </w:tr>
            <w:tr w14:paraId="569AD920">
              <w:trPr>
                <w:trHeight w:val="397" w:hRule="atLeast"/>
              </w:trPr>
              <w:tc>
                <w:tcPr>
                  <w:tcW w:w="350" w:type="pct"/>
                  <w:vMerge w:val="restart"/>
                  <w:tcBorders>
                    <w:tl2br w:val="nil"/>
                    <w:tr2bl w:val="nil"/>
                  </w:tcBorders>
                  <w:shd w:val="clear" w:color="auto" w:fill="auto"/>
                  <w:vAlign w:val="center"/>
                </w:tcPr>
                <w:p w14:paraId="5E119730">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污染物排放管控</w:t>
                  </w:r>
                </w:p>
              </w:tc>
              <w:tc>
                <w:tcPr>
                  <w:tcW w:w="2825" w:type="pct"/>
                  <w:tcBorders>
                    <w:tl2br w:val="nil"/>
                    <w:tr2bl w:val="nil"/>
                  </w:tcBorders>
                  <w:shd w:val="clear" w:color="auto" w:fill="auto"/>
                  <w:vAlign w:val="center"/>
                </w:tcPr>
                <w:p w14:paraId="63E1FA48">
                  <w:pPr>
                    <w:overflowPunct w:val="0"/>
                    <w:autoSpaceDE w:val="0"/>
                    <w:autoSpaceDN w:val="0"/>
                    <w:adjustRightInd w:val="0"/>
                    <w:snapToGrid w:val="0"/>
                    <w:rPr>
                      <w:rFonts w:ascii="Times New Roman" w:hAnsi="Times New Roman" w:eastAsia="宋体"/>
                      <w:snapToGrid w:val="0"/>
                      <w:color w:val="auto"/>
                      <w:kern w:val="0"/>
                      <w:sz w:val="21"/>
                      <w:szCs w:val="18"/>
                    </w:rPr>
                  </w:pPr>
                  <w:r>
                    <w:rPr>
                      <w:rFonts w:hint="eastAsia"/>
                      <w:snapToGrid w:val="0"/>
                      <w:color w:val="auto"/>
                      <w:kern w:val="0"/>
                      <w:sz w:val="21"/>
                      <w:szCs w:val="18"/>
                      <w:lang w:eastAsia="zh-CN"/>
                    </w:rPr>
                    <w:t>1.</w:t>
                  </w:r>
                  <w:r>
                    <w:rPr>
                      <w:rFonts w:ascii="Times New Roman" w:hAnsi="Times New Roman" w:eastAsia="宋体"/>
                      <w:snapToGrid w:val="0"/>
                      <w:color w:val="auto"/>
                      <w:kern w:val="0"/>
                      <w:sz w:val="21"/>
                      <w:szCs w:val="18"/>
                    </w:rPr>
                    <w:t>坚持生态环境质量只能更好、不能变坏，实施污染物总量控制，以环境容量定产业、定项目、定规模，确保开发建设行为不突破生态环境承载力。</w:t>
                  </w:r>
                </w:p>
              </w:tc>
              <w:tc>
                <w:tcPr>
                  <w:tcW w:w="1515" w:type="pct"/>
                  <w:vMerge w:val="restart"/>
                  <w:tcBorders>
                    <w:tl2br w:val="nil"/>
                    <w:tr2bl w:val="nil"/>
                  </w:tcBorders>
                  <w:shd w:val="clear" w:color="auto" w:fill="auto"/>
                  <w:vAlign w:val="center"/>
                </w:tcPr>
                <w:p w14:paraId="6F4B80EF">
                  <w:pPr>
                    <w:overflowPunct w:val="0"/>
                    <w:autoSpaceDE w:val="0"/>
                    <w:autoSpaceDN w:val="0"/>
                    <w:adjustRightInd w:val="0"/>
                    <w:snapToGrid w:val="0"/>
                    <w:rPr>
                      <w:rFonts w:hint="eastAsia" w:ascii="Times New Roman" w:hAnsi="Times New Roman" w:eastAsia="宋体"/>
                      <w:snapToGrid w:val="0"/>
                      <w:color w:val="auto"/>
                      <w:kern w:val="0"/>
                      <w:sz w:val="21"/>
                      <w:szCs w:val="18"/>
                      <w:lang w:eastAsia="zh-CN"/>
                    </w:rPr>
                  </w:pPr>
                  <w:r>
                    <w:rPr>
                      <w:rFonts w:ascii="Times New Roman" w:hAnsi="Times New Roman" w:eastAsia="宋体"/>
                      <w:snapToGrid w:val="0"/>
                      <w:color w:val="auto"/>
                      <w:kern w:val="0"/>
                      <w:sz w:val="21"/>
                      <w:szCs w:val="18"/>
                    </w:rPr>
                    <w:t>根据</w:t>
                  </w:r>
                  <w:r>
                    <w:rPr>
                      <w:rFonts w:ascii="Times New Roman" w:hAnsi="Times New Roman" w:eastAsia="宋体"/>
                      <w:snapToGrid w:val="0"/>
                      <w:color w:val="auto"/>
                      <w:kern w:val="0"/>
                      <w:sz w:val="21"/>
                      <w:szCs w:val="18"/>
                      <w:lang w:val="zh-CN"/>
                    </w:rPr>
                    <w:t>《</w:t>
                  </w:r>
                  <w:r>
                    <w:rPr>
                      <w:rFonts w:ascii="Times New Roman" w:hAnsi="Times New Roman" w:eastAsia="宋体"/>
                      <w:snapToGrid w:val="0"/>
                      <w:color w:val="auto"/>
                      <w:kern w:val="0"/>
                      <w:sz w:val="21"/>
                      <w:szCs w:val="18"/>
                    </w:rPr>
                    <w:t>建设项目主要污染物排放总量指标审核及管理暂行办法</w:t>
                  </w:r>
                  <w:r>
                    <w:rPr>
                      <w:rFonts w:ascii="Times New Roman" w:hAnsi="Times New Roman" w:eastAsia="宋体"/>
                      <w:snapToGrid w:val="0"/>
                      <w:color w:val="auto"/>
                      <w:kern w:val="0"/>
                      <w:sz w:val="21"/>
                      <w:szCs w:val="18"/>
                      <w:lang w:val="zh-CN"/>
                    </w:rPr>
                    <w:t>》（</w:t>
                  </w:r>
                  <w:r>
                    <w:rPr>
                      <w:rFonts w:ascii="Times New Roman" w:hAnsi="Times New Roman" w:eastAsia="宋体"/>
                      <w:snapToGrid w:val="0"/>
                      <w:color w:val="auto"/>
                      <w:kern w:val="0"/>
                      <w:sz w:val="21"/>
                      <w:szCs w:val="18"/>
                    </w:rPr>
                    <w:t>环发</w:t>
                  </w:r>
                  <w:r>
                    <w:rPr>
                      <w:rFonts w:hint="eastAsia"/>
                      <w:snapToGrid w:val="0"/>
                      <w:color w:val="auto"/>
                      <w:kern w:val="0"/>
                      <w:sz w:val="21"/>
                      <w:szCs w:val="18"/>
                      <w:lang w:eastAsia="zh-CN"/>
                    </w:rPr>
                    <w:t>〔2014〕197号</w:t>
                  </w:r>
                  <w:r>
                    <w:rPr>
                      <w:rFonts w:ascii="Times New Roman" w:hAnsi="Times New Roman" w:eastAsia="宋体"/>
                      <w:snapToGrid w:val="0"/>
                      <w:color w:val="auto"/>
                      <w:kern w:val="0"/>
                      <w:sz w:val="21"/>
                      <w:szCs w:val="18"/>
                      <w:lang w:val="zh-CN"/>
                    </w:rPr>
                    <w:t>），</w:t>
                  </w:r>
                  <w:r>
                    <w:rPr>
                      <w:rFonts w:ascii="Times New Roman" w:hAnsi="Times New Roman" w:eastAsia="宋体"/>
                      <w:snapToGrid w:val="0"/>
                      <w:color w:val="auto"/>
                      <w:kern w:val="0"/>
                      <w:sz w:val="21"/>
                      <w:szCs w:val="18"/>
                    </w:rPr>
                    <w:t>项目污染物总量在涟水县范围内平衡，项目建设不突破生态环境承载力</w:t>
                  </w:r>
                  <w:r>
                    <w:rPr>
                      <w:rFonts w:ascii="Times New Roman" w:hAnsi="Times New Roman" w:eastAsia="宋体"/>
                      <w:snapToGrid w:val="0"/>
                      <w:color w:val="auto"/>
                      <w:kern w:val="0"/>
                      <w:sz w:val="21"/>
                      <w:szCs w:val="18"/>
                      <w:lang w:val="zh-CN"/>
                    </w:rPr>
                    <w:t>，</w:t>
                  </w:r>
                  <w:r>
                    <w:rPr>
                      <w:rFonts w:ascii="Times New Roman" w:hAnsi="Times New Roman" w:eastAsia="宋体"/>
                      <w:snapToGrid w:val="0"/>
                      <w:color w:val="auto"/>
                      <w:kern w:val="0"/>
                      <w:sz w:val="21"/>
                      <w:szCs w:val="18"/>
                    </w:rPr>
                    <w:t>项目污染物总量在涟水县范围内平衡</w:t>
                  </w:r>
                  <w:r>
                    <w:rPr>
                      <w:rFonts w:hint="eastAsia"/>
                      <w:snapToGrid w:val="0"/>
                      <w:color w:val="auto"/>
                      <w:kern w:val="0"/>
                      <w:sz w:val="21"/>
                      <w:szCs w:val="18"/>
                      <w:lang w:eastAsia="zh-CN"/>
                    </w:rPr>
                    <w:t>。</w:t>
                  </w:r>
                </w:p>
              </w:tc>
              <w:tc>
                <w:tcPr>
                  <w:tcW w:w="308" w:type="pct"/>
                  <w:vMerge w:val="restart"/>
                  <w:tcBorders>
                    <w:tl2br w:val="nil"/>
                    <w:tr2bl w:val="nil"/>
                  </w:tcBorders>
                  <w:shd w:val="clear" w:color="auto" w:fill="auto"/>
                  <w:vAlign w:val="center"/>
                </w:tcPr>
                <w:p w14:paraId="3E9E366D">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相符</w:t>
                  </w:r>
                </w:p>
              </w:tc>
            </w:tr>
            <w:tr w14:paraId="69FB2B18">
              <w:trPr>
                <w:trHeight w:val="397" w:hRule="atLeast"/>
              </w:trPr>
              <w:tc>
                <w:tcPr>
                  <w:tcW w:w="350" w:type="pct"/>
                  <w:vMerge w:val="continue"/>
                  <w:tcBorders>
                    <w:tl2br w:val="nil"/>
                    <w:tr2bl w:val="nil"/>
                  </w:tcBorders>
                  <w:shd w:val="clear" w:color="auto" w:fill="auto"/>
                  <w:vAlign w:val="center"/>
                </w:tcPr>
                <w:p w14:paraId="0D887F30">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c>
                <w:tcPr>
                  <w:tcW w:w="2825" w:type="pct"/>
                  <w:tcBorders>
                    <w:tl2br w:val="nil"/>
                    <w:tr2bl w:val="nil"/>
                  </w:tcBorders>
                  <w:shd w:val="clear" w:color="auto" w:fill="auto"/>
                  <w:vAlign w:val="center"/>
                </w:tcPr>
                <w:p w14:paraId="488410C1">
                  <w:pPr>
                    <w:overflowPunct w:val="0"/>
                    <w:autoSpaceDE w:val="0"/>
                    <w:autoSpaceDN w:val="0"/>
                    <w:adjustRightInd w:val="0"/>
                    <w:snapToGrid w:val="0"/>
                    <w:rPr>
                      <w:rFonts w:ascii="Times New Roman" w:hAnsi="Times New Roman" w:eastAsia="宋体"/>
                      <w:snapToGrid w:val="0"/>
                      <w:color w:val="auto"/>
                      <w:kern w:val="0"/>
                      <w:sz w:val="21"/>
                      <w:szCs w:val="18"/>
                    </w:rPr>
                  </w:pPr>
                  <w:r>
                    <w:rPr>
                      <w:rFonts w:hint="eastAsia"/>
                      <w:snapToGrid w:val="0"/>
                      <w:color w:val="auto"/>
                      <w:kern w:val="0"/>
                      <w:sz w:val="21"/>
                      <w:szCs w:val="18"/>
                      <w:lang w:eastAsia="zh-CN"/>
                    </w:rPr>
                    <w:t>2.</w:t>
                  </w:r>
                  <w:r>
                    <w:rPr>
                      <w:rFonts w:ascii="Times New Roman" w:hAnsi="Times New Roman" w:eastAsia="宋体"/>
                      <w:snapToGrid w:val="0"/>
                      <w:color w:val="auto"/>
                      <w:kern w:val="0"/>
                      <w:sz w:val="21"/>
                      <w:szCs w:val="18"/>
                    </w:rPr>
                    <w:t>2025年，主要污染物排放减排完成国家下达任务，单位工业增加值二氧化碳排放量下降20%，主要高耗能行业单位产品二氧化碳排放达到世界先进水平。实施氮氧化物（NOx）和VOCs协同减排，推进多污染物和关联区域联防联控。</w:t>
                  </w:r>
                </w:p>
              </w:tc>
              <w:tc>
                <w:tcPr>
                  <w:tcW w:w="1515" w:type="pct"/>
                  <w:vMerge w:val="continue"/>
                  <w:tcBorders>
                    <w:tl2br w:val="nil"/>
                    <w:tr2bl w:val="nil"/>
                  </w:tcBorders>
                  <w:shd w:val="clear" w:color="auto" w:fill="auto"/>
                  <w:vAlign w:val="center"/>
                </w:tcPr>
                <w:p w14:paraId="0D839E6C">
                  <w:pPr>
                    <w:overflowPunct w:val="0"/>
                    <w:autoSpaceDE w:val="0"/>
                    <w:autoSpaceDN w:val="0"/>
                    <w:adjustRightInd w:val="0"/>
                    <w:snapToGrid w:val="0"/>
                    <w:rPr>
                      <w:rFonts w:ascii="Times New Roman" w:hAnsi="Times New Roman" w:eastAsia="宋体"/>
                      <w:snapToGrid w:val="0"/>
                      <w:color w:val="auto"/>
                      <w:kern w:val="0"/>
                      <w:sz w:val="21"/>
                      <w:szCs w:val="18"/>
                    </w:rPr>
                  </w:pPr>
                </w:p>
              </w:tc>
              <w:tc>
                <w:tcPr>
                  <w:tcW w:w="308" w:type="pct"/>
                  <w:vMerge w:val="continue"/>
                  <w:tcBorders>
                    <w:tl2br w:val="nil"/>
                    <w:tr2bl w:val="nil"/>
                  </w:tcBorders>
                  <w:shd w:val="clear" w:color="auto" w:fill="auto"/>
                  <w:vAlign w:val="center"/>
                </w:tcPr>
                <w:p w14:paraId="0D6154B4">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r>
            <w:tr w14:paraId="40ED1ABB">
              <w:trPr>
                <w:trHeight w:val="397" w:hRule="atLeast"/>
              </w:trPr>
              <w:tc>
                <w:tcPr>
                  <w:tcW w:w="350" w:type="pct"/>
                  <w:vMerge w:val="restart"/>
                  <w:tcBorders>
                    <w:tl2br w:val="nil"/>
                    <w:tr2bl w:val="nil"/>
                  </w:tcBorders>
                  <w:shd w:val="clear" w:color="auto" w:fill="auto"/>
                  <w:vAlign w:val="center"/>
                </w:tcPr>
                <w:p w14:paraId="63B13047">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环境风险防控</w:t>
                  </w:r>
                </w:p>
              </w:tc>
              <w:tc>
                <w:tcPr>
                  <w:tcW w:w="2825" w:type="pct"/>
                  <w:tcBorders>
                    <w:tl2br w:val="nil"/>
                    <w:tr2bl w:val="nil"/>
                  </w:tcBorders>
                  <w:shd w:val="clear" w:color="auto" w:fill="auto"/>
                  <w:vAlign w:val="center"/>
                </w:tcPr>
                <w:p w14:paraId="1F95F79A">
                  <w:pPr>
                    <w:overflowPunct w:val="0"/>
                    <w:autoSpaceDE w:val="0"/>
                    <w:autoSpaceDN w:val="0"/>
                    <w:adjustRightInd w:val="0"/>
                    <w:snapToGrid w:val="0"/>
                    <w:rPr>
                      <w:rFonts w:ascii="Times New Roman" w:hAnsi="Times New Roman" w:eastAsia="宋体"/>
                      <w:snapToGrid w:val="0"/>
                      <w:color w:val="auto"/>
                      <w:kern w:val="0"/>
                      <w:sz w:val="21"/>
                      <w:szCs w:val="18"/>
                    </w:rPr>
                  </w:pPr>
                  <w:r>
                    <w:rPr>
                      <w:rFonts w:hint="eastAsia"/>
                      <w:snapToGrid w:val="0"/>
                      <w:color w:val="auto"/>
                      <w:kern w:val="0"/>
                      <w:sz w:val="21"/>
                      <w:szCs w:val="18"/>
                      <w:lang w:eastAsia="zh-CN"/>
                    </w:rPr>
                    <w:t>1.</w:t>
                  </w:r>
                  <w:r>
                    <w:rPr>
                      <w:rFonts w:ascii="Times New Roman" w:hAnsi="Times New Roman" w:eastAsia="宋体"/>
                      <w:snapToGrid w:val="0"/>
                      <w:color w:val="auto"/>
                      <w:kern w:val="0"/>
                      <w:sz w:val="21"/>
                      <w:szCs w:val="18"/>
                    </w:rPr>
                    <w:t>强化饮用水水源环境风险管控。县级以上城市全部建成应急水源或双源供水。</w:t>
                  </w:r>
                </w:p>
              </w:tc>
              <w:tc>
                <w:tcPr>
                  <w:tcW w:w="1515" w:type="pct"/>
                  <w:tcBorders>
                    <w:tl2br w:val="nil"/>
                    <w:tr2bl w:val="nil"/>
                  </w:tcBorders>
                  <w:shd w:val="clear" w:color="auto" w:fill="auto"/>
                  <w:vAlign w:val="center"/>
                </w:tcPr>
                <w:p w14:paraId="57488052">
                  <w:pPr>
                    <w:overflowPunct w:val="0"/>
                    <w:autoSpaceDE w:val="0"/>
                    <w:autoSpaceDN w:val="0"/>
                    <w:adjustRightInd w:val="0"/>
                    <w:snapToGrid w:val="0"/>
                    <w:rPr>
                      <w:rFonts w:hint="eastAsia" w:ascii="Times New Roman" w:hAnsi="Times New Roman" w:eastAsia="宋体"/>
                      <w:snapToGrid w:val="0"/>
                      <w:color w:val="auto"/>
                      <w:kern w:val="0"/>
                      <w:sz w:val="21"/>
                      <w:szCs w:val="18"/>
                      <w:lang w:eastAsia="zh-CN"/>
                    </w:rPr>
                  </w:pPr>
                  <w:r>
                    <w:rPr>
                      <w:rFonts w:ascii="Times New Roman" w:hAnsi="Times New Roman" w:eastAsia="宋体"/>
                      <w:snapToGrid w:val="0"/>
                      <w:color w:val="auto"/>
                      <w:kern w:val="0"/>
                      <w:sz w:val="21"/>
                      <w:szCs w:val="18"/>
                    </w:rPr>
                    <w:t>项目不涉及饮用水水源</w:t>
                  </w:r>
                  <w:r>
                    <w:rPr>
                      <w:rFonts w:hint="eastAsia"/>
                      <w:snapToGrid w:val="0"/>
                      <w:color w:val="auto"/>
                      <w:kern w:val="0"/>
                      <w:sz w:val="21"/>
                      <w:szCs w:val="18"/>
                      <w:lang w:eastAsia="zh-CN"/>
                    </w:rPr>
                    <w:t>。</w:t>
                  </w:r>
                </w:p>
              </w:tc>
              <w:tc>
                <w:tcPr>
                  <w:tcW w:w="308" w:type="pct"/>
                  <w:tcBorders>
                    <w:tl2br w:val="nil"/>
                    <w:tr2bl w:val="nil"/>
                  </w:tcBorders>
                  <w:shd w:val="clear" w:color="auto" w:fill="auto"/>
                  <w:vAlign w:val="center"/>
                </w:tcPr>
                <w:p w14:paraId="136FBE88">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相符</w:t>
                  </w:r>
                </w:p>
              </w:tc>
            </w:tr>
            <w:tr w14:paraId="2F710A29">
              <w:trPr>
                <w:trHeight w:val="397" w:hRule="atLeast"/>
              </w:trPr>
              <w:tc>
                <w:tcPr>
                  <w:tcW w:w="350" w:type="pct"/>
                  <w:vMerge w:val="continue"/>
                  <w:tcBorders>
                    <w:tl2br w:val="nil"/>
                    <w:tr2bl w:val="nil"/>
                  </w:tcBorders>
                  <w:shd w:val="clear" w:color="auto" w:fill="auto"/>
                  <w:vAlign w:val="center"/>
                </w:tcPr>
                <w:p w14:paraId="63276208">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c>
                <w:tcPr>
                  <w:tcW w:w="2825" w:type="pct"/>
                  <w:tcBorders>
                    <w:tl2br w:val="nil"/>
                    <w:tr2bl w:val="nil"/>
                  </w:tcBorders>
                  <w:shd w:val="clear" w:color="auto" w:fill="auto"/>
                  <w:vAlign w:val="center"/>
                </w:tcPr>
                <w:p w14:paraId="78E8AE89">
                  <w:pPr>
                    <w:overflowPunct w:val="0"/>
                    <w:autoSpaceDE w:val="0"/>
                    <w:autoSpaceDN w:val="0"/>
                    <w:adjustRightInd w:val="0"/>
                    <w:snapToGrid w:val="0"/>
                    <w:rPr>
                      <w:rFonts w:ascii="Times New Roman" w:hAnsi="Times New Roman" w:eastAsia="宋体"/>
                      <w:snapToGrid w:val="0"/>
                      <w:color w:val="auto"/>
                      <w:kern w:val="0"/>
                      <w:sz w:val="21"/>
                      <w:szCs w:val="18"/>
                    </w:rPr>
                  </w:pPr>
                  <w:r>
                    <w:rPr>
                      <w:rFonts w:hint="eastAsia"/>
                      <w:snapToGrid w:val="0"/>
                      <w:color w:val="auto"/>
                      <w:kern w:val="0"/>
                      <w:sz w:val="21"/>
                      <w:szCs w:val="18"/>
                      <w:lang w:eastAsia="zh-CN"/>
                    </w:rPr>
                    <w:t>2.</w:t>
                  </w:r>
                  <w:r>
                    <w:rPr>
                      <w:rFonts w:ascii="Times New Roman" w:hAnsi="Times New Roman" w:eastAsia="宋体"/>
                      <w:snapToGrid w:val="0"/>
                      <w:color w:val="auto"/>
                      <w:kern w:val="0"/>
                      <w:sz w:val="21"/>
                      <w:szCs w:val="18"/>
                    </w:rPr>
                    <w:t>强化化工行业环境风险管控。重点加强化学工业园区、涉及大宗危化品使用企业、贮存和运输危化品的港口码头、尾矿库、集中式污水处理厂、危废处理企业的环境风险防控；严厉打击危险废物非法转移、处置和倾倒行为；加强关闭搬迁化工企业及遗留地块的调查评估、风险管控、治理修复。</w:t>
                  </w:r>
                </w:p>
              </w:tc>
              <w:tc>
                <w:tcPr>
                  <w:tcW w:w="1515" w:type="pct"/>
                  <w:tcBorders>
                    <w:tl2br w:val="nil"/>
                    <w:tr2bl w:val="nil"/>
                  </w:tcBorders>
                  <w:shd w:val="clear" w:color="auto" w:fill="auto"/>
                  <w:vAlign w:val="center"/>
                </w:tcPr>
                <w:p w14:paraId="117CB19D">
                  <w:pPr>
                    <w:overflowPunct w:val="0"/>
                    <w:autoSpaceDE w:val="0"/>
                    <w:autoSpaceDN w:val="0"/>
                    <w:adjustRightInd w:val="0"/>
                    <w:snapToGrid w:val="0"/>
                    <w:rPr>
                      <w:rFonts w:hint="eastAsia" w:ascii="Times New Roman" w:hAnsi="Times New Roman" w:eastAsia="宋体"/>
                      <w:snapToGrid w:val="0"/>
                      <w:color w:val="auto"/>
                      <w:kern w:val="0"/>
                      <w:sz w:val="21"/>
                      <w:szCs w:val="18"/>
                      <w:lang w:eastAsia="zh-CN"/>
                    </w:rPr>
                  </w:pPr>
                  <w:r>
                    <w:rPr>
                      <w:rFonts w:ascii="Times New Roman" w:hAnsi="Times New Roman" w:eastAsia="宋体"/>
                      <w:snapToGrid w:val="0"/>
                      <w:color w:val="auto"/>
                      <w:kern w:val="0"/>
                      <w:sz w:val="21"/>
                      <w:szCs w:val="18"/>
                    </w:rPr>
                    <w:t>项目不属于化工项目</w:t>
                  </w:r>
                  <w:r>
                    <w:rPr>
                      <w:rFonts w:hint="eastAsia"/>
                      <w:snapToGrid w:val="0"/>
                      <w:color w:val="auto"/>
                      <w:kern w:val="0"/>
                      <w:sz w:val="21"/>
                      <w:szCs w:val="18"/>
                      <w:lang w:eastAsia="zh-CN"/>
                    </w:rPr>
                    <w:t>。</w:t>
                  </w:r>
                </w:p>
              </w:tc>
              <w:tc>
                <w:tcPr>
                  <w:tcW w:w="308" w:type="pct"/>
                  <w:tcBorders>
                    <w:tl2br w:val="nil"/>
                    <w:tr2bl w:val="nil"/>
                  </w:tcBorders>
                  <w:shd w:val="clear" w:color="auto" w:fill="auto"/>
                  <w:vAlign w:val="center"/>
                </w:tcPr>
                <w:p w14:paraId="77B6809D">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相符</w:t>
                  </w:r>
                </w:p>
              </w:tc>
            </w:tr>
            <w:tr w14:paraId="479F3470">
              <w:trPr>
                <w:trHeight w:val="397" w:hRule="atLeast"/>
              </w:trPr>
              <w:tc>
                <w:tcPr>
                  <w:tcW w:w="350" w:type="pct"/>
                  <w:vMerge w:val="continue"/>
                  <w:tcBorders>
                    <w:tl2br w:val="nil"/>
                    <w:tr2bl w:val="nil"/>
                  </w:tcBorders>
                  <w:shd w:val="clear" w:color="auto" w:fill="auto"/>
                  <w:vAlign w:val="center"/>
                </w:tcPr>
                <w:p w14:paraId="1E9F9BF1">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c>
                <w:tcPr>
                  <w:tcW w:w="2825" w:type="pct"/>
                  <w:tcBorders>
                    <w:tl2br w:val="nil"/>
                    <w:tr2bl w:val="nil"/>
                  </w:tcBorders>
                  <w:shd w:val="clear" w:color="auto" w:fill="auto"/>
                  <w:vAlign w:val="center"/>
                </w:tcPr>
                <w:p w14:paraId="6C2E263E">
                  <w:pPr>
                    <w:overflowPunct w:val="0"/>
                    <w:autoSpaceDE w:val="0"/>
                    <w:autoSpaceDN w:val="0"/>
                    <w:adjustRightInd w:val="0"/>
                    <w:snapToGrid w:val="0"/>
                    <w:rPr>
                      <w:rFonts w:ascii="Times New Roman" w:hAnsi="Times New Roman" w:eastAsia="宋体"/>
                      <w:snapToGrid w:val="0"/>
                      <w:color w:val="auto"/>
                      <w:kern w:val="0"/>
                      <w:sz w:val="21"/>
                      <w:szCs w:val="18"/>
                    </w:rPr>
                  </w:pPr>
                  <w:r>
                    <w:rPr>
                      <w:rFonts w:hint="eastAsia"/>
                      <w:snapToGrid w:val="0"/>
                      <w:color w:val="auto"/>
                      <w:kern w:val="0"/>
                      <w:sz w:val="21"/>
                      <w:szCs w:val="18"/>
                      <w:lang w:eastAsia="zh-CN"/>
                    </w:rPr>
                    <w:t>3.</w:t>
                  </w:r>
                  <w:r>
                    <w:rPr>
                      <w:rFonts w:ascii="Times New Roman" w:hAnsi="Times New Roman" w:eastAsia="宋体"/>
                      <w:snapToGrid w:val="0"/>
                      <w:color w:val="auto"/>
                      <w:kern w:val="0"/>
                      <w:sz w:val="21"/>
                      <w:szCs w:val="18"/>
                    </w:rPr>
                    <w:t>强化环境事故应急管理。深化跨部门、跨区域环境应急协调联动，分区域建立环境应急物资储备库。各级工业园区（集聚区）和企业的环境应急装备和储备物资应纳入储备体系。</w:t>
                  </w:r>
                </w:p>
              </w:tc>
              <w:tc>
                <w:tcPr>
                  <w:tcW w:w="1515" w:type="pct"/>
                  <w:tcBorders>
                    <w:tl2br w:val="nil"/>
                    <w:tr2bl w:val="nil"/>
                  </w:tcBorders>
                  <w:shd w:val="clear" w:color="auto" w:fill="auto"/>
                  <w:vAlign w:val="center"/>
                </w:tcPr>
                <w:p w14:paraId="417E137B">
                  <w:pPr>
                    <w:overflowPunct w:val="0"/>
                    <w:autoSpaceDE w:val="0"/>
                    <w:autoSpaceDN w:val="0"/>
                    <w:adjustRightInd w:val="0"/>
                    <w:snapToGrid w:val="0"/>
                    <w:rPr>
                      <w:rFonts w:hint="eastAsia" w:ascii="Times New Roman" w:hAnsi="Times New Roman" w:eastAsia="宋体"/>
                      <w:snapToGrid w:val="0"/>
                      <w:color w:val="auto"/>
                      <w:kern w:val="0"/>
                      <w:sz w:val="21"/>
                      <w:szCs w:val="18"/>
                      <w:lang w:eastAsia="zh-CN"/>
                    </w:rPr>
                  </w:pPr>
                  <w:r>
                    <w:rPr>
                      <w:rFonts w:ascii="Times New Roman" w:hAnsi="Times New Roman" w:eastAsia="宋体"/>
                      <w:snapToGrid w:val="0"/>
                      <w:color w:val="auto"/>
                      <w:kern w:val="0"/>
                      <w:sz w:val="21"/>
                      <w:szCs w:val="18"/>
                    </w:rPr>
                    <w:t>项目位于涟水经济开发区，规划区应配备相应的应急装备和应急物资</w:t>
                  </w:r>
                  <w:r>
                    <w:rPr>
                      <w:rFonts w:hint="eastAsia"/>
                      <w:snapToGrid w:val="0"/>
                      <w:color w:val="auto"/>
                      <w:kern w:val="0"/>
                      <w:sz w:val="21"/>
                      <w:szCs w:val="18"/>
                      <w:lang w:eastAsia="zh-CN"/>
                    </w:rPr>
                    <w:t>。</w:t>
                  </w:r>
                </w:p>
              </w:tc>
              <w:tc>
                <w:tcPr>
                  <w:tcW w:w="308" w:type="pct"/>
                  <w:tcBorders>
                    <w:tl2br w:val="nil"/>
                    <w:tr2bl w:val="nil"/>
                  </w:tcBorders>
                  <w:shd w:val="clear" w:color="auto" w:fill="auto"/>
                  <w:vAlign w:val="center"/>
                </w:tcPr>
                <w:p w14:paraId="1CBE325F">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相符</w:t>
                  </w:r>
                </w:p>
              </w:tc>
            </w:tr>
            <w:tr w14:paraId="3EB7F212">
              <w:trPr>
                <w:trHeight w:val="397" w:hRule="atLeast"/>
              </w:trPr>
              <w:tc>
                <w:tcPr>
                  <w:tcW w:w="350" w:type="pct"/>
                  <w:vMerge w:val="continue"/>
                  <w:tcBorders>
                    <w:tl2br w:val="nil"/>
                    <w:tr2bl w:val="nil"/>
                  </w:tcBorders>
                  <w:shd w:val="clear" w:color="auto" w:fill="auto"/>
                  <w:vAlign w:val="center"/>
                </w:tcPr>
                <w:p w14:paraId="41AB82EE">
                  <w:pPr>
                    <w:overflowPunct w:val="0"/>
                    <w:autoSpaceDE w:val="0"/>
                    <w:autoSpaceDN w:val="0"/>
                    <w:adjustRightInd w:val="0"/>
                    <w:snapToGrid w:val="0"/>
                    <w:rPr>
                      <w:rFonts w:ascii="Times New Roman" w:hAnsi="Times New Roman" w:eastAsia="宋体"/>
                      <w:snapToGrid w:val="0"/>
                      <w:color w:val="auto"/>
                      <w:kern w:val="0"/>
                      <w:sz w:val="21"/>
                      <w:szCs w:val="18"/>
                    </w:rPr>
                  </w:pPr>
                </w:p>
              </w:tc>
              <w:tc>
                <w:tcPr>
                  <w:tcW w:w="2825" w:type="pct"/>
                  <w:tcBorders>
                    <w:tl2br w:val="nil"/>
                    <w:tr2bl w:val="nil"/>
                  </w:tcBorders>
                  <w:shd w:val="clear" w:color="auto" w:fill="auto"/>
                  <w:vAlign w:val="center"/>
                </w:tcPr>
                <w:p w14:paraId="6BCAC0EC">
                  <w:pPr>
                    <w:overflowPunct w:val="0"/>
                    <w:autoSpaceDE w:val="0"/>
                    <w:autoSpaceDN w:val="0"/>
                    <w:adjustRightInd w:val="0"/>
                    <w:snapToGrid w:val="0"/>
                    <w:rPr>
                      <w:rFonts w:ascii="Times New Roman" w:hAnsi="Times New Roman" w:eastAsia="宋体"/>
                      <w:snapToGrid w:val="0"/>
                      <w:color w:val="auto"/>
                      <w:kern w:val="0"/>
                      <w:sz w:val="21"/>
                      <w:szCs w:val="18"/>
                    </w:rPr>
                  </w:pPr>
                  <w:r>
                    <w:rPr>
                      <w:rFonts w:hint="eastAsia"/>
                      <w:snapToGrid w:val="0"/>
                      <w:color w:val="auto"/>
                      <w:kern w:val="0"/>
                      <w:sz w:val="21"/>
                      <w:szCs w:val="18"/>
                      <w:lang w:eastAsia="zh-CN"/>
                    </w:rPr>
                    <w:t>4.</w:t>
                  </w:r>
                  <w:r>
                    <w:rPr>
                      <w:rFonts w:ascii="Times New Roman" w:hAnsi="Times New Roman" w:eastAsia="宋体"/>
                      <w:snapToGrid w:val="0"/>
                      <w:color w:val="auto"/>
                      <w:kern w:val="0"/>
                      <w:sz w:val="21"/>
                      <w:szCs w:val="18"/>
                    </w:rPr>
                    <w:t>强化环境风险防控能力建设。按照统一信息平台、统一监管力度、统一应急等级、协同应急救援的思路，在沿江发展带、沿海发展带、环太湖等地区构建区域性环境风险预警应急响应机制，实施区域突发环境风险预警联防联控。</w:t>
                  </w:r>
                </w:p>
              </w:tc>
              <w:tc>
                <w:tcPr>
                  <w:tcW w:w="1515" w:type="pct"/>
                  <w:tcBorders>
                    <w:tl2br w:val="nil"/>
                    <w:tr2bl w:val="nil"/>
                  </w:tcBorders>
                  <w:shd w:val="clear" w:color="auto" w:fill="auto"/>
                  <w:vAlign w:val="center"/>
                </w:tcPr>
                <w:p w14:paraId="5C57FD1E">
                  <w:pPr>
                    <w:overflowPunct w:val="0"/>
                    <w:autoSpaceDE w:val="0"/>
                    <w:autoSpaceDN w:val="0"/>
                    <w:adjustRightInd w:val="0"/>
                    <w:snapToGrid w:val="0"/>
                    <w:rPr>
                      <w:rFonts w:hint="eastAsia" w:ascii="Times New Roman" w:hAnsi="Times New Roman" w:eastAsia="宋体"/>
                      <w:snapToGrid w:val="0"/>
                      <w:color w:val="auto"/>
                      <w:kern w:val="0"/>
                      <w:sz w:val="21"/>
                      <w:szCs w:val="18"/>
                      <w:lang w:eastAsia="zh-CN"/>
                    </w:rPr>
                  </w:pPr>
                  <w:r>
                    <w:rPr>
                      <w:rFonts w:ascii="Times New Roman" w:hAnsi="Times New Roman" w:eastAsia="宋体"/>
                      <w:snapToGrid w:val="0"/>
                      <w:color w:val="auto"/>
                      <w:kern w:val="0"/>
                      <w:sz w:val="21"/>
                      <w:szCs w:val="18"/>
                    </w:rPr>
                    <w:t>项目位于涟水经济开</w:t>
                  </w:r>
                  <w:r>
                    <w:rPr>
                      <w:rFonts w:hint="eastAsia"/>
                      <w:snapToGrid w:val="0"/>
                      <w:color w:val="auto"/>
                      <w:kern w:val="0"/>
                      <w:sz w:val="21"/>
                      <w:szCs w:val="18"/>
                      <w:lang w:eastAsia="zh-CN"/>
                    </w:rPr>
                    <w:t>发区</w:t>
                  </w:r>
                  <w:r>
                    <w:rPr>
                      <w:rFonts w:ascii="Times New Roman" w:hAnsi="Times New Roman" w:eastAsia="宋体"/>
                      <w:snapToGrid w:val="0"/>
                      <w:color w:val="auto"/>
                      <w:kern w:val="0"/>
                      <w:sz w:val="21"/>
                      <w:szCs w:val="18"/>
                    </w:rPr>
                    <w:t>，本项目</w:t>
                  </w:r>
                  <w:r>
                    <w:rPr>
                      <w:rFonts w:hint="eastAsia" w:ascii="Times New Roman" w:hAnsi="Times New Roman" w:eastAsia="宋体"/>
                      <w:snapToGrid w:val="0"/>
                      <w:color w:val="auto"/>
                      <w:kern w:val="0"/>
                      <w:sz w:val="21"/>
                      <w:szCs w:val="18"/>
                      <w:lang w:val="en-US" w:eastAsia="zh-CN"/>
                    </w:rPr>
                    <w:t>严格加强</w:t>
                  </w:r>
                  <w:r>
                    <w:rPr>
                      <w:rFonts w:hint="eastAsia" w:ascii="Times New Roman" w:hAnsi="Times New Roman" w:eastAsia="宋体"/>
                      <w:snapToGrid w:val="0"/>
                      <w:color w:val="auto"/>
                      <w:kern w:val="0"/>
                      <w:sz w:val="21"/>
                      <w:szCs w:val="18"/>
                    </w:rPr>
                    <w:t>环境风险防控能力建设</w:t>
                  </w:r>
                  <w:r>
                    <w:rPr>
                      <w:rFonts w:ascii="Times New Roman" w:hAnsi="Times New Roman" w:eastAsia="宋体"/>
                      <w:snapToGrid w:val="0"/>
                      <w:color w:val="auto"/>
                      <w:kern w:val="0"/>
                      <w:sz w:val="21"/>
                      <w:szCs w:val="18"/>
                    </w:rPr>
                    <w:t>，并与园区环境风险防控体系形成联动机制</w:t>
                  </w:r>
                  <w:r>
                    <w:rPr>
                      <w:rFonts w:hint="eastAsia"/>
                      <w:snapToGrid w:val="0"/>
                      <w:color w:val="auto"/>
                      <w:kern w:val="0"/>
                      <w:sz w:val="21"/>
                      <w:szCs w:val="18"/>
                      <w:lang w:eastAsia="zh-CN"/>
                    </w:rPr>
                    <w:t>。</w:t>
                  </w:r>
                </w:p>
              </w:tc>
              <w:tc>
                <w:tcPr>
                  <w:tcW w:w="308" w:type="pct"/>
                  <w:tcBorders>
                    <w:tl2br w:val="nil"/>
                    <w:tr2bl w:val="nil"/>
                  </w:tcBorders>
                  <w:shd w:val="clear" w:color="auto" w:fill="auto"/>
                  <w:vAlign w:val="center"/>
                </w:tcPr>
                <w:p w14:paraId="36964A94">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相符</w:t>
                  </w:r>
                </w:p>
              </w:tc>
            </w:tr>
            <w:tr w14:paraId="14AA95EF">
              <w:trPr>
                <w:trHeight w:val="397" w:hRule="atLeast"/>
              </w:trPr>
              <w:tc>
                <w:tcPr>
                  <w:tcW w:w="350" w:type="pct"/>
                  <w:vMerge w:val="restart"/>
                  <w:tcBorders>
                    <w:tl2br w:val="nil"/>
                    <w:tr2bl w:val="nil"/>
                  </w:tcBorders>
                  <w:shd w:val="clear" w:color="auto" w:fill="auto"/>
                  <w:vAlign w:val="center"/>
                </w:tcPr>
                <w:p w14:paraId="31CE825E">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资源利用效率要求</w:t>
                  </w:r>
                </w:p>
              </w:tc>
              <w:tc>
                <w:tcPr>
                  <w:tcW w:w="2825" w:type="pct"/>
                  <w:tcBorders>
                    <w:tl2br w:val="nil"/>
                    <w:tr2bl w:val="nil"/>
                  </w:tcBorders>
                  <w:shd w:val="clear" w:color="auto" w:fill="auto"/>
                  <w:vAlign w:val="center"/>
                </w:tcPr>
                <w:p w14:paraId="5A6C2437">
                  <w:pPr>
                    <w:overflowPunct w:val="0"/>
                    <w:autoSpaceDE w:val="0"/>
                    <w:autoSpaceDN w:val="0"/>
                    <w:adjustRightInd w:val="0"/>
                    <w:snapToGrid w:val="0"/>
                    <w:rPr>
                      <w:rFonts w:ascii="Times New Roman" w:hAnsi="Times New Roman" w:eastAsia="宋体"/>
                      <w:snapToGrid w:val="0"/>
                      <w:color w:val="auto"/>
                      <w:kern w:val="0"/>
                      <w:sz w:val="21"/>
                      <w:szCs w:val="18"/>
                    </w:rPr>
                  </w:pPr>
                  <w:r>
                    <w:rPr>
                      <w:rFonts w:hint="eastAsia"/>
                      <w:snapToGrid w:val="0"/>
                      <w:color w:val="auto"/>
                      <w:kern w:val="0"/>
                      <w:sz w:val="21"/>
                      <w:szCs w:val="18"/>
                      <w:lang w:eastAsia="zh-CN"/>
                    </w:rPr>
                    <w:t>1.</w:t>
                  </w:r>
                  <w:r>
                    <w:rPr>
                      <w:rFonts w:ascii="Times New Roman" w:hAnsi="Times New Roman" w:eastAsia="宋体"/>
                      <w:snapToGrid w:val="0"/>
                      <w:color w:val="auto"/>
                      <w:kern w:val="0"/>
                      <w:sz w:val="21"/>
                      <w:szCs w:val="18"/>
                    </w:rPr>
                    <w:t>水资源利用总量及效率要求：到2025年，全省用水总量控制在525.9亿立方米以内，万元地区生产总值用水量、万元工业增加值用水量下降完成国家下达目标，农田灌溉水有效利用系数提高到0.625。</w:t>
                  </w:r>
                </w:p>
              </w:tc>
              <w:tc>
                <w:tcPr>
                  <w:tcW w:w="1515" w:type="pct"/>
                  <w:tcBorders>
                    <w:tl2br w:val="nil"/>
                    <w:tr2bl w:val="nil"/>
                  </w:tcBorders>
                  <w:shd w:val="clear" w:color="auto" w:fill="auto"/>
                  <w:vAlign w:val="center"/>
                </w:tcPr>
                <w:p w14:paraId="01B64A8B">
                  <w:pPr>
                    <w:overflowPunct w:val="0"/>
                    <w:autoSpaceDE w:val="0"/>
                    <w:autoSpaceDN w:val="0"/>
                    <w:adjustRightInd w:val="0"/>
                    <w:snapToGrid w:val="0"/>
                    <w:rPr>
                      <w:rFonts w:hint="eastAsia" w:ascii="Times New Roman" w:hAnsi="Times New Roman" w:eastAsia="宋体"/>
                      <w:snapToGrid w:val="0"/>
                      <w:color w:val="auto"/>
                      <w:kern w:val="0"/>
                      <w:sz w:val="21"/>
                      <w:szCs w:val="18"/>
                      <w:lang w:eastAsia="zh-CN"/>
                    </w:rPr>
                  </w:pPr>
                  <w:r>
                    <w:rPr>
                      <w:rFonts w:ascii="Times New Roman" w:hAnsi="Times New Roman" w:eastAsia="宋体"/>
                      <w:snapToGrid w:val="0"/>
                      <w:color w:val="auto"/>
                      <w:kern w:val="0"/>
                      <w:sz w:val="21"/>
                      <w:szCs w:val="18"/>
                    </w:rPr>
                    <w:t>对照《“十四五”节水型社会建设规划》项目不属于高耗水行业，根据本次项目节能报告及审查意见及对比同类先进企业情况，项目单位产品用水量均达到行业国内先进水平</w:t>
                  </w:r>
                  <w:r>
                    <w:rPr>
                      <w:rFonts w:hint="eastAsia"/>
                      <w:snapToGrid w:val="0"/>
                      <w:color w:val="auto"/>
                      <w:kern w:val="0"/>
                      <w:sz w:val="21"/>
                      <w:szCs w:val="18"/>
                      <w:lang w:eastAsia="zh-CN"/>
                    </w:rPr>
                    <w:t>。</w:t>
                  </w:r>
                </w:p>
              </w:tc>
              <w:tc>
                <w:tcPr>
                  <w:tcW w:w="308" w:type="pct"/>
                  <w:tcBorders>
                    <w:tl2br w:val="nil"/>
                    <w:tr2bl w:val="nil"/>
                  </w:tcBorders>
                  <w:shd w:val="clear" w:color="auto" w:fill="auto"/>
                  <w:vAlign w:val="center"/>
                </w:tcPr>
                <w:p w14:paraId="495673F0">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相符</w:t>
                  </w:r>
                </w:p>
              </w:tc>
            </w:tr>
            <w:tr w14:paraId="6A64CC62">
              <w:trPr>
                <w:trHeight w:val="397" w:hRule="atLeast"/>
              </w:trPr>
              <w:tc>
                <w:tcPr>
                  <w:tcW w:w="350" w:type="pct"/>
                  <w:vMerge w:val="continue"/>
                  <w:tcBorders>
                    <w:tl2br w:val="nil"/>
                    <w:tr2bl w:val="nil"/>
                  </w:tcBorders>
                  <w:shd w:val="clear" w:color="auto" w:fill="auto"/>
                  <w:vAlign w:val="center"/>
                </w:tcPr>
                <w:p w14:paraId="6F46B0D6">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c>
                <w:tcPr>
                  <w:tcW w:w="2825" w:type="pct"/>
                  <w:tcBorders>
                    <w:tl2br w:val="nil"/>
                    <w:tr2bl w:val="nil"/>
                  </w:tcBorders>
                  <w:shd w:val="clear" w:color="auto" w:fill="auto"/>
                  <w:vAlign w:val="center"/>
                </w:tcPr>
                <w:p w14:paraId="05FAF8BB">
                  <w:pPr>
                    <w:overflowPunct w:val="0"/>
                    <w:autoSpaceDE w:val="0"/>
                    <w:autoSpaceDN w:val="0"/>
                    <w:adjustRightInd w:val="0"/>
                    <w:snapToGrid w:val="0"/>
                    <w:rPr>
                      <w:rFonts w:ascii="Times New Roman" w:hAnsi="Times New Roman" w:eastAsia="宋体"/>
                      <w:snapToGrid w:val="0"/>
                      <w:color w:val="auto"/>
                      <w:kern w:val="0"/>
                      <w:sz w:val="21"/>
                      <w:szCs w:val="18"/>
                    </w:rPr>
                  </w:pPr>
                  <w:r>
                    <w:rPr>
                      <w:rFonts w:hint="eastAsia"/>
                      <w:snapToGrid w:val="0"/>
                      <w:color w:val="auto"/>
                      <w:kern w:val="0"/>
                      <w:sz w:val="21"/>
                      <w:szCs w:val="18"/>
                      <w:lang w:eastAsia="zh-CN"/>
                    </w:rPr>
                    <w:t>2.</w:t>
                  </w:r>
                  <w:r>
                    <w:rPr>
                      <w:rFonts w:ascii="Times New Roman" w:hAnsi="Times New Roman" w:eastAsia="宋体"/>
                      <w:snapToGrid w:val="0"/>
                      <w:color w:val="auto"/>
                      <w:kern w:val="0"/>
                      <w:sz w:val="21"/>
                      <w:szCs w:val="18"/>
                    </w:rPr>
                    <w:t>土地资源总量要求：到2025年，江苏省耕地保有量不低于5977万亩，其中永久基本农田保护面积不低于5344万亩。</w:t>
                  </w:r>
                </w:p>
              </w:tc>
              <w:tc>
                <w:tcPr>
                  <w:tcW w:w="1515" w:type="pct"/>
                  <w:tcBorders>
                    <w:tl2br w:val="nil"/>
                    <w:tr2bl w:val="nil"/>
                  </w:tcBorders>
                  <w:shd w:val="clear" w:color="auto" w:fill="auto"/>
                  <w:vAlign w:val="center"/>
                </w:tcPr>
                <w:p w14:paraId="0824E27F">
                  <w:pPr>
                    <w:overflowPunct w:val="0"/>
                    <w:autoSpaceDE w:val="0"/>
                    <w:autoSpaceDN w:val="0"/>
                    <w:adjustRightInd w:val="0"/>
                    <w:snapToGrid w:val="0"/>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本项目不涉及基本农田，项目位于涟水经济开发区，为规划工业用地。</w:t>
                  </w:r>
                </w:p>
              </w:tc>
              <w:tc>
                <w:tcPr>
                  <w:tcW w:w="308" w:type="pct"/>
                  <w:tcBorders>
                    <w:tl2br w:val="nil"/>
                    <w:tr2bl w:val="nil"/>
                  </w:tcBorders>
                  <w:shd w:val="clear" w:color="auto" w:fill="auto"/>
                  <w:vAlign w:val="center"/>
                </w:tcPr>
                <w:p w14:paraId="0A11DD55">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相符</w:t>
                  </w:r>
                </w:p>
              </w:tc>
            </w:tr>
            <w:tr w14:paraId="410AC47D">
              <w:trPr>
                <w:trHeight w:val="397" w:hRule="atLeast"/>
              </w:trPr>
              <w:tc>
                <w:tcPr>
                  <w:tcW w:w="350" w:type="pct"/>
                  <w:vMerge w:val="continue"/>
                  <w:tcBorders>
                    <w:tl2br w:val="nil"/>
                    <w:tr2bl w:val="nil"/>
                  </w:tcBorders>
                  <w:shd w:val="clear" w:color="auto" w:fill="auto"/>
                  <w:vAlign w:val="center"/>
                </w:tcPr>
                <w:p w14:paraId="3801C8E2">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c>
                <w:tcPr>
                  <w:tcW w:w="2825" w:type="pct"/>
                  <w:tcBorders>
                    <w:tl2br w:val="nil"/>
                    <w:tr2bl w:val="nil"/>
                  </w:tcBorders>
                  <w:shd w:val="clear" w:color="auto" w:fill="auto"/>
                  <w:vAlign w:val="center"/>
                </w:tcPr>
                <w:p w14:paraId="3784548D">
                  <w:pPr>
                    <w:overflowPunct w:val="0"/>
                    <w:autoSpaceDE w:val="0"/>
                    <w:autoSpaceDN w:val="0"/>
                    <w:adjustRightInd w:val="0"/>
                    <w:snapToGrid w:val="0"/>
                    <w:rPr>
                      <w:rFonts w:ascii="Times New Roman" w:hAnsi="Times New Roman" w:eastAsia="宋体"/>
                      <w:snapToGrid w:val="0"/>
                      <w:color w:val="auto"/>
                      <w:kern w:val="0"/>
                      <w:sz w:val="21"/>
                      <w:szCs w:val="18"/>
                    </w:rPr>
                  </w:pPr>
                  <w:r>
                    <w:rPr>
                      <w:rFonts w:hint="eastAsia"/>
                      <w:snapToGrid w:val="0"/>
                      <w:color w:val="auto"/>
                      <w:kern w:val="0"/>
                      <w:sz w:val="21"/>
                      <w:szCs w:val="18"/>
                      <w:lang w:eastAsia="zh-CN"/>
                    </w:rPr>
                    <w:t>3.</w:t>
                  </w:r>
                  <w:r>
                    <w:rPr>
                      <w:rFonts w:ascii="Times New Roman" w:hAnsi="Times New Roman" w:eastAsia="宋体"/>
                      <w:snapToGrid w:val="0"/>
                      <w:color w:val="auto"/>
                      <w:kern w:val="0"/>
                      <w:sz w:val="21"/>
                      <w:szCs w:val="18"/>
                    </w:rPr>
                    <w:t>禁燃区要求：在禁燃区内，禁止销售、燃用高污染燃料；禁止新建、扩建燃用高污染燃料的设施，已建成的，应当在城市人民政府规定的期限内改用天然气、页岩气、液化石油气、电或者其他清洁能源。</w:t>
                  </w:r>
                </w:p>
              </w:tc>
              <w:tc>
                <w:tcPr>
                  <w:tcW w:w="1515" w:type="pct"/>
                  <w:tcBorders>
                    <w:tl2br w:val="nil"/>
                    <w:tr2bl w:val="nil"/>
                  </w:tcBorders>
                  <w:shd w:val="clear" w:color="auto" w:fill="auto"/>
                  <w:vAlign w:val="center"/>
                </w:tcPr>
                <w:p w14:paraId="6AAC85E1">
                  <w:pPr>
                    <w:overflowPunct w:val="0"/>
                    <w:autoSpaceDE w:val="0"/>
                    <w:autoSpaceDN w:val="0"/>
                    <w:adjustRightInd w:val="0"/>
                    <w:snapToGrid w:val="0"/>
                    <w:rPr>
                      <w:rFonts w:hint="eastAsia" w:ascii="Times New Roman" w:hAnsi="Times New Roman" w:eastAsia="宋体"/>
                      <w:snapToGrid w:val="0"/>
                      <w:color w:val="auto"/>
                      <w:kern w:val="0"/>
                      <w:sz w:val="21"/>
                      <w:szCs w:val="18"/>
                      <w:lang w:eastAsia="zh-CN"/>
                    </w:rPr>
                  </w:pPr>
                  <w:r>
                    <w:rPr>
                      <w:rFonts w:ascii="Times New Roman" w:hAnsi="Times New Roman" w:eastAsia="宋体"/>
                      <w:snapToGrid w:val="0"/>
                      <w:color w:val="auto"/>
                      <w:kern w:val="0"/>
                      <w:sz w:val="21"/>
                      <w:szCs w:val="18"/>
                    </w:rPr>
                    <w:t>本项目不使用燃料</w:t>
                  </w:r>
                  <w:r>
                    <w:rPr>
                      <w:rFonts w:hint="eastAsia"/>
                      <w:snapToGrid w:val="0"/>
                      <w:color w:val="auto"/>
                      <w:kern w:val="0"/>
                      <w:sz w:val="21"/>
                      <w:szCs w:val="18"/>
                      <w:lang w:eastAsia="zh-CN"/>
                    </w:rPr>
                    <w:t>。</w:t>
                  </w:r>
                </w:p>
              </w:tc>
              <w:tc>
                <w:tcPr>
                  <w:tcW w:w="308" w:type="pct"/>
                  <w:tcBorders>
                    <w:tl2br w:val="nil"/>
                    <w:tr2bl w:val="nil"/>
                  </w:tcBorders>
                  <w:shd w:val="clear" w:color="auto" w:fill="auto"/>
                  <w:vAlign w:val="center"/>
                </w:tcPr>
                <w:p w14:paraId="7798EEB6">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相符</w:t>
                  </w:r>
                </w:p>
              </w:tc>
            </w:tr>
            <w:tr w14:paraId="63740956">
              <w:trPr>
                <w:trHeight w:val="397" w:hRule="atLeast"/>
              </w:trPr>
              <w:tc>
                <w:tcPr>
                  <w:tcW w:w="5000" w:type="pct"/>
                  <w:gridSpan w:val="4"/>
                  <w:tcBorders>
                    <w:tl2br w:val="nil"/>
                    <w:tr2bl w:val="nil"/>
                  </w:tcBorders>
                  <w:shd w:val="clear" w:color="auto" w:fill="auto"/>
                  <w:vAlign w:val="center"/>
                </w:tcPr>
                <w:p w14:paraId="5520B95D">
                  <w:pPr>
                    <w:overflowPunct w:val="0"/>
                    <w:autoSpaceDE w:val="0"/>
                    <w:autoSpaceDN w:val="0"/>
                    <w:adjustRightInd w:val="0"/>
                    <w:snapToGrid w:val="0"/>
                    <w:jc w:val="center"/>
                    <w:rPr>
                      <w:rFonts w:ascii="Times New Roman" w:hAnsi="Times New Roman" w:eastAsia="宋体"/>
                      <w:bCs/>
                      <w:snapToGrid w:val="0"/>
                      <w:color w:val="auto"/>
                      <w:kern w:val="0"/>
                      <w:sz w:val="21"/>
                      <w:szCs w:val="18"/>
                    </w:rPr>
                  </w:pPr>
                  <w:r>
                    <w:rPr>
                      <w:rFonts w:ascii="Times New Roman" w:hAnsi="Times New Roman" w:eastAsia="宋体"/>
                      <w:bCs/>
                      <w:snapToGrid w:val="0"/>
                      <w:color w:val="auto"/>
                      <w:kern w:val="0"/>
                      <w:sz w:val="21"/>
                      <w:szCs w:val="18"/>
                    </w:rPr>
                    <w:t>三、淮河流域</w:t>
                  </w:r>
                </w:p>
              </w:tc>
            </w:tr>
            <w:tr w14:paraId="409B8EC0">
              <w:trPr>
                <w:trHeight w:val="397" w:hRule="atLeast"/>
              </w:trPr>
              <w:tc>
                <w:tcPr>
                  <w:tcW w:w="350" w:type="pct"/>
                  <w:vMerge w:val="restart"/>
                  <w:tcBorders>
                    <w:tl2br w:val="nil"/>
                    <w:tr2bl w:val="nil"/>
                  </w:tcBorders>
                  <w:shd w:val="clear" w:color="auto" w:fill="auto"/>
                  <w:vAlign w:val="center"/>
                </w:tcPr>
                <w:p w14:paraId="75971F4D">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空间布局约束</w:t>
                  </w:r>
                </w:p>
              </w:tc>
              <w:tc>
                <w:tcPr>
                  <w:tcW w:w="2825" w:type="pct"/>
                  <w:tcBorders>
                    <w:tl2br w:val="nil"/>
                    <w:tr2bl w:val="nil"/>
                  </w:tcBorders>
                  <w:shd w:val="clear" w:color="auto" w:fill="auto"/>
                  <w:vAlign w:val="center"/>
                </w:tcPr>
                <w:p w14:paraId="4198BEDD">
                  <w:pPr>
                    <w:overflowPunct w:val="0"/>
                    <w:autoSpaceDE w:val="0"/>
                    <w:autoSpaceDN w:val="0"/>
                    <w:adjustRightInd w:val="0"/>
                    <w:snapToGrid w:val="0"/>
                    <w:rPr>
                      <w:rFonts w:ascii="Times New Roman" w:hAnsi="Times New Roman" w:eastAsia="宋体"/>
                      <w:snapToGrid w:val="0"/>
                      <w:color w:val="auto"/>
                      <w:kern w:val="0"/>
                      <w:sz w:val="21"/>
                      <w:szCs w:val="18"/>
                    </w:rPr>
                  </w:pPr>
                  <w:r>
                    <w:rPr>
                      <w:rFonts w:hint="eastAsia"/>
                      <w:snapToGrid w:val="0"/>
                      <w:color w:val="auto"/>
                      <w:kern w:val="0"/>
                      <w:sz w:val="21"/>
                      <w:szCs w:val="18"/>
                      <w:lang w:eastAsia="zh-CN"/>
                    </w:rPr>
                    <w:t>1.</w:t>
                  </w:r>
                  <w:r>
                    <w:rPr>
                      <w:rFonts w:ascii="Times New Roman" w:hAnsi="Times New Roman" w:eastAsia="宋体"/>
                      <w:snapToGrid w:val="0"/>
                      <w:color w:val="auto"/>
                      <w:kern w:val="0"/>
                      <w:sz w:val="21"/>
                      <w:szCs w:val="18"/>
                    </w:rPr>
                    <w:t>禁止在淮河流域新建化学制浆造纸企业，禁止在淮河流域新建制革、化工、印染、电镀、酿造等污染严重的小型企业。</w:t>
                  </w:r>
                </w:p>
              </w:tc>
              <w:tc>
                <w:tcPr>
                  <w:tcW w:w="1515" w:type="pct"/>
                  <w:tcBorders>
                    <w:tl2br w:val="nil"/>
                    <w:tr2bl w:val="nil"/>
                  </w:tcBorders>
                  <w:shd w:val="clear" w:color="auto" w:fill="auto"/>
                  <w:vAlign w:val="center"/>
                </w:tcPr>
                <w:p w14:paraId="1BDF01B9">
                  <w:pPr>
                    <w:overflowPunct w:val="0"/>
                    <w:autoSpaceDE w:val="0"/>
                    <w:autoSpaceDN w:val="0"/>
                    <w:adjustRightInd w:val="0"/>
                    <w:snapToGrid w:val="0"/>
                    <w:rPr>
                      <w:rFonts w:hint="eastAsia" w:ascii="Times New Roman" w:hAnsi="Times New Roman" w:eastAsia="宋体"/>
                      <w:snapToGrid w:val="0"/>
                      <w:color w:val="auto"/>
                      <w:kern w:val="0"/>
                      <w:sz w:val="21"/>
                      <w:szCs w:val="18"/>
                      <w:lang w:eastAsia="zh-CN"/>
                    </w:rPr>
                  </w:pPr>
                  <w:r>
                    <w:rPr>
                      <w:rFonts w:ascii="Times New Roman" w:hAnsi="Times New Roman" w:eastAsia="宋体"/>
                      <w:snapToGrid w:val="0"/>
                      <w:color w:val="auto"/>
                      <w:kern w:val="0"/>
                      <w:sz w:val="21"/>
                      <w:szCs w:val="18"/>
                    </w:rPr>
                    <w:t>项目不属于制革、化工、印染、电镀、酿造等污染严重的企业</w:t>
                  </w:r>
                  <w:r>
                    <w:rPr>
                      <w:rFonts w:hint="eastAsia"/>
                      <w:snapToGrid w:val="0"/>
                      <w:color w:val="auto"/>
                      <w:kern w:val="0"/>
                      <w:sz w:val="21"/>
                      <w:szCs w:val="18"/>
                      <w:lang w:eastAsia="zh-CN"/>
                    </w:rPr>
                    <w:t>。</w:t>
                  </w:r>
                </w:p>
              </w:tc>
              <w:tc>
                <w:tcPr>
                  <w:tcW w:w="308" w:type="pct"/>
                  <w:tcBorders>
                    <w:tl2br w:val="nil"/>
                    <w:tr2bl w:val="nil"/>
                  </w:tcBorders>
                  <w:shd w:val="clear" w:color="auto" w:fill="auto"/>
                  <w:vAlign w:val="center"/>
                </w:tcPr>
                <w:p w14:paraId="5551DD17">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相符</w:t>
                  </w:r>
                </w:p>
              </w:tc>
            </w:tr>
            <w:tr w14:paraId="36975257">
              <w:trPr>
                <w:trHeight w:val="397" w:hRule="atLeast"/>
              </w:trPr>
              <w:tc>
                <w:tcPr>
                  <w:tcW w:w="350" w:type="pct"/>
                  <w:vMerge w:val="continue"/>
                  <w:tcBorders>
                    <w:tl2br w:val="nil"/>
                    <w:tr2bl w:val="nil"/>
                  </w:tcBorders>
                  <w:shd w:val="clear" w:color="auto" w:fill="auto"/>
                  <w:vAlign w:val="center"/>
                </w:tcPr>
                <w:p w14:paraId="2AC03BF6">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c>
                <w:tcPr>
                  <w:tcW w:w="2825" w:type="pct"/>
                  <w:tcBorders>
                    <w:tl2br w:val="nil"/>
                    <w:tr2bl w:val="nil"/>
                  </w:tcBorders>
                  <w:shd w:val="clear" w:color="auto" w:fill="auto"/>
                  <w:vAlign w:val="center"/>
                </w:tcPr>
                <w:p w14:paraId="2BC90889">
                  <w:pPr>
                    <w:overflowPunct w:val="0"/>
                    <w:autoSpaceDE w:val="0"/>
                    <w:autoSpaceDN w:val="0"/>
                    <w:adjustRightInd w:val="0"/>
                    <w:snapToGrid w:val="0"/>
                    <w:rPr>
                      <w:rFonts w:ascii="Times New Roman" w:hAnsi="Times New Roman" w:eastAsia="宋体"/>
                      <w:snapToGrid w:val="0"/>
                      <w:color w:val="auto"/>
                      <w:kern w:val="0"/>
                      <w:sz w:val="21"/>
                      <w:szCs w:val="18"/>
                    </w:rPr>
                  </w:pPr>
                  <w:r>
                    <w:rPr>
                      <w:rFonts w:hint="eastAsia"/>
                      <w:snapToGrid w:val="0"/>
                      <w:color w:val="auto"/>
                      <w:kern w:val="0"/>
                      <w:sz w:val="21"/>
                      <w:szCs w:val="18"/>
                      <w:lang w:eastAsia="zh-CN"/>
                    </w:rPr>
                    <w:t>2.</w:t>
                  </w:r>
                  <w:r>
                    <w:rPr>
                      <w:rFonts w:ascii="Times New Roman" w:hAnsi="Times New Roman" w:eastAsia="宋体"/>
                      <w:snapToGrid w:val="0"/>
                      <w:color w:val="auto"/>
                      <w:kern w:val="0"/>
                      <w:sz w:val="21"/>
                      <w:szCs w:val="18"/>
                    </w:rPr>
                    <w:t>落实《江苏省通榆河水污染防治条例》，在通榆河一级保护区、二级保护区，禁止新建、改建、扩建制浆、造纸、化工、制革、酿造、染料、印染、电镀、炼油、铅酸蓄电池和排放水污染物的黑色金属冶炼及压延加工项目、有色金属冶炼及压延加工项目、金属制品项目等污染环境的项目。</w:t>
                  </w:r>
                </w:p>
              </w:tc>
              <w:tc>
                <w:tcPr>
                  <w:tcW w:w="1515" w:type="pct"/>
                  <w:vMerge w:val="restart"/>
                  <w:tcBorders>
                    <w:tl2br w:val="nil"/>
                    <w:tr2bl w:val="nil"/>
                  </w:tcBorders>
                  <w:shd w:val="clear" w:color="auto" w:fill="auto"/>
                  <w:vAlign w:val="center"/>
                </w:tcPr>
                <w:p w14:paraId="5A594423">
                  <w:pPr>
                    <w:overflowPunct w:val="0"/>
                    <w:autoSpaceDE w:val="0"/>
                    <w:autoSpaceDN w:val="0"/>
                    <w:adjustRightInd w:val="0"/>
                    <w:snapToGrid w:val="0"/>
                    <w:rPr>
                      <w:rFonts w:hint="eastAsia" w:ascii="Times New Roman" w:hAnsi="Times New Roman" w:eastAsia="宋体"/>
                      <w:snapToGrid w:val="0"/>
                      <w:color w:val="auto"/>
                      <w:kern w:val="0"/>
                      <w:sz w:val="21"/>
                      <w:szCs w:val="18"/>
                      <w:lang w:eastAsia="zh-CN"/>
                    </w:rPr>
                  </w:pPr>
                  <w:r>
                    <w:rPr>
                      <w:rFonts w:ascii="Times New Roman" w:hAnsi="Times New Roman" w:eastAsia="宋体"/>
                      <w:snapToGrid w:val="0"/>
                      <w:color w:val="auto"/>
                      <w:kern w:val="0"/>
                      <w:sz w:val="21"/>
                      <w:szCs w:val="18"/>
                    </w:rPr>
                    <w:t>项目不涉及通榆河一级保护区、二级保护区</w:t>
                  </w:r>
                  <w:r>
                    <w:rPr>
                      <w:rFonts w:hint="eastAsia"/>
                      <w:snapToGrid w:val="0"/>
                      <w:color w:val="auto"/>
                      <w:kern w:val="0"/>
                      <w:sz w:val="21"/>
                      <w:szCs w:val="18"/>
                      <w:lang w:eastAsia="zh-CN"/>
                    </w:rPr>
                    <w:t>。</w:t>
                  </w:r>
                </w:p>
              </w:tc>
              <w:tc>
                <w:tcPr>
                  <w:tcW w:w="308" w:type="pct"/>
                  <w:vMerge w:val="restart"/>
                  <w:tcBorders>
                    <w:tl2br w:val="nil"/>
                    <w:tr2bl w:val="nil"/>
                  </w:tcBorders>
                  <w:shd w:val="clear" w:color="auto" w:fill="auto"/>
                  <w:vAlign w:val="center"/>
                </w:tcPr>
                <w:p w14:paraId="2D97E0C9">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相符</w:t>
                  </w:r>
                </w:p>
              </w:tc>
            </w:tr>
            <w:tr w14:paraId="33820BD1">
              <w:trPr>
                <w:trHeight w:val="397" w:hRule="atLeast"/>
              </w:trPr>
              <w:tc>
                <w:tcPr>
                  <w:tcW w:w="350" w:type="pct"/>
                  <w:vMerge w:val="continue"/>
                  <w:tcBorders>
                    <w:tl2br w:val="nil"/>
                    <w:tr2bl w:val="nil"/>
                  </w:tcBorders>
                  <w:shd w:val="clear" w:color="auto" w:fill="auto"/>
                  <w:vAlign w:val="center"/>
                </w:tcPr>
                <w:p w14:paraId="663EACD8">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c>
                <w:tcPr>
                  <w:tcW w:w="2825" w:type="pct"/>
                  <w:tcBorders>
                    <w:tl2br w:val="nil"/>
                    <w:tr2bl w:val="nil"/>
                  </w:tcBorders>
                  <w:shd w:val="clear" w:color="auto" w:fill="auto"/>
                  <w:vAlign w:val="center"/>
                </w:tcPr>
                <w:p w14:paraId="0D79C120">
                  <w:pPr>
                    <w:overflowPunct w:val="0"/>
                    <w:autoSpaceDE w:val="0"/>
                    <w:autoSpaceDN w:val="0"/>
                    <w:adjustRightInd w:val="0"/>
                    <w:snapToGrid w:val="0"/>
                    <w:rPr>
                      <w:rFonts w:ascii="Times New Roman" w:hAnsi="Times New Roman" w:eastAsia="宋体"/>
                      <w:snapToGrid w:val="0"/>
                      <w:color w:val="auto"/>
                      <w:kern w:val="0"/>
                      <w:sz w:val="21"/>
                      <w:szCs w:val="18"/>
                    </w:rPr>
                  </w:pPr>
                  <w:r>
                    <w:rPr>
                      <w:rFonts w:hint="eastAsia"/>
                      <w:snapToGrid w:val="0"/>
                      <w:color w:val="auto"/>
                      <w:kern w:val="0"/>
                      <w:sz w:val="21"/>
                      <w:szCs w:val="18"/>
                      <w:lang w:eastAsia="zh-CN"/>
                    </w:rPr>
                    <w:t>3.</w:t>
                  </w:r>
                  <w:r>
                    <w:rPr>
                      <w:rFonts w:ascii="Times New Roman" w:hAnsi="Times New Roman" w:eastAsia="宋体"/>
                      <w:snapToGrid w:val="0"/>
                      <w:color w:val="auto"/>
                      <w:kern w:val="0"/>
                      <w:sz w:val="21"/>
                      <w:szCs w:val="18"/>
                    </w:rPr>
                    <w:t>在通榆河一级保护区，禁止新建、扩建直接或者间接向水体排放污染物的项目，禁止建设工业固体废物集中贮存、利用、处置设施或者场所以及城市生活垃圾填埋场，禁止新建规模化畜禽养殖场。</w:t>
                  </w:r>
                </w:p>
              </w:tc>
              <w:tc>
                <w:tcPr>
                  <w:tcW w:w="1515" w:type="pct"/>
                  <w:vMerge w:val="continue"/>
                  <w:tcBorders>
                    <w:tl2br w:val="nil"/>
                    <w:tr2bl w:val="nil"/>
                  </w:tcBorders>
                  <w:shd w:val="clear" w:color="auto" w:fill="auto"/>
                  <w:vAlign w:val="center"/>
                </w:tcPr>
                <w:p w14:paraId="12F29642">
                  <w:pPr>
                    <w:overflowPunct w:val="0"/>
                    <w:autoSpaceDE w:val="0"/>
                    <w:autoSpaceDN w:val="0"/>
                    <w:adjustRightInd w:val="0"/>
                    <w:snapToGrid w:val="0"/>
                    <w:rPr>
                      <w:rFonts w:ascii="Times New Roman" w:hAnsi="Times New Roman" w:eastAsia="宋体"/>
                      <w:snapToGrid w:val="0"/>
                      <w:color w:val="auto"/>
                      <w:kern w:val="0"/>
                      <w:sz w:val="21"/>
                      <w:szCs w:val="18"/>
                    </w:rPr>
                  </w:pPr>
                </w:p>
              </w:tc>
              <w:tc>
                <w:tcPr>
                  <w:tcW w:w="308" w:type="pct"/>
                  <w:vMerge w:val="continue"/>
                  <w:tcBorders>
                    <w:tl2br w:val="nil"/>
                    <w:tr2bl w:val="nil"/>
                  </w:tcBorders>
                  <w:shd w:val="clear" w:color="auto" w:fill="auto"/>
                  <w:vAlign w:val="center"/>
                </w:tcPr>
                <w:p w14:paraId="7F7B2D33">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r>
            <w:tr w14:paraId="24DD28E8">
              <w:trPr>
                <w:trHeight w:val="397" w:hRule="atLeast"/>
              </w:trPr>
              <w:tc>
                <w:tcPr>
                  <w:tcW w:w="350" w:type="pct"/>
                  <w:tcBorders>
                    <w:tl2br w:val="nil"/>
                    <w:tr2bl w:val="nil"/>
                  </w:tcBorders>
                  <w:shd w:val="clear" w:color="auto" w:fill="auto"/>
                  <w:vAlign w:val="center"/>
                </w:tcPr>
                <w:p w14:paraId="1F0C285F">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污染物排放管控</w:t>
                  </w:r>
                </w:p>
              </w:tc>
              <w:tc>
                <w:tcPr>
                  <w:tcW w:w="2825" w:type="pct"/>
                  <w:tcBorders>
                    <w:tl2br w:val="nil"/>
                    <w:tr2bl w:val="nil"/>
                  </w:tcBorders>
                  <w:shd w:val="clear" w:color="auto" w:fill="auto"/>
                  <w:vAlign w:val="center"/>
                </w:tcPr>
                <w:p w14:paraId="30757704">
                  <w:pPr>
                    <w:overflowPunct w:val="0"/>
                    <w:autoSpaceDE w:val="0"/>
                    <w:autoSpaceDN w:val="0"/>
                    <w:adjustRightInd w:val="0"/>
                    <w:snapToGrid w:val="0"/>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按照《淮河流域水污染防治暂行条例》实施排污总量控制制度。</w:t>
                  </w:r>
                </w:p>
              </w:tc>
              <w:tc>
                <w:tcPr>
                  <w:tcW w:w="1515" w:type="pct"/>
                  <w:tcBorders>
                    <w:tl2br w:val="nil"/>
                    <w:tr2bl w:val="nil"/>
                  </w:tcBorders>
                  <w:shd w:val="clear" w:color="auto" w:fill="auto"/>
                  <w:vAlign w:val="center"/>
                </w:tcPr>
                <w:p w14:paraId="25639844">
                  <w:pPr>
                    <w:overflowPunct w:val="0"/>
                    <w:autoSpaceDE w:val="0"/>
                    <w:autoSpaceDN w:val="0"/>
                    <w:adjustRightInd w:val="0"/>
                    <w:snapToGrid w:val="0"/>
                    <w:rPr>
                      <w:rFonts w:hint="eastAsia" w:ascii="Times New Roman" w:hAnsi="Times New Roman" w:eastAsia="宋体"/>
                      <w:snapToGrid w:val="0"/>
                      <w:color w:val="auto"/>
                      <w:kern w:val="0"/>
                      <w:sz w:val="21"/>
                      <w:szCs w:val="18"/>
                      <w:lang w:eastAsia="zh-CN"/>
                    </w:rPr>
                  </w:pPr>
                  <w:r>
                    <w:rPr>
                      <w:rFonts w:ascii="Times New Roman" w:hAnsi="Times New Roman" w:eastAsia="宋体"/>
                      <w:snapToGrid w:val="0"/>
                      <w:color w:val="auto"/>
                      <w:kern w:val="0"/>
                      <w:sz w:val="21"/>
                      <w:szCs w:val="18"/>
                    </w:rPr>
                    <w:t>本次项目污染物均可在涟水县范围内平衡</w:t>
                  </w:r>
                  <w:r>
                    <w:rPr>
                      <w:rFonts w:hint="eastAsia"/>
                      <w:snapToGrid w:val="0"/>
                      <w:color w:val="auto"/>
                      <w:kern w:val="0"/>
                      <w:sz w:val="21"/>
                      <w:szCs w:val="18"/>
                      <w:lang w:eastAsia="zh-CN"/>
                    </w:rPr>
                    <w:t>。</w:t>
                  </w:r>
                </w:p>
              </w:tc>
              <w:tc>
                <w:tcPr>
                  <w:tcW w:w="308" w:type="pct"/>
                  <w:tcBorders>
                    <w:tl2br w:val="nil"/>
                    <w:tr2bl w:val="nil"/>
                  </w:tcBorders>
                  <w:shd w:val="clear" w:color="auto" w:fill="auto"/>
                  <w:vAlign w:val="center"/>
                </w:tcPr>
                <w:p w14:paraId="78D52AF0">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相符</w:t>
                  </w:r>
                </w:p>
              </w:tc>
            </w:tr>
            <w:tr w14:paraId="2906DE89">
              <w:trPr>
                <w:trHeight w:val="397" w:hRule="atLeast"/>
              </w:trPr>
              <w:tc>
                <w:tcPr>
                  <w:tcW w:w="350" w:type="pct"/>
                  <w:tcBorders>
                    <w:tl2br w:val="nil"/>
                    <w:tr2bl w:val="nil"/>
                  </w:tcBorders>
                  <w:shd w:val="clear" w:color="auto" w:fill="auto"/>
                  <w:vAlign w:val="center"/>
                </w:tcPr>
                <w:p w14:paraId="53771F87">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环境风险防控</w:t>
                  </w:r>
                </w:p>
              </w:tc>
              <w:tc>
                <w:tcPr>
                  <w:tcW w:w="2825" w:type="pct"/>
                  <w:tcBorders>
                    <w:tl2br w:val="nil"/>
                    <w:tr2bl w:val="nil"/>
                  </w:tcBorders>
                  <w:shd w:val="clear" w:color="auto" w:fill="auto"/>
                  <w:vAlign w:val="center"/>
                </w:tcPr>
                <w:p w14:paraId="1C015051">
                  <w:pPr>
                    <w:overflowPunct w:val="0"/>
                    <w:autoSpaceDE w:val="0"/>
                    <w:autoSpaceDN w:val="0"/>
                    <w:adjustRightInd w:val="0"/>
                    <w:snapToGrid w:val="0"/>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禁止运输剧毒化学品以及国家规定禁止通过内河运输的其他危险化学品的船舶进入通榆河及主要供水河道。</w:t>
                  </w:r>
                </w:p>
              </w:tc>
              <w:tc>
                <w:tcPr>
                  <w:tcW w:w="1515" w:type="pct"/>
                  <w:tcBorders>
                    <w:tl2br w:val="nil"/>
                    <w:tr2bl w:val="nil"/>
                  </w:tcBorders>
                  <w:shd w:val="clear" w:color="auto" w:fill="auto"/>
                  <w:vAlign w:val="center"/>
                </w:tcPr>
                <w:p w14:paraId="7972F7D5">
                  <w:pPr>
                    <w:overflowPunct w:val="0"/>
                    <w:autoSpaceDE w:val="0"/>
                    <w:autoSpaceDN w:val="0"/>
                    <w:adjustRightInd w:val="0"/>
                    <w:snapToGrid w:val="0"/>
                    <w:rPr>
                      <w:rFonts w:hint="eastAsia" w:ascii="Times New Roman" w:hAnsi="Times New Roman" w:eastAsia="宋体"/>
                      <w:snapToGrid w:val="0"/>
                      <w:color w:val="auto"/>
                      <w:kern w:val="0"/>
                      <w:sz w:val="21"/>
                      <w:szCs w:val="18"/>
                      <w:lang w:eastAsia="zh-CN"/>
                    </w:rPr>
                  </w:pPr>
                  <w:r>
                    <w:rPr>
                      <w:rFonts w:ascii="Times New Roman" w:hAnsi="Times New Roman" w:eastAsia="宋体"/>
                      <w:snapToGrid w:val="0"/>
                      <w:color w:val="auto"/>
                      <w:kern w:val="0"/>
                      <w:sz w:val="21"/>
                      <w:szCs w:val="18"/>
                    </w:rPr>
                    <w:t>本次项目物料采用公路运输，不涉及通榆河及主要供水河道的内河运输</w:t>
                  </w:r>
                  <w:r>
                    <w:rPr>
                      <w:rFonts w:hint="eastAsia"/>
                      <w:snapToGrid w:val="0"/>
                      <w:color w:val="auto"/>
                      <w:kern w:val="0"/>
                      <w:sz w:val="21"/>
                      <w:szCs w:val="18"/>
                      <w:lang w:eastAsia="zh-CN"/>
                    </w:rPr>
                    <w:t>。</w:t>
                  </w:r>
                </w:p>
              </w:tc>
              <w:tc>
                <w:tcPr>
                  <w:tcW w:w="308" w:type="pct"/>
                  <w:tcBorders>
                    <w:tl2br w:val="nil"/>
                    <w:tr2bl w:val="nil"/>
                  </w:tcBorders>
                  <w:shd w:val="clear" w:color="auto" w:fill="auto"/>
                  <w:vAlign w:val="center"/>
                </w:tcPr>
                <w:p w14:paraId="4A9AA05D">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相符</w:t>
                  </w:r>
                </w:p>
              </w:tc>
            </w:tr>
            <w:tr w14:paraId="7BF50FF9">
              <w:trPr>
                <w:trHeight w:val="397" w:hRule="atLeast"/>
              </w:trPr>
              <w:tc>
                <w:tcPr>
                  <w:tcW w:w="350" w:type="pct"/>
                  <w:tcBorders>
                    <w:tl2br w:val="nil"/>
                    <w:tr2bl w:val="nil"/>
                  </w:tcBorders>
                  <w:shd w:val="clear" w:color="auto" w:fill="auto"/>
                  <w:vAlign w:val="center"/>
                </w:tcPr>
                <w:p w14:paraId="079403F1">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资源利用效率要求</w:t>
                  </w:r>
                </w:p>
              </w:tc>
              <w:tc>
                <w:tcPr>
                  <w:tcW w:w="2825" w:type="pct"/>
                  <w:tcBorders>
                    <w:tl2br w:val="nil"/>
                    <w:tr2bl w:val="nil"/>
                  </w:tcBorders>
                  <w:shd w:val="clear" w:color="auto" w:fill="auto"/>
                  <w:vAlign w:val="center"/>
                </w:tcPr>
                <w:p w14:paraId="5467E3AE">
                  <w:pPr>
                    <w:overflowPunct w:val="0"/>
                    <w:autoSpaceDE w:val="0"/>
                    <w:autoSpaceDN w:val="0"/>
                    <w:adjustRightInd w:val="0"/>
                    <w:snapToGrid w:val="0"/>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限制缺水地区发展耗水型产业，调整缺水地区的产业结构，严格控制高耗水、高耗能和重污染的建设项目。</w:t>
                  </w:r>
                </w:p>
              </w:tc>
              <w:tc>
                <w:tcPr>
                  <w:tcW w:w="1515" w:type="pct"/>
                  <w:tcBorders>
                    <w:tl2br w:val="nil"/>
                    <w:tr2bl w:val="nil"/>
                  </w:tcBorders>
                  <w:shd w:val="clear" w:color="auto" w:fill="auto"/>
                  <w:vAlign w:val="center"/>
                </w:tcPr>
                <w:p w14:paraId="30966DB8">
                  <w:pPr>
                    <w:overflowPunct w:val="0"/>
                    <w:autoSpaceDE w:val="0"/>
                    <w:autoSpaceDN w:val="0"/>
                    <w:adjustRightInd w:val="0"/>
                    <w:snapToGrid w:val="0"/>
                    <w:rPr>
                      <w:rFonts w:hint="eastAsia" w:ascii="Times New Roman" w:hAnsi="Times New Roman" w:eastAsia="宋体"/>
                      <w:snapToGrid w:val="0"/>
                      <w:color w:val="auto"/>
                      <w:kern w:val="0"/>
                      <w:sz w:val="21"/>
                      <w:szCs w:val="18"/>
                      <w:lang w:eastAsia="zh-CN"/>
                    </w:rPr>
                  </w:pPr>
                  <w:r>
                    <w:rPr>
                      <w:rFonts w:ascii="Times New Roman" w:hAnsi="Times New Roman" w:eastAsia="宋体"/>
                      <w:snapToGrid w:val="0"/>
                      <w:color w:val="auto"/>
                      <w:kern w:val="0"/>
                      <w:sz w:val="21"/>
                      <w:szCs w:val="18"/>
                    </w:rPr>
                    <w:t>项目所在区域不属于缺水地区</w:t>
                  </w:r>
                  <w:r>
                    <w:rPr>
                      <w:rFonts w:hint="eastAsia"/>
                      <w:snapToGrid w:val="0"/>
                      <w:color w:val="auto"/>
                      <w:kern w:val="0"/>
                      <w:sz w:val="21"/>
                      <w:szCs w:val="18"/>
                      <w:lang w:eastAsia="zh-CN"/>
                    </w:rPr>
                    <w:t>。</w:t>
                  </w:r>
                </w:p>
              </w:tc>
              <w:tc>
                <w:tcPr>
                  <w:tcW w:w="308" w:type="pct"/>
                  <w:tcBorders>
                    <w:tl2br w:val="nil"/>
                    <w:tr2bl w:val="nil"/>
                  </w:tcBorders>
                  <w:shd w:val="clear" w:color="auto" w:fill="auto"/>
                  <w:vAlign w:val="center"/>
                </w:tcPr>
                <w:p w14:paraId="15FBE7B7">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相符</w:t>
                  </w:r>
                </w:p>
              </w:tc>
            </w:tr>
          </w:tbl>
          <w:p w14:paraId="3685F9A9">
            <w:pPr>
              <w:pStyle w:val="5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eastAsia="宋体"/>
                <w:color w:val="auto"/>
                <w:sz w:val="24"/>
                <w:lang w:val="en-US" w:eastAsia="zh-CN"/>
              </w:rPr>
            </w:pPr>
            <w:r>
              <w:rPr>
                <w:rFonts w:hint="eastAsia" w:eastAsia="宋体"/>
                <w:color w:val="auto"/>
                <w:sz w:val="24"/>
                <w:lang w:val="en-US" w:eastAsia="zh-CN"/>
              </w:rPr>
              <w:t>根据上表可知，本项目与《江苏省2023年度生态环境分区管控动态更新成果》是相符的。</w:t>
            </w:r>
          </w:p>
          <w:p w14:paraId="46F666E0">
            <w:pPr>
              <w:pStyle w:val="5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eastAsia="宋体"/>
                <w:color w:val="auto"/>
                <w:sz w:val="24"/>
              </w:rPr>
            </w:pPr>
            <w:r>
              <w:rPr>
                <w:rFonts w:eastAsia="宋体"/>
                <w:color w:val="auto"/>
                <w:sz w:val="24"/>
              </w:rPr>
              <w:t>对照</w:t>
            </w:r>
            <w:r>
              <w:rPr>
                <w:rFonts w:hint="eastAsia" w:eastAsia="宋体"/>
                <w:color w:val="auto"/>
                <w:sz w:val="24"/>
              </w:rPr>
              <w:t>《淮安市生态环境分区管控动态更新成果》（2023版）更新的生态环境管控要求分析本次项目相符性，</w:t>
            </w:r>
            <w:r>
              <w:rPr>
                <w:rFonts w:eastAsia="宋体"/>
                <w:color w:val="auto"/>
                <w:sz w:val="24"/>
              </w:rPr>
              <w:t>相符性分析见</w:t>
            </w:r>
            <w:r>
              <w:rPr>
                <w:rFonts w:hint="eastAsia" w:eastAsia="宋体"/>
                <w:color w:val="auto"/>
                <w:sz w:val="24"/>
                <w:lang w:val="en-US" w:eastAsia="zh-CN"/>
              </w:rPr>
              <w:t>下表</w:t>
            </w:r>
            <w:r>
              <w:rPr>
                <w:rFonts w:eastAsia="宋体"/>
                <w:color w:val="auto"/>
                <w:sz w:val="24"/>
              </w:rPr>
              <w:t>。</w:t>
            </w:r>
          </w:p>
          <w:p w14:paraId="75D56C40">
            <w:pPr>
              <w:pStyle w:val="54"/>
              <w:rPr>
                <w:rFonts w:hint="eastAsia"/>
                <w:color w:val="auto"/>
                <w:spacing w:val="0"/>
              </w:rPr>
            </w:pPr>
            <w:r>
              <w:rPr>
                <w:rFonts w:hint="eastAsia" w:ascii="Times New Roman" w:hAnsi="Times New Roman" w:eastAsia="宋体" w:cs="Times New Roman"/>
                <w:b/>
                <w:bCs/>
                <w:color w:val="auto"/>
                <w:spacing w:val="0"/>
                <w:kern w:val="2"/>
                <w:sz w:val="21"/>
                <w:szCs w:val="21"/>
                <w:lang w:val="en-US" w:eastAsia="zh-CN" w:bidi="ar-SA"/>
              </w:rPr>
              <w:t>表1</w:t>
            </w:r>
            <w:r>
              <w:rPr>
                <w:rFonts w:hint="default" w:ascii="Times New Roman" w:hAnsi="Times New Roman" w:eastAsia="宋体" w:cs="Times New Roman"/>
                <w:b/>
                <w:bCs/>
                <w:color w:val="auto"/>
                <w:spacing w:val="0"/>
                <w:kern w:val="2"/>
                <w:sz w:val="21"/>
                <w:szCs w:val="21"/>
                <w:lang w:val="en-US" w:eastAsia="zh-CN" w:bidi="ar-SA"/>
              </w:rPr>
              <w:t>-</w:t>
            </w:r>
            <w:r>
              <w:rPr>
                <w:rFonts w:hint="eastAsia" w:hAnsi="Times New Roman" w:eastAsia="宋体" w:cs="Times New Roman"/>
                <w:b/>
                <w:bCs/>
                <w:color w:val="auto"/>
                <w:spacing w:val="0"/>
                <w:kern w:val="2"/>
                <w:sz w:val="21"/>
                <w:szCs w:val="21"/>
                <w:lang w:val="en-US" w:eastAsia="zh-CN" w:bidi="ar-SA"/>
              </w:rPr>
              <w:t>7  项目</w:t>
            </w:r>
            <w:r>
              <w:rPr>
                <w:rFonts w:hint="default" w:ascii="Times New Roman" w:hAnsi="Times New Roman" w:eastAsia="宋体" w:cs="Times New Roman"/>
                <w:b/>
                <w:bCs/>
                <w:color w:val="auto"/>
                <w:spacing w:val="0"/>
                <w:kern w:val="2"/>
                <w:sz w:val="21"/>
                <w:szCs w:val="21"/>
                <w:lang w:val="en-US" w:eastAsia="zh-CN" w:bidi="ar-SA"/>
              </w:rPr>
              <w:t>与</w:t>
            </w:r>
            <w:r>
              <w:rPr>
                <w:rFonts w:hint="eastAsia" w:ascii="Times New Roman" w:hAnsi="Times New Roman" w:eastAsia="宋体" w:cs="Times New Roman"/>
                <w:b/>
                <w:bCs/>
                <w:color w:val="auto"/>
                <w:spacing w:val="0"/>
                <w:kern w:val="2"/>
                <w:sz w:val="21"/>
                <w:szCs w:val="21"/>
                <w:lang w:val="en-US" w:eastAsia="zh-CN" w:bidi="ar-SA"/>
              </w:rPr>
              <w:t>《淮安市生态环境分区管控动态更新成果》（2023版）</w:t>
            </w:r>
            <w:r>
              <w:rPr>
                <w:rFonts w:hint="default" w:ascii="Times New Roman" w:hAnsi="Times New Roman" w:eastAsia="宋体" w:cs="Times New Roman"/>
                <w:b/>
                <w:bCs/>
                <w:color w:val="auto"/>
                <w:spacing w:val="0"/>
                <w:kern w:val="2"/>
                <w:sz w:val="21"/>
                <w:szCs w:val="21"/>
                <w:lang w:val="en-US" w:eastAsia="zh-CN" w:bidi="ar-SA"/>
              </w:rPr>
              <w:t>相符性分析</w:t>
            </w:r>
          </w:p>
          <w:tbl>
            <w:tblPr>
              <w:tblStyle w:val="20"/>
              <w:tblpPr w:bottomFromText="170" w:vertAnchor="text" w:tblpXSpec="center"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1" w:type="dxa"/>
                <w:left w:w="11" w:type="dxa"/>
                <w:bottom w:w="11" w:type="dxa"/>
                <w:right w:w="11" w:type="dxa"/>
              </w:tblCellMar>
            </w:tblPr>
            <w:tblGrid>
              <w:gridCol w:w="610"/>
              <w:gridCol w:w="4870"/>
              <w:gridCol w:w="1672"/>
              <w:gridCol w:w="685"/>
            </w:tblGrid>
            <w:tr w14:paraId="47568B44">
              <w:trPr>
                <w:trHeight w:val="20" w:hRule="atLeast"/>
              </w:trPr>
              <w:tc>
                <w:tcPr>
                  <w:tcW w:w="389" w:type="pct"/>
                  <w:tcBorders>
                    <w:tl2br w:val="nil"/>
                    <w:tr2bl w:val="nil"/>
                  </w:tcBorders>
                  <w:shd w:val="clear" w:color="auto" w:fill="auto"/>
                  <w:vAlign w:val="center"/>
                </w:tcPr>
                <w:p w14:paraId="17A6BB07">
                  <w:pPr>
                    <w:overflowPunct w:val="0"/>
                    <w:autoSpaceDE w:val="0"/>
                    <w:autoSpaceDN w:val="0"/>
                    <w:adjustRightInd w:val="0"/>
                    <w:snapToGrid w:val="0"/>
                    <w:jc w:val="center"/>
                    <w:rPr>
                      <w:rFonts w:ascii="Times New Roman" w:hAnsi="Times New Roman" w:eastAsia="宋体"/>
                      <w:bCs/>
                      <w:snapToGrid w:val="0"/>
                      <w:color w:val="auto"/>
                      <w:kern w:val="0"/>
                      <w:sz w:val="21"/>
                      <w:szCs w:val="18"/>
                    </w:rPr>
                  </w:pPr>
                  <w:r>
                    <w:rPr>
                      <w:rFonts w:ascii="Times New Roman" w:hAnsi="Times New Roman" w:eastAsia="宋体"/>
                      <w:bCs/>
                      <w:snapToGrid w:val="0"/>
                      <w:color w:val="auto"/>
                      <w:kern w:val="0"/>
                      <w:sz w:val="21"/>
                      <w:szCs w:val="18"/>
                    </w:rPr>
                    <w:t>管控</w:t>
                  </w:r>
                </w:p>
                <w:p w14:paraId="7261C50B">
                  <w:pPr>
                    <w:overflowPunct w:val="0"/>
                    <w:autoSpaceDE w:val="0"/>
                    <w:autoSpaceDN w:val="0"/>
                    <w:adjustRightInd w:val="0"/>
                    <w:snapToGrid w:val="0"/>
                    <w:jc w:val="center"/>
                    <w:rPr>
                      <w:rFonts w:ascii="Times New Roman" w:hAnsi="Times New Roman" w:eastAsia="宋体"/>
                      <w:bCs/>
                      <w:snapToGrid w:val="0"/>
                      <w:color w:val="auto"/>
                      <w:kern w:val="0"/>
                      <w:sz w:val="21"/>
                      <w:szCs w:val="18"/>
                    </w:rPr>
                  </w:pPr>
                  <w:r>
                    <w:rPr>
                      <w:rFonts w:ascii="Times New Roman" w:hAnsi="Times New Roman" w:eastAsia="宋体"/>
                      <w:bCs/>
                      <w:snapToGrid w:val="0"/>
                      <w:color w:val="auto"/>
                      <w:kern w:val="0"/>
                      <w:sz w:val="21"/>
                      <w:szCs w:val="18"/>
                    </w:rPr>
                    <w:t>类别</w:t>
                  </w:r>
                </w:p>
              </w:tc>
              <w:tc>
                <w:tcPr>
                  <w:tcW w:w="3107" w:type="pct"/>
                  <w:tcBorders>
                    <w:tl2br w:val="nil"/>
                    <w:tr2bl w:val="nil"/>
                  </w:tcBorders>
                  <w:shd w:val="clear" w:color="auto" w:fill="auto"/>
                  <w:vAlign w:val="center"/>
                </w:tcPr>
                <w:p w14:paraId="2BD13E78">
                  <w:pPr>
                    <w:overflowPunct w:val="0"/>
                    <w:autoSpaceDE w:val="0"/>
                    <w:autoSpaceDN w:val="0"/>
                    <w:adjustRightInd w:val="0"/>
                    <w:snapToGrid w:val="0"/>
                    <w:jc w:val="center"/>
                    <w:rPr>
                      <w:rFonts w:ascii="Times New Roman" w:hAnsi="Times New Roman" w:eastAsia="宋体"/>
                      <w:bCs/>
                      <w:snapToGrid w:val="0"/>
                      <w:color w:val="auto"/>
                      <w:kern w:val="0"/>
                      <w:sz w:val="21"/>
                      <w:szCs w:val="18"/>
                    </w:rPr>
                  </w:pPr>
                  <w:r>
                    <w:rPr>
                      <w:rFonts w:ascii="Times New Roman" w:hAnsi="Times New Roman" w:eastAsia="宋体"/>
                      <w:bCs/>
                      <w:snapToGrid w:val="0"/>
                      <w:color w:val="auto"/>
                      <w:kern w:val="0"/>
                      <w:sz w:val="21"/>
                      <w:szCs w:val="18"/>
                    </w:rPr>
                    <w:t>管控要求（2023年版）</w:t>
                  </w:r>
                </w:p>
              </w:tc>
              <w:tc>
                <w:tcPr>
                  <w:tcW w:w="1067" w:type="pct"/>
                  <w:tcBorders>
                    <w:tl2br w:val="nil"/>
                    <w:tr2bl w:val="nil"/>
                  </w:tcBorders>
                  <w:shd w:val="clear" w:color="auto" w:fill="auto"/>
                  <w:vAlign w:val="center"/>
                </w:tcPr>
                <w:p w14:paraId="155644A8">
                  <w:pPr>
                    <w:overflowPunct w:val="0"/>
                    <w:autoSpaceDE w:val="0"/>
                    <w:autoSpaceDN w:val="0"/>
                    <w:adjustRightInd w:val="0"/>
                    <w:snapToGrid w:val="0"/>
                    <w:jc w:val="center"/>
                    <w:rPr>
                      <w:rFonts w:ascii="Times New Roman" w:hAnsi="Times New Roman" w:eastAsia="宋体"/>
                      <w:bCs/>
                      <w:snapToGrid w:val="0"/>
                      <w:color w:val="auto"/>
                      <w:kern w:val="0"/>
                      <w:sz w:val="21"/>
                      <w:szCs w:val="18"/>
                    </w:rPr>
                  </w:pPr>
                  <w:r>
                    <w:rPr>
                      <w:rFonts w:ascii="Times New Roman" w:hAnsi="Times New Roman" w:eastAsia="宋体"/>
                      <w:bCs/>
                      <w:snapToGrid w:val="0"/>
                      <w:color w:val="auto"/>
                      <w:kern w:val="0"/>
                      <w:sz w:val="21"/>
                      <w:szCs w:val="18"/>
                    </w:rPr>
                    <w:t>项目情况</w:t>
                  </w:r>
                </w:p>
              </w:tc>
              <w:tc>
                <w:tcPr>
                  <w:tcW w:w="437" w:type="pct"/>
                  <w:tcBorders>
                    <w:tl2br w:val="nil"/>
                    <w:tr2bl w:val="nil"/>
                  </w:tcBorders>
                  <w:shd w:val="clear" w:color="auto" w:fill="auto"/>
                  <w:vAlign w:val="center"/>
                </w:tcPr>
                <w:p w14:paraId="2994AA50">
                  <w:pPr>
                    <w:overflowPunct w:val="0"/>
                    <w:autoSpaceDE w:val="0"/>
                    <w:autoSpaceDN w:val="0"/>
                    <w:adjustRightInd w:val="0"/>
                    <w:snapToGrid w:val="0"/>
                    <w:jc w:val="center"/>
                    <w:rPr>
                      <w:rFonts w:ascii="Times New Roman" w:hAnsi="Times New Roman" w:eastAsia="宋体"/>
                      <w:bCs/>
                      <w:snapToGrid w:val="0"/>
                      <w:color w:val="auto"/>
                      <w:kern w:val="0"/>
                      <w:sz w:val="21"/>
                      <w:szCs w:val="18"/>
                    </w:rPr>
                  </w:pPr>
                  <w:r>
                    <w:rPr>
                      <w:rFonts w:ascii="Times New Roman" w:hAnsi="Times New Roman" w:eastAsia="宋体"/>
                      <w:bCs/>
                      <w:snapToGrid w:val="0"/>
                      <w:color w:val="auto"/>
                      <w:kern w:val="0"/>
                      <w:sz w:val="21"/>
                      <w:szCs w:val="18"/>
                    </w:rPr>
                    <w:t>符合性</w:t>
                  </w:r>
                </w:p>
              </w:tc>
            </w:tr>
            <w:tr w14:paraId="1C2555A2">
              <w:trPr>
                <w:trHeight w:val="20" w:hRule="atLeast"/>
              </w:trPr>
              <w:tc>
                <w:tcPr>
                  <w:tcW w:w="389" w:type="pct"/>
                  <w:vMerge w:val="restart"/>
                  <w:tcBorders>
                    <w:tl2br w:val="nil"/>
                    <w:tr2bl w:val="nil"/>
                  </w:tcBorders>
                  <w:shd w:val="clear" w:color="auto" w:fill="auto"/>
                  <w:vAlign w:val="center"/>
                </w:tcPr>
                <w:p w14:paraId="5E297F20">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空间布局约束</w:t>
                  </w:r>
                </w:p>
              </w:tc>
              <w:tc>
                <w:tcPr>
                  <w:tcW w:w="3107" w:type="pct"/>
                  <w:tcBorders>
                    <w:tl2br w:val="nil"/>
                    <w:tr2bl w:val="nil"/>
                  </w:tcBorders>
                  <w:shd w:val="clear" w:color="auto" w:fill="auto"/>
                  <w:vAlign w:val="center"/>
                </w:tcPr>
                <w:p w14:paraId="78FEDD24">
                  <w:pPr>
                    <w:overflowPunct w:val="0"/>
                    <w:autoSpaceDE w:val="0"/>
                    <w:autoSpaceDN w:val="0"/>
                    <w:adjustRightInd w:val="0"/>
                    <w:snapToGrid w:val="0"/>
                    <w:ind w:firstLine="420" w:firstLineChars="200"/>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1.严格执行《中共江苏省委江苏省人民政府关于深入打好污染防治攻坚战的实施意见》（2022年1月24日）、《淮安市深入打好净土保卫战实施方案》（淮污防攻坚指办〔2023〕17号）、《淮安市生态碧水三年行动方案》（淮政发〔2022〕12号）等文件要求。</w:t>
                  </w:r>
                </w:p>
              </w:tc>
              <w:tc>
                <w:tcPr>
                  <w:tcW w:w="1067" w:type="pct"/>
                  <w:vMerge w:val="restart"/>
                  <w:tcBorders>
                    <w:tl2br w:val="nil"/>
                    <w:tr2bl w:val="nil"/>
                  </w:tcBorders>
                  <w:shd w:val="clear" w:color="auto" w:fill="auto"/>
                  <w:vAlign w:val="center"/>
                </w:tcPr>
                <w:p w14:paraId="6476AB35">
                  <w:pPr>
                    <w:overflowPunct w:val="0"/>
                    <w:autoSpaceDE w:val="0"/>
                    <w:autoSpaceDN w:val="0"/>
                    <w:adjustRightInd w:val="0"/>
                    <w:snapToGrid w:val="0"/>
                    <w:ind w:firstLine="420" w:firstLineChars="200"/>
                    <w:rPr>
                      <w:rFonts w:hint="eastAsia" w:ascii="Times New Roman" w:hAnsi="Times New Roman" w:eastAsia="宋体"/>
                      <w:snapToGrid w:val="0"/>
                      <w:color w:val="auto"/>
                      <w:kern w:val="0"/>
                      <w:sz w:val="21"/>
                      <w:szCs w:val="18"/>
                      <w:lang w:eastAsia="zh-CN"/>
                    </w:rPr>
                  </w:pPr>
                  <w:r>
                    <w:rPr>
                      <w:rFonts w:ascii="Times New Roman" w:hAnsi="Times New Roman" w:eastAsia="宋体"/>
                      <w:snapToGrid w:val="0"/>
                      <w:color w:val="auto"/>
                      <w:kern w:val="0"/>
                      <w:sz w:val="21"/>
                      <w:szCs w:val="18"/>
                    </w:rPr>
                    <w:t>本项目位于</w:t>
                  </w:r>
                  <w:r>
                    <w:rPr>
                      <w:rFonts w:hint="eastAsia" w:ascii="Times New Roman" w:hAnsi="Times New Roman" w:eastAsia="宋体"/>
                      <w:snapToGrid w:val="0"/>
                      <w:color w:val="auto"/>
                      <w:kern w:val="0"/>
                      <w:sz w:val="21"/>
                      <w:szCs w:val="18"/>
                    </w:rPr>
                    <w:t>江苏涟水经济开发区</w:t>
                  </w:r>
                  <w:r>
                    <w:rPr>
                      <w:rFonts w:ascii="Times New Roman" w:hAnsi="Times New Roman" w:eastAsia="宋体"/>
                      <w:snapToGrid w:val="0"/>
                      <w:color w:val="auto"/>
                      <w:kern w:val="0"/>
                      <w:sz w:val="21"/>
                      <w:szCs w:val="18"/>
                    </w:rPr>
                    <w:t>工业用地范围内，不占用耕地及永久农田、不属于大运河淮安段核心监控区，符合淮污防攻坚指办〔2023〕17号、淮政发〔2022〕12号《淮安市国土空间总体规划（2021</w:t>
                  </w:r>
                  <w:r>
                    <w:rPr>
                      <w:rFonts w:hint="eastAsia"/>
                      <w:snapToGrid w:val="0"/>
                      <w:color w:val="auto"/>
                      <w:kern w:val="0"/>
                      <w:sz w:val="21"/>
                      <w:szCs w:val="18"/>
                      <w:lang w:eastAsia="zh-CN"/>
                    </w:rPr>
                    <w:t>—</w:t>
                  </w:r>
                  <w:r>
                    <w:rPr>
                      <w:rFonts w:ascii="Times New Roman" w:hAnsi="Times New Roman" w:eastAsia="宋体"/>
                      <w:snapToGrid w:val="0"/>
                      <w:color w:val="auto"/>
                      <w:kern w:val="0"/>
                      <w:sz w:val="21"/>
                      <w:szCs w:val="18"/>
                    </w:rPr>
                    <w:t>2035年）》、苏长江办发〔2022〕55号文件要求</w:t>
                  </w:r>
                  <w:r>
                    <w:rPr>
                      <w:rFonts w:hint="eastAsia"/>
                      <w:snapToGrid w:val="0"/>
                      <w:color w:val="auto"/>
                      <w:kern w:val="0"/>
                      <w:sz w:val="21"/>
                      <w:szCs w:val="18"/>
                      <w:lang w:eastAsia="zh-CN"/>
                    </w:rPr>
                    <w:t>。</w:t>
                  </w:r>
                </w:p>
              </w:tc>
              <w:tc>
                <w:tcPr>
                  <w:tcW w:w="437" w:type="pct"/>
                  <w:vMerge w:val="restart"/>
                  <w:tcBorders>
                    <w:tl2br w:val="nil"/>
                    <w:tr2bl w:val="nil"/>
                  </w:tcBorders>
                  <w:shd w:val="clear" w:color="auto" w:fill="auto"/>
                  <w:vAlign w:val="center"/>
                </w:tcPr>
                <w:p w14:paraId="3792F748">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相符</w:t>
                  </w:r>
                </w:p>
              </w:tc>
            </w:tr>
            <w:tr w14:paraId="541B7FC6">
              <w:trPr>
                <w:trHeight w:val="20" w:hRule="atLeast"/>
              </w:trPr>
              <w:tc>
                <w:tcPr>
                  <w:tcW w:w="389" w:type="pct"/>
                  <w:vMerge w:val="continue"/>
                  <w:tcBorders>
                    <w:tl2br w:val="nil"/>
                    <w:tr2bl w:val="nil"/>
                  </w:tcBorders>
                  <w:shd w:val="clear" w:color="auto" w:fill="auto"/>
                  <w:vAlign w:val="center"/>
                </w:tcPr>
                <w:p w14:paraId="5F52DE79">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c>
                <w:tcPr>
                  <w:tcW w:w="3107" w:type="pct"/>
                  <w:tcBorders>
                    <w:tl2br w:val="nil"/>
                    <w:tr2bl w:val="nil"/>
                  </w:tcBorders>
                  <w:shd w:val="clear" w:color="auto" w:fill="auto"/>
                  <w:vAlign w:val="center"/>
                </w:tcPr>
                <w:p w14:paraId="092DB1C2">
                  <w:pPr>
                    <w:overflowPunct w:val="0"/>
                    <w:autoSpaceDE w:val="0"/>
                    <w:autoSpaceDN w:val="0"/>
                    <w:adjustRightInd w:val="0"/>
                    <w:snapToGrid w:val="0"/>
                    <w:ind w:firstLine="420" w:firstLineChars="200"/>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2.严格执行《</w:t>
                  </w:r>
                  <w:r>
                    <w:rPr>
                      <w:rFonts w:hint="eastAsia"/>
                      <w:snapToGrid w:val="0"/>
                      <w:color w:val="auto"/>
                      <w:kern w:val="0"/>
                      <w:sz w:val="21"/>
                      <w:szCs w:val="18"/>
                      <w:lang w:eastAsia="zh-CN"/>
                    </w:rPr>
                    <w:t>〈</w:t>
                  </w:r>
                  <w:r>
                    <w:rPr>
                      <w:rFonts w:ascii="Times New Roman" w:hAnsi="Times New Roman" w:eastAsia="宋体"/>
                      <w:snapToGrid w:val="0"/>
                      <w:color w:val="auto"/>
                      <w:kern w:val="0"/>
                      <w:sz w:val="21"/>
                      <w:szCs w:val="18"/>
                    </w:rPr>
                    <w:t>长江经济带发展负面清单指南（试行，2022年版）</w:t>
                  </w:r>
                  <w:r>
                    <w:rPr>
                      <w:rFonts w:hint="eastAsia"/>
                      <w:snapToGrid w:val="0"/>
                      <w:color w:val="auto"/>
                      <w:kern w:val="0"/>
                      <w:sz w:val="21"/>
                      <w:szCs w:val="18"/>
                      <w:lang w:eastAsia="zh-CN"/>
                    </w:rPr>
                    <w:t>〉</w:t>
                  </w:r>
                  <w:r>
                    <w:rPr>
                      <w:rFonts w:ascii="Times New Roman" w:hAnsi="Times New Roman" w:eastAsia="宋体"/>
                      <w:snapToGrid w:val="0"/>
                      <w:color w:val="auto"/>
                      <w:kern w:val="0"/>
                      <w:sz w:val="21"/>
                      <w:szCs w:val="18"/>
                    </w:rPr>
                    <w:t>江苏省实施细则》（苏长江办发〔2022〕55号）中相关要求。</w:t>
                  </w:r>
                </w:p>
              </w:tc>
              <w:tc>
                <w:tcPr>
                  <w:tcW w:w="1067" w:type="pct"/>
                  <w:vMerge w:val="continue"/>
                  <w:tcBorders>
                    <w:tl2br w:val="nil"/>
                    <w:tr2bl w:val="nil"/>
                  </w:tcBorders>
                  <w:shd w:val="clear" w:color="auto" w:fill="auto"/>
                  <w:vAlign w:val="center"/>
                </w:tcPr>
                <w:p w14:paraId="3909253C">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c>
                <w:tcPr>
                  <w:tcW w:w="437" w:type="pct"/>
                  <w:vMerge w:val="continue"/>
                  <w:tcBorders>
                    <w:tl2br w:val="nil"/>
                    <w:tr2bl w:val="nil"/>
                  </w:tcBorders>
                  <w:shd w:val="clear" w:color="auto" w:fill="auto"/>
                  <w:vAlign w:val="center"/>
                </w:tcPr>
                <w:p w14:paraId="2EE64CC2">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r>
            <w:tr w14:paraId="6D78D8A8">
              <w:trPr>
                <w:trHeight w:val="20" w:hRule="atLeast"/>
              </w:trPr>
              <w:tc>
                <w:tcPr>
                  <w:tcW w:w="389" w:type="pct"/>
                  <w:vMerge w:val="continue"/>
                  <w:tcBorders>
                    <w:tl2br w:val="nil"/>
                    <w:tr2bl w:val="nil"/>
                  </w:tcBorders>
                  <w:shd w:val="clear" w:color="auto" w:fill="auto"/>
                  <w:vAlign w:val="center"/>
                </w:tcPr>
                <w:p w14:paraId="3E01ABD7">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c>
                <w:tcPr>
                  <w:tcW w:w="3107" w:type="pct"/>
                  <w:tcBorders>
                    <w:tl2br w:val="nil"/>
                    <w:tr2bl w:val="nil"/>
                  </w:tcBorders>
                  <w:shd w:val="clear" w:color="auto" w:fill="auto"/>
                  <w:vAlign w:val="center"/>
                </w:tcPr>
                <w:p w14:paraId="612A39EF">
                  <w:pPr>
                    <w:overflowPunct w:val="0"/>
                    <w:autoSpaceDE w:val="0"/>
                    <w:autoSpaceDN w:val="0"/>
                    <w:adjustRightInd w:val="0"/>
                    <w:snapToGrid w:val="0"/>
                    <w:ind w:firstLine="420" w:firstLineChars="200"/>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3.严格执行《淮安市国土空间总体规划（2021</w:t>
                  </w:r>
                  <w:r>
                    <w:rPr>
                      <w:rFonts w:hint="eastAsia"/>
                      <w:snapToGrid w:val="0"/>
                      <w:color w:val="auto"/>
                      <w:kern w:val="0"/>
                      <w:sz w:val="21"/>
                      <w:szCs w:val="18"/>
                      <w:lang w:eastAsia="zh-CN"/>
                    </w:rPr>
                    <w:t>—</w:t>
                  </w:r>
                  <w:r>
                    <w:rPr>
                      <w:rFonts w:ascii="Times New Roman" w:hAnsi="Times New Roman" w:eastAsia="宋体"/>
                      <w:snapToGrid w:val="0"/>
                      <w:color w:val="auto"/>
                      <w:kern w:val="0"/>
                      <w:sz w:val="21"/>
                      <w:szCs w:val="18"/>
                    </w:rPr>
                    <w:t>2035年）》中相关要求，坚持最严格的耕地保护制度、生态保护制度和节约用地制度，严格保护耕地资源，落实耕地和永久基本农田保护红线。严格保护湿地资源，强化湿地建设与管理，加快保护区建设与管理；加强其他土地开发的生态影响评价，严禁在生态脆弱和环境敏感地区进行土地开发。</w:t>
                  </w:r>
                </w:p>
              </w:tc>
              <w:tc>
                <w:tcPr>
                  <w:tcW w:w="1067" w:type="pct"/>
                  <w:vMerge w:val="continue"/>
                  <w:tcBorders>
                    <w:tl2br w:val="nil"/>
                    <w:tr2bl w:val="nil"/>
                  </w:tcBorders>
                  <w:shd w:val="clear" w:color="auto" w:fill="auto"/>
                  <w:vAlign w:val="center"/>
                </w:tcPr>
                <w:p w14:paraId="2BFD7611">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c>
                <w:tcPr>
                  <w:tcW w:w="437" w:type="pct"/>
                  <w:vMerge w:val="continue"/>
                  <w:tcBorders>
                    <w:tl2br w:val="nil"/>
                    <w:tr2bl w:val="nil"/>
                  </w:tcBorders>
                  <w:shd w:val="clear" w:color="auto" w:fill="auto"/>
                  <w:vAlign w:val="center"/>
                </w:tcPr>
                <w:p w14:paraId="35A747C3">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r>
            <w:tr w14:paraId="63DF844D">
              <w:trPr>
                <w:trHeight w:val="20" w:hRule="atLeast"/>
              </w:trPr>
              <w:tc>
                <w:tcPr>
                  <w:tcW w:w="389" w:type="pct"/>
                  <w:vMerge w:val="continue"/>
                  <w:tcBorders>
                    <w:tl2br w:val="nil"/>
                    <w:tr2bl w:val="nil"/>
                  </w:tcBorders>
                  <w:shd w:val="clear" w:color="auto" w:fill="auto"/>
                  <w:vAlign w:val="center"/>
                </w:tcPr>
                <w:p w14:paraId="501C968C">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c>
                <w:tcPr>
                  <w:tcW w:w="3107" w:type="pct"/>
                  <w:tcBorders>
                    <w:tl2br w:val="nil"/>
                    <w:tr2bl w:val="nil"/>
                  </w:tcBorders>
                  <w:shd w:val="clear" w:color="auto" w:fill="auto"/>
                  <w:vAlign w:val="center"/>
                </w:tcPr>
                <w:p w14:paraId="73C859E4">
                  <w:pPr>
                    <w:overflowPunct w:val="0"/>
                    <w:autoSpaceDE w:val="0"/>
                    <w:autoSpaceDN w:val="0"/>
                    <w:adjustRightInd w:val="0"/>
                    <w:snapToGrid w:val="0"/>
                    <w:ind w:firstLine="420" w:firstLineChars="200"/>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4.根据《大运河淮安段核心监控区国土空间管控细则》（淮政规〔2022〕8号）核心监控区内，实行国土空间准入正负面清单管理制度，控制开发规模和强度，禁止不符合主体功能定位的各类开发活动。</w:t>
                  </w:r>
                </w:p>
              </w:tc>
              <w:tc>
                <w:tcPr>
                  <w:tcW w:w="1067" w:type="pct"/>
                  <w:vMerge w:val="continue"/>
                  <w:tcBorders>
                    <w:tl2br w:val="nil"/>
                    <w:tr2bl w:val="nil"/>
                  </w:tcBorders>
                  <w:shd w:val="clear" w:color="auto" w:fill="auto"/>
                  <w:vAlign w:val="center"/>
                </w:tcPr>
                <w:p w14:paraId="682D6248">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c>
                <w:tcPr>
                  <w:tcW w:w="437" w:type="pct"/>
                  <w:vMerge w:val="continue"/>
                  <w:tcBorders>
                    <w:tl2br w:val="nil"/>
                    <w:tr2bl w:val="nil"/>
                  </w:tcBorders>
                  <w:shd w:val="clear" w:color="auto" w:fill="auto"/>
                  <w:vAlign w:val="center"/>
                </w:tcPr>
                <w:p w14:paraId="30205812">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r>
            <w:tr w14:paraId="4B088A44">
              <w:trPr>
                <w:trHeight w:val="20" w:hRule="atLeast"/>
              </w:trPr>
              <w:tc>
                <w:tcPr>
                  <w:tcW w:w="389" w:type="pct"/>
                  <w:tcBorders>
                    <w:tl2br w:val="nil"/>
                    <w:tr2bl w:val="nil"/>
                  </w:tcBorders>
                  <w:shd w:val="clear" w:color="auto" w:fill="auto"/>
                  <w:vAlign w:val="center"/>
                </w:tcPr>
                <w:p w14:paraId="10E36F0B">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污染物排放管控</w:t>
                  </w:r>
                </w:p>
              </w:tc>
              <w:tc>
                <w:tcPr>
                  <w:tcW w:w="3107" w:type="pct"/>
                  <w:tcBorders>
                    <w:tl2br w:val="nil"/>
                    <w:tr2bl w:val="nil"/>
                  </w:tcBorders>
                  <w:shd w:val="clear" w:color="auto" w:fill="auto"/>
                  <w:vAlign w:val="center"/>
                </w:tcPr>
                <w:p w14:paraId="0027B026">
                  <w:pPr>
                    <w:overflowPunct w:val="0"/>
                    <w:autoSpaceDE w:val="0"/>
                    <w:autoSpaceDN w:val="0"/>
                    <w:adjustRightInd w:val="0"/>
                    <w:snapToGrid w:val="0"/>
                    <w:ind w:firstLine="420" w:firstLineChars="200"/>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根据《江苏省“十四五”节能减排综合实施方案》，到2025年，氮氧化物、挥发性有机物、化学需氧量、氨氮、总氮、总磷等主要污染物重点工程减排量分别达到5425吨、4333吨、10059吨、584吨、1225吨、134吨。</w:t>
                  </w:r>
                </w:p>
              </w:tc>
              <w:tc>
                <w:tcPr>
                  <w:tcW w:w="1067" w:type="pct"/>
                  <w:tcBorders>
                    <w:tl2br w:val="nil"/>
                    <w:tr2bl w:val="nil"/>
                  </w:tcBorders>
                  <w:shd w:val="clear" w:color="auto" w:fill="auto"/>
                  <w:vAlign w:val="center"/>
                </w:tcPr>
                <w:p w14:paraId="0D9D494C">
                  <w:pPr>
                    <w:overflowPunct w:val="0"/>
                    <w:autoSpaceDE w:val="0"/>
                    <w:autoSpaceDN w:val="0"/>
                    <w:adjustRightInd w:val="0"/>
                    <w:snapToGrid w:val="0"/>
                    <w:ind w:firstLine="420" w:firstLineChars="200"/>
                    <w:rPr>
                      <w:rFonts w:hint="eastAsia" w:ascii="Times New Roman" w:hAnsi="Times New Roman" w:eastAsia="宋体"/>
                      <w:snapToGrid w:val="0"/>
                      <w:color w:val="auto"/>
                      <w:kern w:val="0"/>
                      <w:sz w:val="21"/>
                      <w:szCs w:val="18"/>
                      <w:lang w:eastAsia="zh-CN"/>
                    </w:rPr>
                  </w:pPr>
                  <w:r>
                    <w:rPr>
                      <w:rFonts w:ascii="Times New Roman" w:hAnsi="Times New Roman" w:eastAsia="宋体"/>
                      <w:snapToGrid w:val="0"/>
                      <w:color w:val="auto"/>
                      <w:kern w:val="0"/>
                      <w:sz w:val="21"/>
                      <w:szCs w:val="18"/>
                    </w:rPr>
                    <w:t>项目污染物总量可在涟水县范围内平衡</w:t>
                  </w:r>
                  <w:r>
                    <w:rPr>
                      <w:rFonts w:hint="eastAsia"/>
                      <w:snapToGrid w:val="0"/>
                      <w:color w:val="auto"/>
                      <w:kern w:val="0"/>
                      <w:sz w:val="21"/>
                      <w:szCs w:val="18"/>
                      <w:lang w:eastAsia="zh-CN"/>
                    </w:rPr>
                    <w:t>。</w:t>
                  </w:r>
                </w:p>
              </w:tc>
              <w:tc>
                <w:tcPr>
                  <w:tcW w:w="437" w:type="pct"/>
                  <w:tcBorders>
                    <w:tl2br w:val="nil"/>
                    <w:tr2bl w:val="nil"/>
                  </w:tcBorders>
                  <w:shd w:val="clear" w:color="auto" w:fill="auto"/>
                  <w:vAlign w:val="center"/>
                </w:tcPr>
                <w:p w14:paraId="66119185">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相符</w:t>
                  </w:r>
                </w:p>
              </w:tc>
            </w:tr>
            <w:tr w14:paraId="039E23EC">
              <w:trPr>
                <w:trHeight w:val="20" w:hRule="atLeast"/>
              </w:trPr>
              <w:tc>
                <w:tcPr>
                  <w:tcW w:w="389" w:type="pct"/>
                  <w:vMerge w:val="restart"/>
                  <w:tcBorders>
                    <w:tl2br w:val="nil"/>
                    <w:tr2bl w:val="nil"/>
                  </w:tcBorders>
                  <w:shd w:val="clear" w:color="auto" w:fill="auto"/>
                  <w:vAlign w:val="center"/>
                </w:tcPr>
                <w:p w14:paraId="21AD34C9">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环境风险防控</w:t>
                  </w:r>
                </w:p>
              </w:tc>
              <w:tc>
                <w:tcPr>
                  <w:tcW w:w="3107" w:type="pct"/>
                  <w:tcBorders>
                    <w:tl2br w:val="nil"/>
                    <w:tr2bl w:val="nil"/>
                  </w:tcBorders>
                  <w:shd w:val="clear" w:color="auto" w:fill="auto"/>
                  <w:vAlign w:val="center"/>
                </w:tcPr>
                <w:p w14:paraId="0CCED3F2">
                  <w:pPr>
                    <w:overflowPunct w:val="0"/>
                    <w:autoSpaceDE w:val="0"/>
                    <w:autoSpaceDN w:val="0"/>
                    <w:adjustRightInd w:val="0"/>
                    <w:snapToGrid w:val="0"/>
                    <w:ind w:firstLine="420" w:firstLineChars="200"/>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1.严格执行《淮安市突发环境事件应急预案》（淮政复〔2020〕67号）、《淮安市集中式饮用水源突发污染事件应急预案》（淮污防攻坚指办〔2020〕58号）、《淮安市辐射事故应急预案》《淮安市重污染天气应急预案》（淮政复〔2021〕24号）等文件要求，建立区域监测预警系统，建立省市县上下联动、区域之间左右联动等联动应急响应体系，实行联防联控。</w:t>
                  </w:r>
                </w:p>
              </w:tc>
              <w:tc>
                <w:tcPr>
                  <w:tcW w:w="1067" w:type="pct"/>
                  <w:vMerge w:val="restart"/>
                  <w:tcBorders>
                    <w:tl2br w:val="nil"/>
                    <w:tr2bl w:val="nil"/>
                  </w:tcBorders>
                  <w:shd w:val="clear" w:color="auto" w:fill="auto"/>
                  <w:vAlign w:val="center"/>
                </w:tcPr>
                <w:p w14:paraId="75A5A4FB">
                  <w:pPr>
                    <w:overflowPunct w:val="0"/>
                    <w:autoSpaceDE w:val="0"/>
                    <w:autoSpaceDN w:val="0"/>
                    <w:adjustRightInd w:val="0"/>
                    <w:snapToGrid w:val="0"/>
                    <w:ind w:firstLine="420" w:firstLineChars="200"/>
                    <w:rPr>
                      <w:rFonts w:hint="eastAsia" w:ascii="Times New Roman" w:hAnsi="Times New Roman" w:eastAsia="宋体"/>
                      <w:snapToGrid w:val="0"/>
                      <w:color w:val="auto"/>
                      <w:kern w:val="0"/>
                      <w:sz w:val="21"/>
                      <w:szCs w:val="18"/>
                      <w:lang w:eastAsia="zh-CN"/>
                    </w:rPr>
                  </w:pPr>
                  <w:r>
                    <w:rPr>
                      <w:rFonts w:ascii="Times New Roman" w:hAnsi="Times New Roman" w:eastAsia="宋体"/>
                      <w:snapToGrid w:val="0"/>
                      <w:color w:val="auto"/>
                      <w:kern w:val="0"/>
                      <w:sz w:val="21"/>
                      <w:szCs w:val="18"/>
                    </w:rPr>
                    <w:t>项目建成后，</w:t>
                  </w:r>
                  <w:r>
                    <w:rPr>
                      <w:rFonts w:hint="eastAsia" w:ascii="Times New Roman" w:hAnsi="Times New Roman" w:eastAsia="宋体"/>
                      <w:snapToGrid w:val="0"/>
                      <w:color w:val="auto"/>
                      <w:kern w:val="0"/>
                      <w:sz w:val="21"/>
                      <w:szCs w:val="18"/>
                      <w:lang w:val="en-US" w:eastAsia="zh-CN"/>
                    </w:rPr>
                    <w:t>严格加强自身</w:t>
                  </w:r>
                  <w:r>
                    <w:rPr>
                      <w:rFonts w:ascii="Times New Roman" w:hAnsi="Times New Roman" w:eastAsia="宋体"/>
                      <w:snapToGrid w:val="0"/>
                      <w:color w:val="auto"/>
                      <w:kern w:val="0"/>
                      <w:sz w:val="21"/>
                      <w:szCs w:val="18"/>
                    </w:rPr>
                    <w:t>环境风险防控能力建设，与园区、县区建立联动应急</w:t>
                  </w:r>
                  <w:r>
                    <w:rPr>
                      <w:rFonts w:hint="eastAsia"/>
                      <w:snapToGrid w:val="0"/>
                      <w:color w:val="auto"/>
                      <w:kern w:val="0"/>
                      <w:sz w:val="21"/>
                      <w:szCs w:val="18"/>
                      <w:lang w:eastAsia="zh-CN"/>
                    </w:rPr>
                    <w:t>响</w:t>
                  </w:r>
                  <w:r>
                    <w:rPr>
                      <w:rFonts w:ascii="Times New Roman" w:hAnsi="Times New Roman" w:eastAsia="宋体"/>
                      <w:snapToGrid w:val="0"/>
                      <w:color w:val="auto"/>
                      <w:kern w:val="0"/>
                      <w:sz w:val="21"/>
                      <w:szCs w:val="18"/>
                    </w:rPr>
                    <w:t>应体系</w:t>
                  </w:r>
                  <w:r>
                    <w:rPr>
                      <w:rFonts w:hint="eastAsia"/>
                      <w:snapToGrid w:val="0"/>
                      <w:color w:val="auto"/>
                      <w:kern w:val="0"/>
                      <w:sz w:val="21"/>
                      <w:szCs w:val="18"/>
                      <w:lang w:eastAsia="zh-CN"/>
                    </w:rPr>
                    <w:t>。</w:t>
                  </w:r>
                </w:p>
              </w:tc>
              <w:tc>
                <w:tcPr>
                  <w:tcW w:w="437" w:type="pct"/>
                  <w:vMerge w:val="restart"/>
                  <w:tcBorders>
                    <w:tl2br w:val="nil"/>
                    <w:tr2bl w:val="nil"/>
                  </w:tcBorders>
                  <w:shd w:val="clear" w:color="auto" w:fill="auto"/>
                  <w:vAlign w:val="center"/>
                </w:tcPr>
                <w:p w14:paraId="6EB7289E">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相符</w:t>
                  </w:r>
                </w:p>
              </w:tc>
            </w:tr>
            <w:tr w14:paraId="3737D606">
              <w:trPr>
                <w:trHeight w:val="20" w:hRule="atLeast"/>
              </w:trPr>
              <w:tc>
                <w:tcPr>
                  <w:tcW w:w="389" w:type="pct"/>
                  <w:vMerge w:val="continue"/>
                  <w:tcBorders>
                    <w:tl2br w:val="nil"/>
                    <w:tr2bl w:val="nil"/>
                  </w:tcBorders>
                  <w:shd w:val="clear" w:color="auto" w:fill="auto"/>
                  <w:vAlign w:val="center"/>
                </w:tcPr>
                <w:p w14:paraId="64D4C536">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c>
                <w:tcPr>
                  <w:tcW w:w="3107" w:type="pct"/>
                  <w:tcBorders>
                    <w:tl2br w:val="nil"/>
                    <w:tr2bl w:val="nil"/>
                  </w:tcBorders>
                  <w:shd w:val="clear" w:color="auto" w:fill="auto"/>
                  <w:vAlign w:val="center"/>
                </w:tcPr>
                <w:p w14:paraId="519E9676">
                  <w:pPr>
                    <w:overflowPunct w:val="0"/>
                    <w:autoSpaceDE w:val="0"/>
                    <w:autoSpaceDN w:val="0"/>
                    <w:adjustRightInd w:val="0"/>
                    <w:snapToGrid w:val="0"/>
                    <w:ind w:firstLine="420" w:firstLineChars="200"/>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2.根据《中共江苏省委江苏省人民政府关于深入打好污染防治攻坚战的实施意见》（2022年1月24日），完善省、市、县三级环境应急管理体系，健全跨区域、跨部门突发生态环境事件联防联控机制，建成重点敏感保护目标突发水污染事件应急防范体系。开展涉危险废物涉重金属企业、园区等重点领域环境风险调查评估，完成重点河流突发水污染事件“一河一策一图”全覆盖，常态化</w:t>
                  </w:r>
                  <w:r>
                    <w:rPr>
                      <w:rFonts w:hint="eastAsia"/>
                      <w:snapToGrid w:val="0"/>
                      <w:color w:val="auto"/>
                      <w:kern w:val="0"/>
                      <w:sz w:val="21"/>
                      <w:szCs w:val="18"/>
                      <w:lang w:eastAsia="zh-CN"/>
                    </w:rPr>
                    <w:t>应</w:t>
                  </w:r>
                  <w:r>
                    <w:rPr>
                      <w:rFonts w:ascii="Times New Roman" w:hAnsi="Times New Roman" w:eastAsia="宋体"/>
                      <w:snapToGrid w:val="0"/>
                      <w:color w:val="auto"/>
                      <w:kern w:val="0"/>
                      <w:sz w:val="21"/>
                      <w:szCs w:val="18"/>
                    </w:rPr>
                    <w:t>急指挥体系，建成区域环境应急基地和应急物资储备库。</w:t>
                  </w:r>
                </w:p>
              </w:tc>
              <w:tc>
                <w:tcPr>
                  <w:tcW w:w="1067" w:type="pct"/>
                  <w:vMerge w:val="continue"/>
                  <w:tcBorders>
                    <w:tl2br w:val="nil"/>
                    <w:tr2bl w:val="nil"/>
                  </w:tcBorders>
                  <w:shd w:val="clear" w:color="auto" w:fill="auto"/>
                  <w:vAlign w:val="center"/>
                </w:tcPr>
                <w:p w14:paraId="4BFF11A5">
                  <w:pPr>
                    <w:overflowPunct w:val="0"/>
                    <w:autoSpaceDE w:val="0"/>
                    <w:autoSpaceDN w:val="0"/>
                    <w:adjustRightInd w:val="0"/>
                    <w:snapToGrid w:val="0"/>
                    <w:ind w:firstLine="420" w:firstLineChars="200"/>
                    <w:rPr>
                      <w:rFonts w:ascii="Times New Roman" w:hAnsi="Times New Roman" w:eastAsia="宋体"/>
                      <w:snapToGrid w:val="0"/>
                      <w:color w:val="auto"/>
                      <w:kern w:val="0"/>
                      <w:sz w:val="21"/>
                      <w:szCs w:val="18"/>
                    </w:rPr>
                  </w:pPr>
                </w:p>
              </w:tc>
              <w:tc>
                <w:tcPr>
                  <w:tcW w:w="437" w:type="pct"/>
                  <w:vMerge w:val="continue"/>
                  <w:tcBorders>
                    <w:tl2br w:val="nil"/>
                    <w:tr2bl w:val="nil"/>
                  </w:tcBorders>
                  <w:shd w:val="clear" w:color="auto" w:fill="auto"/>
                  <w:vAlign w:val="center"/>
                </w:tcPr>
                <w:p w14:paraId="1354CC8C">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r>
            <w:tr w14:paraId="5DA49DEA">
              <w:trPr>
                <w:trHeight w:val="20" w:hRule="atLeast"/>
              </w:trPr>
              <w:tc>
                <w:tcPr>
                  <w:tcW w:w="389" w:type="pct"/>
                  <w:vMerge w:val="restart"/>
                  <w:tcBorders>
                    <w:tl2br w:val="nil"/>
                    <w:tr2bl w:val="nil"/>
                  </w:tcBorders>
                  <w:shd w:val="clear" w:color="auto" w:fill="auto"/>
                  <w:vAlign w:val="center"/>
                </w:tcPr>
                <w:p w14:paraId="741A82BD">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资源利用效率要求</w:t>
                  </w:r>
                </w:p>
              </w:tc>
              <w:tc>
                <w:tcPr>
                  <w:tcW w:w="3107" w:type="pct"/>
                  <w:tcBorders>
                    <w:tl2br w:val="nil"/>
                    <w:tr2bl w:val="nil"/>
                  </w:tcBorders>
                  <w:shd w:val="clear" w:color="auto" w:fill="auto"/>
                  <w:vAlign w:val="center"/>
                </w:tcPr>
                <w:p w14:paraId="38166F57">
                  <w:pPr>
                    <w:overflowPunct w:val="0"/>
                    <w:autoSpaceDE w:val="0"/>
                    <w:autoSpaceDN w:val="0"/>
                    <w:adjustRightInd w:val="0"/>
                    <w:snapToGrid w:val="0"/>
                    <w:ind w:firstLine="420" w:firstLineChars="200"/>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1.水资源利用总量及效率要求：根据《江苏省水利厅江苏省发改委关于印发“十四五”用水总量和强度控制目标的通知》（苏水节〔2022〕6号）、《市水利局市发展和改革委员会关于下达“十四五”用水总量和强度控制目标的通知》（淮水资〔2022〕4号），到2025年，淮安市用水总量不得超过33亿立方米，万元地区生产总值用水量比2020年下降20%，万元工业增加值用水量比2020年下降19%，灌溉水有效利用系数达到0.617以上。</w:t>
                  </w:r>
                </w:p>
              </w:tc>
              <w:tc>
                <w:tcPr>
                  <w:tcW w:w="1067" w:type="pct"/>
                  <w:tcBorders>
                    <w:tl2br w:val="nil"/>
                    <w:tr2bl w:val="nil"/>
                  </w:tcBorders>
                  <w:shd w:val="clear" w:color="auto" w:fill="auto"/>
                  <w:vAlign w:val="center"/>
                </w:tcPr>
                <w:p w14:paraId="4FBA3EFC">
                  <w:pPr>
                    <w:overflowPunct w:val="0"/>
                    <w:autoSpaceDE w:val="0"/>
                    <w:autoSpaceDN w:val="0"/>
                    <w:adjustRightInd w:val="0"/>
                    <w:snapToGrid w:val="0"/>
                    <w:ind w:firstLine="420" w:firstLineChars="200"/>
                    <w:rPr>
                      <w:rFonts w:hint="eastAsia" w:ascii="Times New Roman" w:hAnsi="Times New Roman" w:eastAsia="宋体"/>
                      <w:snapToGrid w:val="0"/>
                      <w:color w:val="auto"/>
                      <w:kern w:val="0"/>
                      <w:sz w:val="21"/>
                      <w:szCs w:val="18"/>
                      <w:lang w:eastAsia="zh-CN"/>
                    </w:rPr>
                  </w:pPr>
                  <w:r>
                    <w:rPr>
                      <w:rFonts w:ascii="Times New Roman" w:hAnsi="Times New Roman" w:eastAsia="宋体"/>
                      <w:snapToGrid w:val="0"/>
                      <w:color w:val="auto"/>
                      <w:kern w:val="0"/>
                      <w:sz w:val="21"/>
                      <w:szCs w:val="18"/>
                    </w:rPr>
                    <w:t>企业优化工艺、设备等，类比</w:t>
                  </w:r>
                  <w:r>
                    <w:rPr>
                      <w:rFonts w:hint="eastAsia"/>
                      <w:snapToGrid w:val="0"/>
                      <w:color w:val="auto"/>
                      <w:kern w:val="0"/>
                      <w:sz w:val="21"/>
                      <w:szCs w:val="18"/>
                      <w:lang w:eastAsia="zh-CN"/>
                    </w:rPr>
                    <w:t>同</w:t>
                  </w:r>
                  <w:r>
                    <w:rPr>
                      <w:rFonts w:ascii="Times New Roman" w:hAnsi="Times New Roman" w:eastAsia="宋体"/>
                      <w:snapToGrid w:val="0"/>
                      <w:color w:val="auto"/>
                      <w:kern w:val="0"/>
                      <w:sz w:val="21"/>
                      <w:szCs w:val="18"/>
                    </w:rPr>
                    <w:t>类项目单位产品用水量达到国内先进水平</w:t>
                  </w:r>
                  <w:r>
                    <w:rPr>
                      <w:rFonts w:hint="eastAsia"/>
                      <w:snapToGrid w:val="0"/>
                      <w:color w:val="auto"/>
                      <w:kern w:val="0"/>
                      <w:sz w:val="21"/>
                      <w:szCs w:val="18"/>
                      <w:lang w:eastAsia="zh-CN"/>
                    </w:rPr>
                    <w:t>。</w:t>
                  </w:r>
                </w:p>
              </w:tc>
              <w:tc>
                <w:tcPr>
                  <w:tcW w:w="437" w:type="pct"/>
                  <w:tcBorders>
                    <w:tl2br w:val="nil"/>
                    <w:tr2bl w:val="nil"/>
                  </w:tcBorders>
                  <w:shd w:val="clear" w:color="auto" w:fill="auto"/>
                  <w:vAlign w:val="center"/>
                </w:tcPr>
                <w:p w14:paraId="370F3658">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相符</w:t>
                  </w:r>
                </w:p>
              </w:tc>
            </w:tr>
            <w:tr w14:paraId="42FED3FE">
              <w:trPr>
                <w:trHeight w:val="20" w:hRule="atLeast"/>
              </w:trPr>
              <w:tc>
                <w:tcPr>
                  <w:tcW w:w="389" w:type="pct"/>
                  <w:vMerge w:val="continue"/>
                  <w:tcBorders>
                    <w:tl2br w:val="nil"/>
                    <w:tr2bl w:val="nil"/>
                  </w:tcBorders>
                  <w:shd w:val="clear" w:color="auto" w:fill="auto"/>
                  <w:vAlign w:val="center"/>
                </w:tcPr>
                <w:p w14:paraId="0F4B12F2">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c>
                <w:tcPr>
                  <w:tcW w:w="3107" w:type="pct"/>
                  <w:tcBorders>
                    <w:tl2br w:val="nil"/>
                    <w:tr2bl w:val="nil"/>
                  </w:tcBorders>
                  <w:shd w:val="clear" w:color="auto" w:fill="auto"/>
                  <w:vAlign w:val="center"/>
                </w:tcPr>
                <w:p w14:paraId="4E2287D5">
                  <w:pPr>
                    <w:overflowPunct w:val="0"/>
                    <w:autoSpaceDE w:val="0"/>
                    <w:autoSpaceDN w:val="0"/>
                    <w:adjustRightInd w:val="0"/>
                    <w:snapToGrid w:val="0"/>
                    <w:ind w:firstLine="420" w:firstLineChars="200"/>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2.土地资源利用总量及效率要求：根据《淮安市国土空间总体规划（2021</w:t>
                  </w:r>
                  <w:r>
                    <w:rPr>
                      <w:rFonts w:hint="eastAsia"/>
                      <w:snapToGrid w:val="0"/>
                      <w:color w:val="auto"/>
                      <w:kern w:val="0"/>
                      <w:sz w:val="21"/>
                      <w:szCs w:val="18"/>
                      <w:lang w:eastAsia="zh-CN"/>
                    </w:rPr>
                    <w:t>—</w:t>
                  </w:r>
                  <w:r>
                    <w:rPr>
                      <w:rFonts w:ascii="Times New Roman" w:hAnsi="Times New Roman" w:eastAsia="宋体"/>
                      <w:snapToGrid w:val="0"/>
                      <w:color w:val="auto"/>
                      <w:kern w:val="0"/>
                      <w:sz w:val="21"/>
                      <w:szCs w:val="18"/>
                    </w:rPr>
                    <w:t>2035年）》，淮安市耕地保有量不少于697.3500万亩，永久基本农田保护面积不低于596.0050万亩，控制全市城镇开发边界扩展倍数不高于1.3599。</w:t>
                  </w:r>
                </w:p>
              </w:tc>
              <w:tc>
                <w:tcPr>
                  <w:tcW w:w="1067" w:type="pct"/>
                  <w:tcBorders>
                    <w:tl2br w:val="nil"/>
                    <w:tr2bl w:val="nil"/>
                  </w:tcBorders>
                  <w:shd w:val="clear" w:color="auto" w:fill="auto"/>
                  <w:vAlign w:val="center"/>
                </w:tcPr>
                <w:p w14:paraId="1DC1DFE1">
                  <w:pPr>
                    <w:overflowPunct w:val="0"/>
                    <w:autoSpaceDE w:val="0"/>
                    <w:autoSpaceDN w:val="0"/>
                    <w:adjustRightInd w:val="0"/>
                    <w:snapToGrid w:val="0"/>
                    <w:ind w:firstLine="420" w:firstLineChars="200"/>
                    <w:rPr>
                      <w:rFonts w:hint="eastAsia" w:ascii="Times New Roman" w:hAnsi="Times New Roman" w:eastAsia="宋体"/>
                      <w:snapToGrid w:val="0"/>
                      <w:color w:val="auto"/>
                      <w:kern w:val="0"/>
                      <w:sz w:val="21"/>
                      <w:szCs w:val="18"/>
                      <w:lang w:eastAsia="zh-CN"/>
                    </w:rPr>
                  </w:pPr>
                  <w:r>
                    <w:rPr>
                      <w:rFonts w:ascii="Times New Roman" w:hAnsi="Times New Roman" w:eastAsia="宋体"/>
                      <w:snapToGrid w:val="0"/>
                      <w:color w:val="auto"/>
                      <w:kern w:val="0"/>
                      <w:sz w:val="21"/>
                      <w:szCs w:val="18"/>
                    </w:rPr>
                    <w:t>本次项目位于</w:t>
                  </w:r>
                  <w:r>
                    <w:rPr>
                      <w:rFonts w:hint="eastAsia" w:ascii="Times New Roman" w:hAnsi="Times New Roman" w:eastAsia="宋体"/>
                      <w:snapToGrid w:val="0"/>
                      <w:color w:val="auto"/>
                      <w:kern w:val="0"/>
                      <w:sz w:val="21"/>
                      <w:szCs w:val="18"/>
                    </w:rPr>
                    <w:t>涟水县经济开发区</w:t>
                  </w:r>
                  <w:r>
                    <w:rPr>
                      <w:rFonts w:ascii="Times New Roman" w:hAnsi="Times New Roman" w:eastAsia="宋体"/>
                      <w:snapToGrid w:val="0"/>
                      <w:color w:val="auto"/>
                      <w:kern w:val="0"/>
                      <w:sz w:val="21"/>
                      <w:szCs w:val="18"/>
                    </w:rPr>
                    <w:t>工业用地范围内，不占用耕地及农田</w:t>
                  </w:r>
                  <w:r>
                    <w:rPr>
                      <w:rFonts w:hint="eastAsia"/>
                      <w:snapToGrid w:val="0"/>
                      <w:color w:val="auto"/>
                      <w:kern w:val="0"/>
                      <w:sz w:val="21"/>
                      <w:szCs w:val="18"/>
                      <w:lang w:eastAsia="zh-CN"/>
                    </w:rPr>
                    <w:t>。</w:t>
                  </w:r>
                </w:p>
              </w:tc>
              <w:tc>
                <w:tcPr>
                  <w:tcW w:w="437" w:type="pct"/>
                  <w:tcBorders>
                    <w:tl2br w:val="nil"/>
                    <w:tr2bl w:val="nil"/>
                  </w:tcBorders>
                  <w:shd w:val="clear" w:color="auto" w:fill="auto"/>
                  <w:vAlign w:val="center"/>
                </w:tcPr>
                <w:p w14:paraId="31B68AFD">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相符</w:t>
                  </w:r>
                </w:p>
              </w:tc>
            </w:tr>
            <w:tr w14:paraId="75E3B6ED">
              <w:trPr>
                <w:trHeight w:val="20" w:hRule="atLeast"/>
              </w:trPr>
              <w:tc>
                <w:tcPr>
                  <w:tcW w:w="389" w:type="pct"/>
                  <w:vMerge w:val="continue"/>
                  <w:tcBorders>
                    <w:tl2br w:val="nil"/>
                    <w:tr2bl w:val="nil"/>
                  </w:tcBorders>
                  <w:shd w:val="clear" w:color="auto" w:fill="auto"/>
                  <w:vAlign w:val="center"/>
                </w:tcPr>
                <w:p w14:paraId="45178712">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c>
                <w:tcPr>
                  <w:tcW w:w="3107" w:type="pct"/>
                  <w:tcBorders>
                    <w:tl2br w:val="nil"/>
                    <w:tr2bl w:val="nil"/>
                  </w:tcBorders>
                  <w:shd w:val="clear" w:color="auto" w:fill="auto"/>
                  <w:vAlign w:val="center"/>
                </w:tcPr>
                <w:p w14:paraId="32A5A88A">
                  <w:pPr>
                    <w:overflowPunct w:val="0"/>
                    <w:autoSpaceDE w:val="0"/>
                    <w:autoSpaceDN w:val="0"/>
                    <w:adjustRightInd w:val="0"/>
                    <w:snapToGrid w:val="0"/>
                    <w:ind w:firstLine="420" w:firstLineChars="200"/>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3.能源利用总量及效率要求：根据《中共江苏省委江苏省人民政府关于深入打好污染防治攻坚战的实施意见》（2022年1月24日），到2025年，煤炭消费总量下降5%左右，煤炭占能源消费总量的比重下降至50%左右，非化石能源消费比重达到18%左右。</w:t>
                  </w:r>
                </w:p>
              </w:tc>
              <w:tc>
                <w:tcPr>
                  <w:tcW w:w="1067" w:type="pct"/>
                  <w:tcBorders>
                    <w:tl2br w:val="nil"/>
                    <w:tr2bl w:val="nil"/>
                  </w:tcBorders>
                  <w:shd w:val="clear" w:color="auto" w:fill="auto"/>
                  <w:vAlign w:val="center"/>
                </w:tcPr>
                <w:p w14:paraId="183F784C">
                  <w:pPr>
                    <w:overflowPunct w:val="0"/>
                    <w:autoSpaceDE w:val="0"/>
                    <w:autoSpaceDN w:val="0"/>
                    <w:adjustRightInd w:val="0"/>
                    <w:snapToGrid w:val="0"/>
                    <w:ind w:firstLine="420" w:firstLineChars="200"/>
                    <w:rPr>
                      <w:rFonts w:hint="eastAsia" w:ascii="Times New Roman" w:hAnsi="Times New Roman" w:eastAsia="宋体"/>
                      <w:snapToGrid w:val="0"/>
                      <w:color w:val="auto"/>
                      <w:kern w:val="0"/>
                      <w:sz w:val="21"/>
                      <w:szCs w:val="18"/>
                      <w:lang w:eastAsia="zh-CN"/>
                    </w:rPr>
                  </w:pPr>
                  <w:r>
                    <w:rPr>
                      <w:rFonts w:ascii="Times New Roman" w:hAnsi="Times New Roman" w:eastAsia="宋体"/>
                      <w:snapToGrid w:val="0"/>
                      <w:color w:val="auto"/>
                      <w:kern w:val="0"/>
                      <w:sz w:val="21"/>
                      <w:szCs w:val="18"/>
                    </w:rPr>
                    <w:t>项目不涉及煤炭消费</w:t>
                  </w:r>
                  <w:r>
                    <w:rPr>
                      <w:rFonts w:hint="eastAsia"/>
                      <w:snapToGrid w:val="0"/>
                      <w:color w:val="auto"/>
                      <w:kern w:val="0"/>
                      <w:sz w:val="21"/>
                      <w:szCs w:val="18"/>
                      <w:lang w:eastAsia="zh-CN"/>
                    </w:rPr>
                    <w:t>。</w:t>
                  </w:r>
                </w:p>
              </w:tc>
              <w:tc>
                <w:tcPr>
                  <w:tcW w:w="437" w:type="pct"/>
                  <w:tcBorders>
                    <w:tl2br w:val="nil"/>
                    <w:tr2bl w:val="nil"/>
                  </w:tcBorders>
                  <w:shd w:val="clear" w:color="auto" w:fill="auto"/>
                  <w:vAlign w:val="center"/>
                </w:tcPr>
                <w:p w14:paraId="55F6BDFF">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相符</w:t>
                  </w:r>
                </w:p>
              </w:tc>
            </w:tr>
            <w:tr w14:paraId="2ABB6022">
              <w:trPr>
                <w:trHeight w:val="20" w:hRule="atLeast"/>
              </w:trPr>
              <w:tc>
                <w:tcPr>
                  <w:tcW w:w="389" w:type="pct"/>
                  <w:vMerge w:val="continue"/>
                  <w:tcBorders>
                    <w:tl2br w:val="nil"/>
                    <w:tr2bl w:val="nil"/>
                  </w:tcBorders>
                  <w:shd w:val="clear" w:color="auto" w:fill="auto"/>
                  <w:vAlign w:val="center"/>
                </w:tcPr>
                <w:p w14:paraId="3BED9364">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c>
                <w:tcPr>
                  <w:tcW w:w="3107" w:type="pct"/>
                  <w:tcBorders>
                    <w:tl2br w:val="nil"/>
                    <w:tr2bl w:val="nil"/>
                  </w:tcBorders>
                  <w:shd w:val="clear" w:color="auto" w:fill="auto"/>
                  <w:vAlign w:val="center"/>
                </w:tcPr>
                <w:p w14:paraId="243C2F62">
                  <w:pPr>
                    <w:overflowPunct w:val="0"/>
                    <w:autoSpaceDE w:val="0"/>
                    <w:autoSpaceDN w:val="0"/>
                    <w:adjustRightInd w:val="0"/>
                    <w:snapToGrid w:val="0"/>
                    <w:ind w:firstLine="420" w:firstLineChars="200"/>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4.禁燃区要求：根据《江苏省大气污染防治条例》，禁燃区禁止新建、扩建燃用高污染燃料的项目和设施，已建成的应逐步或依法限期改用天然气、电或者其他清洁能源。</w:t>
                  </w:r>
                </w:p>
              </w:tc>
              <w:tc>
                <w:tcPr>
                  <w:tcW w:w="1067" w:type="pct"/>
                  <w:tcBorders>
                    <w:tl2br w:val="nil"/>
                    <w:tr2bl w:val="nil"/>
                  </w:tcBorders>
                  <w:shd w:val="clear" w:color="auto" w:fill="auto"/>
                  <w:vAlign w:val="center"/>
                </w:tcPr>
                <w:p w14:paraId="33F28417">
                  <w:pPr>
                    <w:overflowPunct w:val="0"/>
                    <w:autoSpaceDE w:val="0"/>
                    <w:autoSpaceDN w:val="0"/>
                    <w:adjustRightInd w:val="0"/>
                    <w:snapToGrid w:val="0"/>
                    <w:ind w:firstLine="420" w:firstLineChars="200"/>
                    <w:rPr>
                      <w:rFonts w:hint="eastAsia" w:ascii="Times New Roman" w:hAnsi="Times New Roman" w:eastAsia="宋体"/>
                      <w:snapToGrid w:val="0"/>
                      <w:color w:val="auto"/>
                      <w:kern w:val="0"/>
                      <w:sz w:val="21"/>
                      <w:szCs w:val="18"/>
                      <w:lang w:eastAsia="zh-CN"/>
                    </w:rPr>
                  </w:pPr>
                  <w:r>
                    <w:rPr>
                      <w:rFonts w:ascii="Times New Roman" w:hAnsi="Times New Roman" w:eastAsia="宋体"/>
                      <w:snapToGrid w:val="0"/>
                      <w:color w:val="auto"/>
                      <w:kern w:val="0"/>
                      <w:sz w:val="21"/>
                      <w:szCs w:val="18"/>
                    </w:rPr>
                    <w:t>项目不使用燃料</w:t>
                  </w:r>
                  <w:r>
                    <w:rPr>
                      <w:rFonts w:hint="eastAsia"/>
                      <w:snapToGrid w:val="0"/>
                      <w:color w:val="auto"/>
                      <w:kern w:val="0"/>
                      <w:sz w:val="21"/>
                      <w:szCs w:val="18"/>
                      <w:lang w:eastAsia="zh-CN"/>
                    </w:rPr>
                    <w:t>。</w:t>
                  </w:r>
                </w:p>
              </w:tc>
              <w:tc>
                <w:tcPr>
                  <w:tcW w:w="437" w:type="pct"/>
                  <w:tcBorders>
                    <w:tl2br w:val="nil"/>
                    <w:tr2bl w:val="nil"/>
                  </w:tcBorders>
                  <w:shd w:val="clear" w:color="auto" w:fill="auto"/>
                  <w:vAlign w:val="center"/>
                </w:tcPr>
                <w:p w14:paraId="79C236C0">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相符</w:t>
                  </w:r>
                </w:p>
              </w:tc>
            </w:tr>
          </w:tbl>
          <w:p w14:paraId="5C30DEED">
            <w:pPr>
              <w:pStyle w:val="16"/>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根据上表可知，项目与《淮安市生态环境分区管控动态更新成果》（2023版）是相符的。</w:t>
            </w:r>
          </w:p>
          <w:p w14:paraId="56DB04BC">
            <w:pPr>
              <w:pStyle w:val="17"/>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b w:val="0"/>
                <w:bCs/>
                <w:color w:val="auto"/>
                <w:kern w:val="0"/>
                <w:sz w:val="24"/>
                <w:szCs w:val="20"/>
                <w:lang w:val="en-US" w:eastAsia="zh-CN" w:bidi="ar-SA"/>
              </w:rPr>
            </w:pPr>
            <w:r>
              <w:rPr>
                <w:rFonts w:hint="eastAsia" w:ascii="Times New Roman" w:hAnsi="Times New Roman" w:eastAsia="宋体" w:cs="Times New Roman"/>
                <w:b w:val="0"/>
                <w:bCs/>
                <w:color w:val="auto"/>
                <w:kern w:val="0"/>
                <w:sz w:val="24"/>
                <w:szCs w:val="20"/>
                <w:lang w:val="en-US" w:eastAsia="zh-CN" w:bidi="ar-SA"/>
              </w:rPr>
              <w:t>综上所述</w:t>
            </w:r>
            <w:r>
              <w:rPr>
                <w:rFonts w:hint="default" w:ascii="Times New Roman" w:hAnsi="Times New Roman" w:eastAsia="宋体" w:cs="Times New Roman"/>
                <w:b w:val="0"/>
                <w:bCs/>
                <w:color w:val="auto"/>
                <w:kern w:val="0"/>
                <w:sz w:val="24"/>
                <w:szCs w:val="20"/>
                <w:lang w:val="en-US" w:eastAsia="zh-CN" w:bidi="ar-SA"/>
              </w:rPr>
              <w:t>，本项目的建设符合生态保护红线的要求。本项目与江苏省生态</w:t>
            </w:r>
            <w:r>
              <w:rPr>
                <w:rFonts w:hint="eastAsia" w:ascii="Times New Roman" w:hAnsi="Times New Roman" w:cs="Times New Roman"/>
                <w:b w:val="0"/>
                <w:bCs/>
                <w:color w:val="auto"/>
                <w:kern w:val="0"/>
                <w:sz w:val="24"/>
                <w:szCs w:val="20"/>
                <w:lang w:val="en-US" w:eastAsia="zh-CN" w:bidi="ar-SA"/>
              </w:rPr>
              <w:t>管控空间</w:t>
            </w:r>
            <w:r>
              <w:rPr>
                <w:rFonts w:hint="default" w:ascii="Times New Roman" w:hAnsi="Times New Roman" w:eastAsia="宋体" w:cs="Times New Roman"/>
                <w:b w:val="0"/>
                <w:bCs/>
                <w:color w:val="auto"/>
                <w:kern w:val="0"/>
                <w:sz w:val="24"/>
                <w:szCs w:val="20"/>
                <w:lang w:val="en-US" w:eastAsia="zh-CN" w:bidi="ar-SA"/>
              </w:rPr>
              <w:t>的位置关系见附图</w:t>
            </w:r>
            <w:r>
              <w:rPr>
                <w:rFonts w:hint="eastAsia" w:ascii="Times New Roman" w:hAnsi="Times New Roman" w:eastAsia="宋体" w:cs="Times New Roman"/>
                <w:b w:val="0"/>
                <w:bCs/>
                <w:color w:val="auto"/>
                <w:kern w:val="0"/>
                <w:sz w:val="24"/>
                <w:szCs w:val="20"/>
                <w:lang w:val="en-US" w:eastAsia="zh-CN" w:bidi="ar-SA"/>
              </w:rPr>
              <w:t>2，与江苏省生态环境管控单元位置关系详见附图3，与淮安市</w:t>
            </w:r>
            <w:r>
              <w:rPr>
                <w:rFonts w:hint="eastAsia" w:ascii="Times New Roman" w:hAnsi="Times New Roman" w:cs="Times New Roman"/>
                <w:b w:val="0"/>
                <w:bCs/>
                <w:color w:val="auto"/>
                <w:kern w:val="0"/>
                <w:sz w:val="24"/>
                <w:szCs w:val="20"/>
                <w:lang w:val="en-US" w:eastAsia="zh-CN" w:bidi="ar-SA"/>
              </w:rPr>
              <w:t>生</w:t>
            </w:r>
            <w:r>
              <w:rPr>
                <w:rFonts w:hint="eastAsia" w:ascii="Times New Roman" w:hAnsi="Times New Roman" w:eastAsia="宋体" w:cs="Times New Roman"/>
                <w:b w:val="0"/>
                <w:bCs/>
                <w:color w:val="auto"/>
                <w:kern w:val="0"/>
                <w:sz w:val="24"/>
                <w:szCs w:val="20"/>
                <w:lang w:val="en-US" w:eastAsia="zh-CN" w:bidi="ar-SA"/>
              </w:rPr>
              <w:t>态环境管控单元位置关系详见附图4</w:t>
            </w:r>
            <w:r>
              <w:rPr>
                <w:rFonts w:hint="default" w:ascii="Times New Roman" w:hAnsi="Times New Roman" w:eastAsia="宋体" w:cs="Times New Roman"/>
                <w:b w:val="0"/>
                <w:bCs/>
                <w:color w:val="auto"/>
                <w:kern w:val="0"/>
                <w:sz w:val="24"/>
                <w:szCs w:val="20"/>
                <w:lang w:val="en-US" w:eastAsia="zh-CN" w:bidi="ar-SA"/>
              </w:rPr>
              <w:t>。</w:t>
            </w:r>
          </w:p>
          <w:p w14:paraId="02609D1A">
            <w:pPr>
              <w:pStyle w:val="17"/>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ascii="Times New Roman" w:hAnsi="Times New Roman" w:eastAsia="宋体"/>
                <w:b w:val="0"/>
                <w:bCs/>
                <w:color w:val="auto"/>
              </w:rPr>
            </w:pPr>
            <w:r>
              <w:rPr>
                <w:rFonts w:hint="eastAsia" w:ascii="Times New Roman" w:hAnsi="Times New Roman" w:eastAsia="宋体"/>
                <w:b w:val="0"/>
                <w:bCs/>
                <w:color w:val="auto"/>
              </w:rPr>
              <w:t>（2）环境质量底线</w:t>
            </w:r>
          </w:p>
          <w:p w14:paraId="24B735A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b w:val="0"/>
                <w:bCs w:val="0"/>
                <w:color w:val="auto"/>
                <w:sz w:val="24"/>
                <w:lang w:val="en-US" w:eastAsia="zh-CN"/>
              </w:rPr>
            </w:pPr>
            <w:r>
              <w:rPr>
                <w:rFonts w:hint="eastAsia" w:ascii="Times New Roman" w:hAnsi="Times New Roman"/>
                <w:b w:val="0"/>
                <w:bCs w:val="0"/>
                <w:color w:val="auto"/>
                <w:sz w:val="24"/>
                <w:lang w:val="en-US" w:eastAsia="zh-CN"/>
              </w:rPr>
              <w:t>①大气环境质量现状</w:t>
            </w:r>
          </w:p>
          <w:p w14:paraId="48A4036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b w:val="0"/>
                <w:bCs w:val="0"/>
                <w:color w:val="auto"/>
                <w:sz w:val="24"/>
                <w:lang w:val="en-US" w:eastAsia="zh-CN"/>
              </w:rPr>
            </w:pPr>
            <w:r>
              <w:rPr>
                <w:rFonts w:hint="eastAsia" w:ascii="Times New Roman" w:hAnsi="Times New Roman"/>
                <w:b w:val="0"/>
                <w:bCs w:val="0"/>
                <w:color w:val="auto"/>
                <w:sz w:val="24"/>
                <w:lang w:val="en-US" w:eastAsia="zh-CN"/>
              </w:rPr>
              <w:t>本项目位于淮安市涟水县经济开发区，项目所在区域为环境空气二类功能区，执行《环境空气质量标准》（GB3095-2012）及其修改单中二级标准。根据《涟水县2024年度环境质量公告》：2024年全县细颗粒物（PM</w:t>
            </w:r>
            <w:r>
              <w:rPr>
                <w:rFonts w:hint="eastAsia" w:ascii="Times New Roman" w:hAnsi="Times New Roman"/>
                <w:b w:val="0"/>
                <w:bCs w:val="0"/>
                <w:color w:val="auto"/>
                <w:sz w:val="24"/>
                <w:vertAlign w:val="subscript"/>
                <w:lang w:val="en-US" w:eastAsia="zh-CN"/>
              </w:rPr>
              <w:t>2.</w:t>
            </w:r>
            <w:r>
              <w:rPr>
                <w:rFonts w:hint="eastAsia"/>
                <w:b w:val="0"/>
                <w:bCs w:val="0"/>
                <w:color w:val="auto"/>
                <w:sz w:val="24"/>
                <w:vertAlign w:val="subscript"/>
                <w:lang w:val="en-US" w:eastAsia="zh-CN"/>
              </w:rPr>
              <w:t>5）</w:t>
            </w:r>
            <w:r>
              <w:rPr>
                <w:rFonts w:hint="eastAsia" w:ascii="Times New Roman" w:hAnsi="Times New Roman"/>
                <w:b w:val="0"/>
                <w:bCs w:val="0"/>
                <w:color w:val="auto"/>
                <w:sz w:val="24"/>
                <w:lang w:val="en-US" w:eastAsia="zh-CN"/>
              </w:rPr>
              <w:t>可吸入颗粒物（PM</w:t>
            </w:r>
            <w:r>
              <w:rPr>
                <w:rFonts w:hint="eastAsia" w:ascii="Times New Roman" w:hAnsi="Times New Roman"/>
                <w:b w:val="0"/>
                <w:bCs w:val="0"/>
                <w:color w:val="auto"/>
                <w:sz w:val="24"/>
                <w:vertAlign w:val="subscript"/>
                <w:lang w:val="en-US" w:eastAsia="zh-CN"/>
              </w:rPr>
              <w:t>10</w:t>
            </w:r>
            <w:r>
              <w:rPr>
                <w:rFonts w:hint="eastAsia" w:ascii="Times New Roman" w:hAnsi="Times New Roman"/>
                <w:b w:val="0"/>
                <w:bCs w:val="0"/>
                <w:color w:val="auto"/>
                <w:sz w:val="24"/>
                <w:lang w:val="en-US" w:eastAsia="zh-CN"/>
              </w:rPr>
              <w:t>）、二氧化硫（SO</w:t>
            </w:r>
            <w:r>
              <w:rPr>
                <w:rFonts w:hint="eastAsia" w:ascii="Times New Roman" w:hAnsi="Times New Roman"/>
                <w:b w:val="0"/>
                <w:bCs w:val="0"/>
                <w:color w:val="auto"/>
                <w:sz w:val="24"/>
                <w:vertAlign w:val="subscript"/>
                <w:lang w:val="en-US" w:eastAsia="zh-CN"/>
              </w:rPr>
              <w:t>2</w:t>
            </w:r>
            <w:r>
              <w:rPr>
                <w:rFonts w:hint="eastAsia" w:ascii="Times New Roman" w:hAnsi="Times New Roman"/>
                <w:b w:val="0"/>
                <w:bCs w:val="0"/>
                <w:color w:val="auto"/>
                <w:sz w:val="24"/>
                <w:lang w:val="en-US" w:eastAsia="zh-CN"/>
              </w:rPr>
              <w:t>）、二氧化氮（NO</w:t>
            </w:r>
            <w:r>
              <w:rPr>
                <w:rFonts w:hint="eastAsia" w:ascii="Times New Roman" w:hAnsi="Times New Roman"/>
                <w:b w:val="0"/>
                <w:bCs w:val="0"/>
                <w:color w:val="auto"/>
                <w:sz w:val="24"/>
                <w:vertAlign w:val="subscript"/>
                <w:lang w:val="en-US" w:eastAsia="zh-CN"/>
              </w:rPr>
              <w:t>2</w:t>
            </w:r>
            <w:r>
              <w:rPr>
                <w:rFonts w:hint="eastAsia" w:ascii="Times New Roman" w:hAnsi="Times New Roman"/>
                <w:b w:val="0"/>
                <w:bCs w:val="0"/>
                <w:color w:val="auto"/>
                <w:sz w:val="24"/>
                <w:lang w:val="en-US" w:eastAsia="zh-CN"/>
              </w:rPr>
              <w:t>）、一氧化碳（CO）和臭氧（O</w:t>
            </w:r>
            <w:r>
              <w:rPr>
                <w:rFonts w:hint="eastAsia" w:ascii="Times New Roman" w:hAnsi="Times New Roman"/>
                <w:b w:val="0"/>
                <w:bCs w:val="0"/>
                <w:color w:val="auto"/>
                <w:sz w:val="24"/>
                <w:vertAlign w:val="subscript"/>
                <w:lang w:val="en-US" w:eastAsia="zh-CN"/>
              </w:rPr>
              <w:t>3</w:t>
            </w:r>
            <w:r>
              <w:rPr>
                <w:rFonts w:hint="eastAsia" w:ascii="Times New Roman" w:hAnsi="Times New Roman"/>
                <w:b w:val="0"/>
                <w:bCs w:val="0"/>
                <w:color w:val="auto"/>
                <w:sz w:val="24"/>
                <w:lang w:val="en-US" w:eastAsia="zh-CN"/>
              </w:rPr>
              <w:t>）浓度年均浓度分别为34.8微克/立方米、58微克/立方米、18微克/立方米、25微克/立方米、0.7毫克/立方米、105微克/立方米。PM</w:t>
            </w:r>
            <w:r>
              <w:rPr>
                <w:rFonts w:hint="eastAsia" w:ascii="Times New Roman" w:hAnsi="Times New Roman"/>
                <w:b w:val="0"/>
                <w:bCs w:val="0"/>
                <w:color w:val="auto"/>
                <w:sz w:val="24"/>
                <w:vertAlign w:val="subscript"/>
                <w:lang w:val="en-US" w:eastAsia="zh-CN"/>
              </w:rPr>
              <w:t>10</w:t>
            </w:r>
            <w:r>
              <w:rPr>
                <w:rFonts w:hint="eastAsia" w:ascii="Times New Roman" w:hAnsi="Times New Roman"/>
                <w:b w:val="0"/>
                <w:bCs w:val="0"/>
                <w:color w:val="auto"/>
                <w:sz w:val="24"/>
                <w:lang w:val="en-US" w:eastAsia="zh-CN"/>
              </w:rPr>
              <w:t>、SO</w:t>
            </w:r>
            <w:r>
              <w:rPr>
                <w:rFonts w:hint="eastAsia" w:ascii="Times New Roman" w:hAnsi="Times New Roman"/>
                <w:b w:val="0"/>
                <w:bCs w:val="0"/>
                <w:color w:val="auto"/>
                <w:sz w:val="24"/>
                <w:vertAlign w:val="subscript"/>
                <w:lang w:val="en-US" w:eastAsia="zh-CN"/>
              </w:rPr>
              <w:t>2</w:t>
            </w:r>
            <w:r>
              <w:rPr>
                <w:rFonts w:hint="eastAsia" w:ascii="Times New Roman" w:hAnsi="Times New Roman"/>
                <w:b w:val="0"/>
                <w:bCs w:val="0"/>
                <w:color w:val="auto"/>
                <w:sz w:val="24"/>
                <w:lang w:val="en-US" w:eastAsia="zh-CN"/>
              </w:rPr>
              <w:t>、CO、O</w:t>
            </w:r>
            <w:r>
              <w:rPr>
                <w:rFonts w:hint="eastAsia" w:ascii="Times New Roman" w:hAnsi="Times New Roman"/>
                <w:b w:val="0"/>
                <w:bCs w:val="0"/>
                <w:color w:val="auto"/>
                <w:sz w:val="24"/>
                <w:vertAlign w:val="subscript"/>
                <w:lang w:val="en-US" w:eastAsia="zh-CN"/>
              </w:rPr>
              <w:t>3</w:t>
            </w:r>
            <w:r>
              <w:rPr>
                <w:rFonts w:hint="eastAsia" w:ascii="Times New Roman" w:hAnsi="Times New Roman"/>
                <w:b w:val="0"/>
                <w:bCs w:val="0"/>
                <w:color w:val="auto"/>
                <w:sz w:val="24"/>
                <w:lang w:val="en-US" w:eastAsia="zh-CN"/>
              </w:rPr>
              <w:t>降幅分别为6.9%、12.5%、10%、3.8%。可吸入颗粒物（PM</w:t>
            </w:r>
            <w:r>
              <w:rPr>
                <w:rFonts w:hint="eastAsia" w:ascii="Times New Roman" w:hAnsi="Times New Roman"/>
                <w:b w:val="0"/>
                <w:bCs w:val="0"/>
                <w:color w:val="auto"/>
                <w:sz w:val="24"/>
                <w:vertAlign w:val="subscript"/>
                <w:lang w:val="en-US" w:eastAsia="zh-CN"/>
              </w:rPr>
              <w:t>10</w:t>
            </w:r>
            <w:r>
              <w:rPr>
                <w:rFonts w:hint="eastAsia" w:ascii="Times New Roman" w:hAnsi="Times New Roman"/>
                <w:b w:val="0"/>
                <w:bCs w:val="0"/>
                <w:color w:val="auto"/>
                <w:sz w:val="24"/>
                <w:lang w:val="en-US" w:eastAsia="zh-CN"/>
              </w:rPr>
              <w:t>）、二氧化硫（SO</w:t>
            </w:r>
            <w:r>
              <w:rPr>
                <w:rFonts w:hint="eastAsia" w:ascii="Times New Roman" w:hAnsi="Times New Roman"/>
                <w:b w:val="0"/>
                <w:bCs w:val="0"/>
                <w:color w:val="auto"/>
                <w:sz w:val="24"/>
                <w:vertAlign w:val="subscript"/>
                <w:lang w:val="en-US" w:eastAsia="zh-CN"/>
              </w:rPr>
              <w:t>2</w:t>
            </w:r>
            <w:r>
              <w:rPr>
                <w:rFonts w:hint="eastAsia" w:ascii="Times New Roman" w:hAnsi="Times New Roman"/>
                <w:b w:val="0"/>
                <w:bCs w:val="0"/>
                <w:color w:val="auto"/>
                <w:sz w:val="24"/>
                <w:lang w:val="en-US" w:eastAsia="zh-CN"/>
              </w:rPr>
              <w:t>）、二氧化氮（NO</w:t>
            </w:r>
            <w:r>
              <w:rPr>
                <w:rFonts w:hint="eastAsia" w:ascii="Times New Roman" w:hAnsi="Times New Roman"/>
                <w:b w:val="0"/>
                <w:bCs w:val="0"/>
                <w:color w:val="auto"/>
                <w:sz w:val="24"/>
                <w:vertAlign w:val="subscript"/>
                <w:lang w:val="en-US" w:eastAsia="zh-CN"/>
              </w:rPr>
              <w:t>2</w:t>
            </w:r>
            <w:r>
              <w:rPr>
                <w:rFonts w:hint="eastAsia" w:ascii="Times New Roman" w:hAnsi="Times New Roman"/>
                <w:b w:val="0"/>
                <w:bCs w:val="0"/>
                <w:color w:val="auto"/>
                <w:sz w:val="24"/>
                <w:lang w:val="en-US" w:eastAsia="zh-CN"/>
              </w:rPr>
              <w:t>）、一氧化碳（CO）和臭氧（O</w:t>
            </w:r>
            <w:r>
              <w:rPr>
                <w:rFonts w:hint="eastAsia" w:ascii="Times New Roman" w:hAnsi="Times New Roman"/>
                <w:b w:val="0"/>
                <w:bCs w:val="0"/>
                <w:color w:val="auto"/>
                <w:sz w:val="24"/>
                <w:vertAlign w:val="subscript"/>
                <w:lang w:val="en-US" w:eastAsia="zh-CN"/>
              </w:rPr>
              <w:t>3</w:t>
            </w:r>
            <w:r>
              <w:rPr>
                <w:rFonts w:hint="eastAsia" w:ascii="Times New Roman" w:hAnsi="Times New Roman"/>
                <w:b w:val="0"/>
                <w:bCs w:val="0"/>
                <w:color w:val="auto"/>
                <w:sz w:val="24"/>
                <w:lang w:val="en-US" w:eastAsia="zh-CN"/>
              </w:rPr>
              <w:t>）浓度均达到国家二级标准限值。因此，2024年涟水县环境空气质量为达标区。</w:t>
            </w:r>
          </w:p>
          <w:p w14:paraId="1C7F6AC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b w:val="0"/>
                <w:bCs w:val="0"/>
                <w:color w:val="auto"/>
                <w:sz w:val="24"/>
                <w:lang w:val="en-US" w:eastAsia="zh-CN"/>
              </w:rPr>
            </w:pPr>
            <w:r>
              <w:rPr>
                <w:rFonts w:hint="eastAsia" w:ascii="Times New Roman" w:hAnsi="Times New Roman"/>
                <w:b w:val="0"/>
                <w:bCs w:val="0"/>
                <w:color w:val="auto"/>
                <w:sz w:val="24"/>
                <w:lang w:val="en-US" w:eastAsia="zh-CN"/>
              </w:rPr>
              <w:t>②地表水环境质量现状</w:t>
            </w:r>
          </w:p>
          <w:p w14:paraId="397769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b w:val="0"/>
                <w:bCs w:val="0"/>
                <w:color w:val="auto"/>
                <w:sz w:val="24"/>
                <w:lang w:val="en-US" w:eastAsia="zh-CN"/>
              </w:rPr>
            </w:pPr>
            <w:r>
              <w:rPr>
                <w:rFonts w:hint="eastAsia" w:ascii="Times New Roman" w:hAnsi="Times New Roman"/>
                <w:b w:val="0"/>
                <w:bCs w:val="0"/>
                <w:color w:val="auto"/>
                <w:sz w:val="24"/>
                <w:lang w:val="en-US" w:eastAsia="zh-CN"/>
              </w:rPr>
              <w:t>本项目废水最终纳污水体为公兴河，公兴河监测断面为头圩渡口，为“十四五”新增省考断面，考核标准为</w:t>
            </w:r>
            <w:r>
              <w:rPr>
                <w:rFonts w:hint="default" w:ascii="Times New Roman" w:hAnsi="Times New Roman" w:cs="Times New Roman"/>
                <w:b w:val="0"/>
                <w:bCs w:val="0"/>
                <w:color w:val="auto"/>
                <w:sz w:val="24"/>
                <w:lang w:val="en-US" w:eastAsia="zh-CN"/>
              </w:rPr>
              <w:t>Ⅳ</w:t>
            </w:r>
            <w:r>
              <w:rPr>
                <w:rFonts w:hint="eastAsia" w:ascii="Times New Roman" w:hAnsi="Times New Roman"/>
                <w:b w:val="0"/>
                <w:bCs w:val="0"/>
                <w:color w:val="auto"/>
                <w:sz w:val="24"/>
                <w:lang w:val="en-US" w:eastAsia="zh-CN"/>
              </w:rPr>
              <w:t>类水。根据《涟水县2024年度环境质量公告》：2024年监测结果均值显示水质达到</w:t>
            </w:r>
            <w:r>
              <w:rPr>
                <w:rFonts w:hint="default" w:ascii="Times New Roman" w:hAnsi="Times New Roman" w:cs="Times New Roman"/>
                <w:b w:val="0"/>
                <w:bCs w:val="0"/>
                <w:color w:val="auto"/>
                <w:sz w:val="24"/>
                <w:lang w:val="en-US" w:eastAsia="zh-CN"/>
              </w:rPr>
              <w:t>Ⅳ</w:t>
            </w:r>
            <w:r>
              <w:rPr>
                <w:rFonts w:hint="eastAsia" w:ascii="Times New Roman" w:hAnsi="Times New Roman"/>
                <w:b w:val="0"/>
                <w:bCs w:val="0"/>
                <w:color w:val="auto"/>
                <w:sz w:val="24"/>
                <w:lang w:val="en-US" w:eastAsia="zh-CN"/>
              </w:rPr>
              <w:t>类水标准。</w:t>
            </w:r>
          </w:p>
          <w:p w14:paraId="195AB0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b w:val="0"/>
                <w:bCs w:val="0"/>
                <w:color w:val="auto"/>
                <w:sz w:val="24"/>
                <w:lang w:val="en-US" w:eastAsia="zh-CN"/>
              </w:rPr>
            </w:pPr>
            <w:r>
              <w:rPr>
                <w:rFonts w:hint="eastAsia" w:ascii="Times New Roman" w:hAnsi="Times New Roman"/>
                <w:b w:val="0"/>
                <w:bCs w:val="0"/>
                <w:color w:val="auto"/>
                <w:sz w:val="24"/>
                <w:lang w:val="en-US" w:eastAsia="zh-CN"/>
              </w:rPr>
              <w:t>③声环境质量现状</w:t>
            </w:r>
          </w:p>
          <w:p w14:paraId="39416E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b w:val="0"/>
                <w:bCs w:val="0"/>
                <w:color w:val="auto"/>
                <w:sz w:val="24"/>
                <w:lang w:val="en-US" w:eastAsia="zh-CN"/>
              </w:rPr>
            </w:pPr>
            <w:r>
              <w:rPr>
                <w:rFonts w:hint="eastAsia" w:ascii="Times New Roman" w:hAnsi="Times New Roman"/>
                <w:b w:val="0"/>
                <w:bCs w:val="0"/>
                <w:color w:val="auto"/>
                <w:sz w:val="24"/>
                <w:lang w:val="en-US" w:eastAsia="zh-CN"/>
              </w:rPr>
              <w:t>本项目位于江苏涟水经济开发区，属于3类功能区。根据《涟水县2024年度环境质量公告》：2024年，全县声环境总体较好，各功能区昼、夜平均等效声级均达标，全县4个功能区噪声监测点的合计昼间达标率为99.1%，较去年上升1.5百分点，夜间达标率为82.4%，较去年下降4.6百分点。</w:t>
            </w:r>
          </w:p>
          <w:p w14:paraId="00A9B0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综上，本</w:t>
            </w:r>
            <w:r>
              <w:rPr>
                <w:rFonts w:hint="default" w:ascii="Times New Roman" w:hAnsi="Times New Roman" w:eastAsia="宋体" w:cs="Times New Roman"/>
                <w:color w:val="auto"/>
                <w:sz w:val="24"/>
              </w:rPr>
              <w:t>项目营运期各类污染物采取相应污染防治措施后，对周围环境影响均较小，不会降低当地环境质量，符合环境质量底线标准。</w:t>
            </w:r>
          </w:p>
          <w:p w14:paraId="185D81A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ascii="Times New Roman" w:hAnsi="Times New Roman" w:eastAsia="宋体"/>
                <w:color w:val="auto"/>
                <w:sz w:val="24"/>
              </w:rPr>
            </w:pPr>
            <w:r>
              <w:rPr>
                <w:rFonts w:hint="eastAsia" w:ascii="Times New Roman" w:hAnsi="Times New Roman" w:eastAsia="宋体"/>
                <w:color w:val="auto"/>
                <w:sz w:val="24"/>
              </w:rPr>
              <w:t>（3）资源利用上线</w:t>
            </w:r>
          </w:p>
          <w:p w14:paraId="3DDC183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color w:val="auto"/>
                <w:sz w:val="24"/>
              </w:rPr>
            </w:pPr>
            <w:r>
              <w:rPr>
                <w:rFonts w:hint="eastAsia"/>
                <w:color w:val="auto"/>
                <w:sz w:val="24"/>
              </w:rPr>
              <w:t>本项目与资源利用上线的相符性分析见</w:t>
            </w:r>
            <w:r>
              <w:rPr>
                <w:rFonts w:hint="eastAsia"/>
                <w:color w:val="auto"/>
                <w:sz w:val="24"/>
                <w:lang w:val="en-US" w:eastAsia="zh-CN"/>
              </w:rPr>
              <w:t>下表</w:t>
            </w:r>
            <w:r>
              <w:rPr>
                <w:rFonts w:hint="eastAsia"/>
                <w:color w:val="auto"/>
                <w:sz w:val="24"/>
              </w:rPr>
              <w:t>。</w:t>
            </w:r>
          </w:p>
          <w:p w14:paraId="31875F7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bCs/>
                <w:color w:val="auto"/>
                <w:szCs w:val="21"/>
              </w:rPr>
            </w:pPr>
            <w:r>
              <w:rPr>
                <w:rFonts w:hint="eastAsia"/>
                <w:b/>
                <w:bCs/>
                <w:color w:val="auto"/>
                <w:szCs w:val="21"/>
              </w:rPr>
              <w:t>表1-</w:t>
            </w:r>
            <w:r>
              <w:rPr>
                <w:rFonts w:hint="eastAsia"/>
                <w:b/>
                <w:bCs/>
                <w:color w:val="auto"/>
                <w:szCs w:val="21"/>
                <w:lang w:val="en-US" w:eastAsia="zh-CN"/>
              </w:rPr>
              <w:t xml:space="preserve">8  </w:t>
            </w:r>
            <w:r>
              <w:rPr>
                <w:rFonts w:hint="eastAsia"/>
                <w:b/>
                <w:bCs/>
                <w:color w:val="auto"/>
                <w:szCs w:val="21"/>
              </w:rPr>
              <w:t>项目与资源利用上</w:t>
            </w:r>
            <w:r>
              <w:rPr>
                <w:rFonts w:hint="eastAsia"/>
                <w:b/>
                <w:bCs/>
                <w:color w:val="auto"/>
                <w:szCs w:val="21"/>
                <w:lang w:val="en-US" w:eastAsia="zh-CN"/>
              </w:rPr>
              <w:t>线</w:t>
            </w:r>
            <w:r>
              <w:rPr>
                <w:rFonts w:hint="eastAsia"/>
                <w:b/>
                <w:bCs/>
                <w:color w:val="auto"/>
                <w:szCs w:val="21"/>
              </w:rPr>
              <w:t>的相符性分析表</w:t>
            </w:r>
          </w:p>
          <w:tbl>
            <w:tblPr>
              <w:tblStyle w:val="20"/>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695"/>
              <w:gridCol w:w="817"/>
              <w:gridCol w:w="5240"/>
              <w:gridCol w:w="1085"/>
            </w:tblGrid>
            <w:tr w14:paraId="633C2024">
              <w:trPr>
                <w:trHeight w:val="227" w:hRule="atLeast"/>
              </w:trPr>
              <w:tc>
                <w:tcPr>
                  <w:tcW w:w="443" w:type="pct"/>
                  <w:noWrap w:val="0"/>
                  <w:vAlign w:val="center"/>
                </w:tcPr>
                <w:p w14:paraId="5D575681">
                  <w:pPr>
                    <w:jc w:val="center"/>
                    <w:rPr>
                      <w:color w:val="auto"/>
                    </w:rPr>
                  </w:pPr>
                  <w:r>
                    <w:rPr>
                      <w:color w:val="auto"/>
                    </w:rPr>
                    <w:t>序号</w:t>
                  </w:r>
                </w:p>
              </w:tc>
              <w:tc>
                <w:tcPr>
                  <w:tcW w:w="521" w:type="pct"/>
                  <w:noWrap w:val="0"/>
                  <w:vAlign w:val="center"/>
                </w:tcPr>
                <w:p w14:paraId="5F82411E">
                  <w:pPr>
                    <w:jc w:val="center"/>
                    <w:rPr>
                      <w:color w:val="auto"/>
                    </w:rPr>
                  </w:pPr>
                  <w:r>
                    <w:rPr>
                      <w:color w:val="auto"/>
                    </w:rPr>
                    <w:t>内容</w:t>
                  </w:r>
                </w:p>
              </w:tc>
              <w:tc>
                <w:tcPr>
                  <w:tcW w:w="3342" w:type="pct"/>
                  <w:noWrap w:val="0"/>
                  <w:vAlign w:val="center"/>
                </w:tcPr>
                <w:p w14:paraId="2AF774DC">
                  <w:pPr>
                    <w:jc w:val="center"/>
                    <w:rPr>
                      <w:color w:val="auto"/>
                    </w:rPr>
                  </w:pPr>
                  <w:r>
                    <w:rPr>
                      <w:color w:val="auto"/>
                    </w:rPr>
                    <w:t>与资源利用上线的相符性</w:t>
                  </w:r>
                </w:p>
              </w:tc>
              <w:tc>
                <w:tcPr>
                  <w:tcW w:w="692" w:type="pct"/>
                  <w:noWrap w:val="0"/>
                  <w:vAlign w:val="center"/>
                </w:tcPr>
                <w:p w14:paraId="00195216">
                  <w:pPr>
                    <w:jc w:val="center"/>
                    <w:rPr>
                      <w:color w:val="auto"/>
                    </w:rPr>
                  </w:pPr>
                  <w:r>
                    <w:rPr>
                      <w:color w:val="auto"/>
                    </w:rPr>
                    <w:t>是否符合</w:t>
                  </w:r>
                </w:p>
              </w:tc>
            </w:tr>
            <w:tr w14:paraId="34F589A8">
              <w:trPr>
                <w:trHeight w:val="227" w:hRule="atLeast"/>
              </w:trPr>
              <w:tc>
                <w:tcPr>
                  <w:tcW w:w="443" w:type="pct"/>
                  <w:noWrap w:val="0"/>
                  <w:vAlign w:val="center"/>
                </w:tcPr>
                <w:p w14:paraId="36E1A4FE">
                  <w:pPr>
                    <w:jc w:val="center"/>
                    <w:rPr>
                      <w:color w:val="auto"/>
                    </w:rPr>
                  </w:pPr>
                  <w:r>
                    <w:rPr>
                      <w:color w:val="auto"/>
                    </w:rPr>
                    <w:t>1</w:t>
                  </w:r>
                </w:p>
              </w:tc>
              <w:tc>
                <w:tcPr>
                  <w:tcW w:w="521" w:type="pct"/>
                  <w:noWrap w:val="0"/>
                  <w:vAlign w:val="center"/>
                </w:tcPr>
                <w:p w14:paraId="7B181FA3">
                  <w:pPr>
                    <w:jc w:val="center"/>
                    <w:rPr>
                      <w:color w:val="auto"/>
                    </w:rPr>
                  </w:pPr>
                  <w:r>
                    <w:rPr>
                      <w:color w:val="auto"/>
                    </w:rPr>
                    <w:t>能耗</w:t>
                  </w:r>
                </w:p>
                <w:p w14:paraId="6C11FE0F">
                  <w:pPr>
                    <w:jc w:val="center"/>
                    <w:rPr>
                      <w:color w:val="auto"/>
                    </w:rPr>
                  </w:pPr>
                  <w:r>
                    <w:rPr>
                      <w:color w:val="auto"/>
                    </w:rPr>
                    <w:t>消耗</w:t>
                  </w:r>
                </w:p>
              </w:tc>
              <w:tc>
                <w:tcPr>
                  <w:tcW w:w="3342" w:type="pct"/>
                  <w:noWrap w:val="0"/>
                  <w:vAlign w:val="center"/>
                </w:tcPr>
                <w:p w14:paraId="6E688CB6">
                  <w:pPr>
                    <w:jc w:val="both"/>
                    <w:rPr>
                      <w:color w:val="auto"/>
                    </w:rPr>
                  </w:pPr>
                  <w:r>
                    <w:rPr>
                      <w:color w:val="auto"/>
                    </w:rPr>
                    <w:t>不增加煤炭使用；不属于压缩产能、过剩产能，</w:t>
                  </w:r>
                  <w:r>
                    <w:rPr>
                      <w:rFonts w:hint="eastAsia"/>
                      <w:color w:val="auto"/>
                    </w:rPr>
                    <w:t>“两高”</w:t>
                  </w:r>
                  <w:r>
                    <w:rPr>
                      <w:color w:val="auto"/>
                    </w:rPr>
                    <w:t>行业；本项目用电量约为</w:t>
                  </w:r>
                  <w:r>
                    <w:rPr>
                      <w:rFonts w:hint="eastAsia"/>
                      <w:color w:val="auto"/>
                      <w:lang w:val="en-US" w:eastAsia="zh-CN"/>
                    </w:rPr>
                    <w:t>400</w:t>
                  </w:r>
                  <w:r>
                    <w:rPr>
                      <w:color w:val="auto"/>
                    </w:rPr>
                    <w:t>万千瓦时/年，</w:t>
                  </w:r>
                  <w:r>
                    <w:rPr>
                      <w:rFonts w:hint="eastAsia"/>
                      <w:color w:val="auto"/>
                    </w:rPr>
                    <w:t>项目</w:t>
                  </w:r>
                  <w:r>
                    <w:rPr>
                      <w:color w:val="auto"/>
                    </w:rPr>
                    <w:t>所在地可以满足用电需求，不会突破当地资源利用上线。</w:t>
                  </w:r>
                </w:p>
              </w:tc>
              <w:tc>
                <w:tcPr>
                  <w:tcW w:w="692" w:type="pct"/>
                  <w:noWrap w:val="0"/>
                  <w:vAlign w:val="center"/>
                </w:tcPr>
                <w:p w14:paraId="3C121A3A">
                  <w:pPr>
                    <w:jc w:val="center"/>
                    <w:rPr>
                      <w:color w:val="auto"/>
                    </w:rPr>
                  </w:pPr>
                  <w:r>
                    <w:rPr>
                      <w:color w:val="auto"/>
                    </w:rPr>
                    <w:t>是</w:t>
                  </w:r>
                </w:p>
              </w:tc>
            </w:tr>
            <w:tr w14:paraId="4760BBDA">
              <w:trPr>
                <w:trHeight w:val="227" w:hRule="atLeast"/>
              </w:trPr>
              <w:tc>
                <w:tcPr>
                  <w:tcW w:w="443" w:type="pct"/>
                  <w:noWrap w:val="0"/>
                  <w:vAlign w:val="center"/>
                </w:tcPr>
                <w:p w14:paraId="3CB118EF">
                  <w:pPr>
                    <w:jc w:val="center"/>
                    <w:rPr>
                      <w:color w:val="auto"/>
                    </w:rPr>
                  </w:pPr>
                  <w:r>
                    <w:rPr>
                      <w:color w:val="auto"/>
                    </w:rPr>
                    <w:t>2</w:t>
                  </w:r>
                </w:p>
              </w:tc>
              <w:tc>
                <w:tcPr>
                  <w:tcW w:w="521" w:type="pct"/>
                  <w:noWrap w:val="0"/>
                  <w:vAlign w:val="center"/>
                </w:tcPr>
                <w:p w14:paraId="15871107">
                  <w:pPr>
                    <w:jc w:val="center"/>
                    <w:rPr>
                      <w:color w:val="auto"/>
                    </w:rPr>
                  </w:pPr>
                  <w:r>
                    <w:rPr>
                      <w:color w:val="auto"/>
                    </w:rPr>
                    <w:t>水资源消耗</w:t>
                  </w:r>
                </w:p>
              </w:tc>
              <w:tc>
                <w:tcPr>
                  <w:tcW w:w="3342" w:type="pct"/>
                  <w:noWrap w:val="0"/>
                  <w:vAlign w:val="center"/>
                </w:tcPr>
                <w:p w14:paraId="1F47F090">
                  <w:pPr>
                    <w:jc w:val="both"/>
                    <w:rPr>
                      <w:color w:val="auto"/>
                    </w:rPr>
                  </w:pPr>
                  <w:r>
                    <w:rPr>
                      <w:color w:val="auto"/>
                    </w:rPr>
                    <w:t>本项目所在</w:t>
                  </w:r>
                  <w:r>
                    <w:rPr>
                      <w:rFonts w:ascii="Times New Roman" w:hAnsi="Times New Roman" w:eastAsia="宋体" w:cs="Times New Roman"/>
                      <w:color w:val="auto"/>
                    </w:rPr>
                    <w:t>地不属于严重缺水地区；区域供水管网可以满足</w:t>
                  </w:r>
                  <w:r>
                    <w:rPr>
                      <w:rFonts w:hint="eastAsia" w:ascii="Times New Roman" w:hAnsi="Times New Roman" w:eastAsia="宋体" w:cs="Times New Roman"/>
                      <w:color w:val="auto"/>
                    </w:rPr>
                    <w:t>本</w:t>
                  </w:r>
                  <w:r>
                    <w:rPr>
                      <w:rFonts w:ascii="Times New Roman" w:hAnsi="Times New Roman" w:eastAsia="宋体" w:cs="Times New Roman"/>
                      <w:color w:val="auto"/>
                    </w:rPr>
                    <w:t>项目用水</w:t>
                  </w:r>
                  <w:r>
                    <w:rPr>
                      <w:rFonts w:hint="eastAsia" w:ascii="Times New Roman" w:hAnsi="Times New Roman" w:eastAsia="宋体" w:cs="Times New Roman"/>
                      <w:color w:val="auto"/>
                    </w:rPr>
                    <w:t>需求</w:t>
                  </w:r>
                  <w:r>
                    <w:rPr>
                      <w:rFonts w:ascii="Times New Roman" w:hAnsi="Times New Roman" w:eastAsia="宋体" w:cs="Times New Roman"/>
                      <w:color w:val="auto"/>
                    </w:rPr>
                    <w:t>；</w:t>
                  </w:r>
                  <w:r>
                    <w:rPr>
                      <w:rFonts w:hint="eastAsia" w:ascii="Times New Roman" w:hAnsi="Times New Roman" w:eastAsia="宋体" w:cs="Times New Roman"/>
                      <w:color w:val="auto"/>
                    </w:rPr>
                    <w:t>本</w:t>
                  </w:r>
                  <w:r>
                    <w:rPr>
                      <w:rFonts w:ascii="Times New Roman" w:hAnsi="Times New Roman" w:eastAsia="宋体" w:cs="Times New Roman"/>
                      <w:color w:val="auto"/>
                    </w:rPr>
                    <w:t>项目不涉及地下水开采。本项目用水量为</w:t>
                  </w:r>
                  <w:r>
                    <w:rPr>
                      <w:rFonts w:hint="eastAsia" w:cs="Times New Roman"/>
                      <w:color w:val="auto"/>
                      <w:lang w:val="en-US" w:eastAsia="zh-CN"/>
                    </w:rPr>
                    <w:t>195908.4m</w:t>
                  </w:r>
                  <w:r>
                    <w:rPr>
                      <w:rFonts w:hint="eastAsia" w:cs="Times New Roman"/>
                      <w:color w:val="auto"/>
                      <w:vertAlign w:val="superscript"/>
                      <w:lang w:val="en-US" w:eastAsia="zh-CN"/>
                    </w:rPr>
                    <w:t>3</w:t>
                  </w:r>
                  <w:r>
                    <w:rPr>
                      <w:rFonts w:hint="eastAsia" w:ascii="Times New Roman" w:hAnsi="Times New Roman" w:eastAsia="宋体" w:cs="Times New Roman"/>
                      <w:color w:val="auto"/>
                      <w:lang w:val="en-US" w:eastAsia="zh-CN"/>
                    </w:rPr>
                    <w:t>/a</w:t>
                  </w:r>
                  <w:r>
                    <w:rPr>
                      <w:rFonts w:ascii="Times New Roman" w:hAnsi="Times New Roman" w:eastAsia="宋体" w:cs="Times New Roman"/>
                      <w:color w:val="auto"/>
                    </w:rPr>
                    <w:t>。</w:t>
                  </w:r>
                </w:p>
              </w:tc>
              <w:tc>
                <w:tcPr>
                  <w:tcW w:w="692" w:type="pct"/>
                  <w:noWrap w:val="0"/>
                  <w:vAlign w:val="center"/>
                </w:tcPr>
                <w:p w14:paraId="2E47A2C5">
                  <w:pPr>
                    <w:jc w:val="center"/>
                    <w:rPr>
                      <w:color w:val="auto"/>
                    </w:rPr>
                  </w:pPr>
                  <w:r>
                    <w:rPr>
                      <w:color w:val="auto"/>
                    </w:rPr>
                    <w:t>是</w:t>
                  </w:r>
                </w:p>
              </w:tc>
            </w:tr>
            <w:tr w14:paraId="360621D4">
              <w:trPr>
                <w:trHeight w:val="227" w:hRule="atLeast"/>
              </w:trPr>
              <w:tc>
                <w:tcPr>
                  <w:tcW w:w="443" w:type="pct"/>
                  <w:noWrap w:val="0"/>
                  <w:vAlign w:val="center"/>
                </w:tcPr>
                <w:p w14:paraId="04691570">
                  <w:pPr>
                    <w:jc w:val="center"/>
                    <w:rPr>
                      <w:color w:val="auto"/>
                    </w:rPr>
                  </w:pPr>
                  <w:r>
                    <w:rPr>
                      <w:color w:val="auto"/>
                    </w:rPr>
                    <w:t>3</w:t>
                  </w:r>
                </w:p>
              </w:tc>
              <w:tc>
                <w:tcPr>
                  <w:tcW w:w="521" w:type="pct"/>
                  <w:noWrap w:val="0"/>
                  <w:vAlign w:val="center"/>
                </w:tcPr>
                <w:p w14:paraId="6E25CA23">
                  <w:pPr>
                    <w:jc w:val="center"/>
                    <w:rPr>
                      <w:color w:val="auto"/>
                    </w:rPr>
                  </w:pPr>
                  <w:r>
                    <w:rPr>
                      <w:color w:val="auto"/>
                    </w:rPr>
                    <w:t>土地</w:t>
                  </w:r>
                </w:p>
                <w:p w14:paraId="2BF512EF">
                  <w:pPr>
                    <w:jc w:val="center"/>
                    <w:rPr>
                      <w:color w:val="auto"/>
                    </w:rPr>
                  </w:pPr>
                  <w:r>
                    <w:rPr>
                      <w:color w:val="auto"/>
                    </w:rPr>
                    <w:t>资源</w:t>
                  </w:r>
                  <w:r>
                    <w:rPr>
                      <w:rFonts w:hint="eastAsia"/>
                      <w:color w:val="auto"/>
                    </w:rPr>
                    <w:t>消耗</w:t>
                  </w:r>
                </w:p>
              </w:tc>
              <w:tc>
                <w:tcPr>
                  <w:tcW w:w="3342" w:type="pct"/>
                  <w:noWrap w:val="0"/>
                  <w:vAlign w:val="center"/>
                </w:tcPr>
                <w:p w14:paraId="3F7FDC31">
                  <w:pPr>
                    <w:jc w:val="both"/>
                    <w:rPr>
                      <w:color w:val="auto"/>
                    </w:rPr>
                  </w:pPr>
                  <w:r>
                    <w:rPr>
                      <w:color w:val="auto"/>
                    </w:rPr>
                    <w:t>本项目</w:t>
                  </w:r>
                  <w:r>
                    <w:rPr>
                      <w:rFonts w:hint="eastAsia"/>
                      <w:color w:val="auto"/>
                    </w:rPr>
                    <w:t>选址于涟水县</w:t>
                  </w:r>
                  <w:r>
                    <w:rPr>
                      <w:rFonts w:hint="eastAsia"/>
                      <w:color w:val="auto"/>
                      <w:lang w:val="en-US" w:eastAsia="zh-CN"/>
                    </w:rPr>
                    <w:t>经济开发区</w:t>
                  </w:r>
                  <w:r>
                    <w:rPr>
                      <w:rFonts w:hint="eastAsia"/>
                      <w:color w:val="auto"/>
                    </w:rPr>
                    <w:t>，</w:t>
                  </w:r>
                  <w:r>
                    <w:rPr>
                      <w:color w:val="auto"/>
                    </w:rPr>
                    <w:t>所在地不属于用地供需矛盾特别突出地区；本项目占地面积为</w:t>
                  </w:r>
                  <w:r>
                    <w:rPr>
                      <w:rFonts w:hint="eastAsia"/>
                      <w:color w:val="auto"/>
                      <w:lang w:val="en-US" w:eastAsia="zh-CN"/>
                    </w:rPr>
                    <w:t>19442</w:t>
                  </w:r>
                  <w:r>
                    <w:rPr>
                      <w:color w:val="auto"/>
                    </w:rPr>
                    <w:t>m</w:t>
                  </w:r>
                  <w:r>
                    <w:rPr>
                      <w:color w:val="auto"/>
                      <w:vertAlign w:val="superscript"/>
                    </w:rPr>
                    <w:t>2</w:t>
                  </w:r>
                  <w:r>
                    <w:rPr>
                      <w:color w:val="auto"/>
                    </w:rPr>
                    <w:t>，</w:t>
                  </w:r>
                  <w:r>
                    <w:rPr>
                      <w:rFonts w:hint="eastAsia"/>
                      <w:color w:val="auto"/>
                      <w:lang w:val="en-US" w:eastAsia="zh-CN"/>
                    </w:rPr>
                    <w:t>位于涟水县经济开发区兴旺路28号（兴旺路北侧、高坚科技东侧）</w:t>
                  </w:r>
                  <w:r>
                    <w:rPr>
                      <w:rFonts w:hint="eastAsia"/>
                      <w:color w:val="auto"/>
                      <w:lang w:eastAsia="zh-CN"/>
                    </w:rPr>
                    <w:t>，</w:t>
                  </w:r>
                  <w:r>
                    <w:rPr>
                      <w:rFonts w:hint="eastAsia"/>
                      <w:color w:val="auto"/>
                      <w:lang w:val="en-US" w:eastAsia="zh-CN"/>
                    </w:rPr>
                    <w:t>新建生产厂房及辅助用房建筑面积约12000m</w:t>
                  </w:r>
                  <w:r>
                    <w:rPr>
                      <w:rFonts w:hint="eastAsia"/>
                      <w:color w:val="auto"/>
                      <w:vertAlign w:val="superscript"/>
                      <w:lang w:val="en-US" w:eastAsia="zh-CN"/>
                    </w:rPr>
                    <w:t>2</w:t>
                  </w:r>
                  <w:r>
                    <w:rPr>
                      <w:rFonts w:hint="eastAsia"/>
                      <w:color w:val="auto"/>
                    </w:rPr>
                    <w:t>，不涉及农耕用地</w:t>
                  </w:r>
                  <w:r>
                    <w:rPr>
                      <w:color w:val="auto"/>
                    </w:rPr>
                    <w:t>。</w:t>
                  </w:r>
                </w:p>
              </w:tc>
              <w:tc>
                <w:tcPr>
                  <w:tcW w:w="692" w:type="pct"/>
                  <w:noWrap w:val="0"/>
                  <w:vAlign w:val="center"/>
                </w:tcPr>
                <w:p w14:paraId="345684AB">
                  <w:pPr>
                    <w:jc w:val="center"/>
                    <w:rPr>
                      <w:color w:val="auto"/>
                    </w:rPr>
                  </w:pPr>
                  <w:r>
                    <w:rPr>
                      <w:color w:val="auto"/>
                    </w:rPr>
                    <w:t>是</w:t>
                  </w:r>
                </w:p>
              </w:tc>
            </w:tr>
          </w:tbl>
          <w:p w14:paraId="6394342F">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color w:val="auto"/>
                <w:sz w:val="24"/>
              </w:rPr>
            </w:pPr>
            <w:r>
              <w:rPr>
                <w:rFonts w:hint="eastAsia"/>
                <w:color w:val="auto"/>
                <w:sz w:val="24"/>
              </w:rPr>
              <w:t>由上表分析可知，本项目符合资源利用上线要求。</w:t>
            </w:r>
          </w:p>
          <w:p w14:paraId="765C0964">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color w:val="auto"/>
                <w:sz w:val="24"/>
              </w:rPr>
            </w:pPr>
            <w:r>
              <w:rPr>
                <w:rFonts w:hint="eastAsia"/>
                <w:color w:val="auto"/>
                <w:sz w:val="24"/>
              </w:rPr>
              <w:t>（4）环境准入负面清单</w:t>
            </w:r>
          </w:p>
          <w:p w14:paraId="22FCCEE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ascii="Times New Roman" w:hAnsi="Times New Roman" w:cs="Times New Roman"/>
                <w:b/>
                <w:bCs/>
                <w:color w:val="auto"/>
                <w:sz w:val="21"/>
                <w:szCs w:val="21"/>
              </w:rPr>
            </w:pPr>
            <w:r>
              <w:rPr>
                <w:rFonts w:hint="eastAsia"/>
                <w:color w:val="auto"/>
                <w:sz w:val="24"/>
              </w:rPr>
              <w:t>①</w:t>
            </w:r>
            <w:r>
              <w:rPr>
                <w:color w:val="auto"/>
                <w:sz w:val="24"/>
                <w:szCs w:val="24"/>
              </w:rPr>
              <w:t>本次环评对照国家及地方产业政策和《市场准入负面清单（202</w:t>
            </w:r>
            <w:r>
              <w:rPr>
                <w:rFonts w:hint="eastAsia"/>
                <w:color w:val="auto"/>
                <w:sz w:val="24"/>
                <w:szCs w:val="24"/>
                <w:lang w:val="en-US" w:eastAsia="zh-CN"/>
              </w:rPr>
              <w:t>5</w:t>
            </w:r>
            <w:r>
              <w:rPr>
                <w:color w:val="auto"/>
                <w:sz w:val="24"/>
                <w:szCs w:val="24"/>
              </w:rPr>
              <w:t>年版）》进行说明</w:t>
            </w:r>
            <w:r>
              <w:rPr>
                <w:rFonts w:hint="eastAsia"/>
                <w:color w:val="auto"/>
                <w:sz w:val="24"/>
                <w:szCs w:val="24"/>
              </w:rPr>
              <w:t>，</w:t>
            </w:r>
            <w:r>
              <w:rPr>
                <w:rFonts w:hint="eastAsia"/>
                <w:color w:val="auto"/>
                <w:sz w:val="24"/>
              </w:rPr>
              <w:t>具体见</w:t>
            </w:r>
            <w:r>
              <w:rPr>
                <w:rFonts w:hint="eastAsia"/>
                <w:color w:val="auto"/>
                <w:sz w:val="24"/>
                <w:lang w:val="en-US" w:eastAsia="zh-CN"/>
              </w:rPr>
              <w:t>下表</w:t>
            </w:r>
            <w:r>
              <w:rPr>
                <w:rFonts w:hint="eastAsia"/>
                <w:color w:val="auto"/>
                <w:sz w:val="24"/>
              </w:rPr>
              <w:t>。</w:t>
            </w:r>
          </w:p>
          <w:p w14:paraId="6D79378D">
            <w:pPr>
              <w:pStyle w:val="1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b/>
                <w:bCs/>
                <w:color w:val="auto"/>
                <w:sz w:val="21"/>
                <w:szCs w:val="21"/>
              </w:rPr>
            </w:pPr>
            <w:r>
              <w:rPr>
                <w:rFonts w:ascii="Times New Roman" w:hAnsi="Times New Roman" w:cs="Times New Roman"/>
                <w:b/>
                <w:bCs/>
                <w:color w:val="auto"/>
                <w:sz w:val="21"/>
                <w:szCs w:val="21"/>
              </w:rPr>
              <w:t>表1-</w:t>
            </w:r>
            <w:r>
              <w:rPr>
                <w:rFonts w:hint="eastAsia" w:ascii="Times New Roman" w:hAnsi="Times New Roman" w:cs="Times New Roman"/>
                <w:b/>
                <w:bCs/>
                <w:color w:val="auto"/>
                <w:sz w:val="21"/>
                <w:szCs w:val="21"/>
                <w:lang w:val="en-US" w:eastAsia="zh-CN"/>
              </w:rPr>
              <w:t xml:space="preserve">9  </w:t>
            </w:r>
            <w:r>
              <w:rPr>
                <w:rFonts w:ascii="Times New Roman" w:hAnsi="Times New Roman" w:cs="Times New Roman"/>
                <w:b/>
                <w:bCs/>
                <w:color w:val="auto"/>
                <w:sz w:val="21"/>
                <w:szCs w:val="21"/>
              </w:rPr>
              <w:t>区域环境准入负面清单</w:t>
            </w:r>
          </w:p>
          <w:tbl>
            <w:tblPr>
              <w:tblStyle w:val="2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5"/>
              <w:gridCol w:w="4279"/>
              <w:gridCol w:w="2649"/>
              <w:gridCol w:w="481"/>
            </w:tblGrid>
            <w:tr w14:paraId="44CC62A1">
              <w:trPr>
                <w:trHeight w:val="440" w:hRule="atLeast"/>
              </w:trPr>
              <w:tc>
                <w:tcPr>
                  <w:tcW w:w="271" w:type="pct"/>
                  <w:noWrap w:val="0"/>
                  <w:tcMar>
                    <w:top w:w="0" w:type="dxa"/>
                    <w:left w:w="0" w:type="dxa"/>
                    <w:bottom w:w="0" w:type="dxa"/>
                    <w:right w:w="0" w:type="dxa"/>
                  </w:tcMar>
                  <w:vAlign w:val="center"/>
                </w:tcPr>
                <w:p w14:paraId="49A154BC">
                  <w:pPr>
                    <w:pStyle w:val="16"/>
                    <w:spacing w:after="0" w:line="280" w:lineRule="exact"/>
                    <w:ind w:left="0" w:leftChars="0" w:firstLine="0" w:firstLineChars="0"/>
                    <w:jc w:val="center"/>
                    <w:rPr>
                      <w:color w:val="auto"/>
                      <w:sz w:val="21"/>
                    </w:rPr>
                  </w:pPr>
                  <w:r>
                    <w:rPr>
                      <w:rFonts w:hint="eastAsia"/>
                      <w:color w:val="auto"/>
                      <w:sz w:val="21"/>
                    </w:rPr>
                    <w:t>序号</w:t>
                  </w:r>
                </w:p>
              </w:tc>
              <w:tc>
                <w:tcPr>
                  <w:tcW w:w="2730" w:type="pct"/>
                  <w:noWrap w:val="0"/>
                  <w:tcMar>
                    <w:top w:w="0" w:type="dxa"/>
                    <w:left w:w="0" w:type="dxa"/>
                    <w:bottom w:w="0" w:type="dxa"/>
                    <w:right w:w="0" w:type="dxa"/>
                  </w:tcMar>
                  <w:vAlign w:val="center"/>
                </w:tcPr>
                <w:p w14:paraId="5957EE4D">
                  <w:pPr>
                    <w:pStyle w:val="16"/>
                    <w:spacing w:after="0" w:line="280" w:lineRule="exact"/>
                    <w:ind w:left="0" w:leftChars="0" w:firstLine="0" w:firstLineChars="0"/>
                    <w:jc w:val="center"/>
                    <w:rPr>
                      <w:color w:val="auto"/>
                      <w:sz w:val="21"/>
                    </w:rPr>
                  </w:pPr>
                  <w:r>
                    <w:rPr>
                      <w:rFonts w:hint="eastAsia"/>
                      <w:color w:val="auto"/>
                      <w:sz w:val="21"/>
                    </w:rPr>
                    <w:t>文件名称</w:t>
                  </w:r>
                </w:p>
              </w:tc>
              <w:tc>
                <w:tcPr>
                  <w:tcW w:w="1690" w:type="pct"/>
                  <w:noWrap w:val="0"/>
                  <w:tcMar>
                    <w:top w:w="0" w:type="dxa"/>
                    <w:left w:w="0" w:type="dxa"/>
                    <w:bottom w:w="0" w:type="dxa"/>
                    <w:right w:w="0" w:type="dxa"/>
                  </w:tcMar>
                  <w:vAlign w:val="center"/>
                </w:tcPr>
                <w:p w14:paraId="46FF6B34">
                  <w:pPr>
                    <w:pStyle w:val="16"/>
                    <w:spacing w:after="0" w:line="280" w:lineRule="exact"/>
                    <w:ind w:left="0" w:leftChars="0" w:firstLine="0" w:firstLineChars="0"/>
                    <w:jc w:val="center"/>
                    <w:rPr>
                      <w:color w:val="auto"/>
                      <w:sz w:val="21"/>
                    </w:rPr>
                  </w:pPr>
                  <w:r>
                    <w:rPr>
                      <w:rFonts w:hint="eastAsia"/>
                      <w:color w:val="auto"/>
                      <w:sz w:val="21"/>
                    </w:rPr>
                    <w:t>相符性分析</w:t>
                  </w:r>
                </w:p>
              </w:tc>
              <w:tc>
                <w:tcPr>
                  <w:tcW w:w="307" w:type="pct"/>
                  <w:noWrap w:val="0"/>
                  <w:tcMar>
                    <w:top w:w="0" w:type="dxa"/>
                    <w:left w:w="0" w:type="dxa"/>
                    <w:bottom w:w="0" w:type="dxa"/>
                    <w:right w:w="0" w:type="dxa"/>
                  </w:tcMar>
                  <w:vAlign w:val="center"/>
                </w:tcPr>
                <w:p w14:paraId="4744C238">
                  <w:pPr>
                    <w:pStyle w:val="16"/>
                    <w:spacing w:after="0" w:line="280" w:lineRule="exact"/>
                    <w:ind w:left="0" w:leftChars="0" w:firstLine="0" w:firstLineChars="0"/>
                    <w:jc w:val="center"/>
                    <w:rPr>
                      <w:color w:val="auto"/>
                      <w:sz w:val="21"/>
                    </w:rPr>
                  </w:pPr>
                  <w:r>
                    <w:rPr>
                      <w:rFonts w:hint="eastAsia"/>
                      <w:color w:val="auto"/>
                      <w:sz w:val="21"/>
                    </w:rPr>
                    <w:t>是否符合</w:t>
                  </w:r>
                </w:p>
              </w:tc>
            </w:tr>
            <w:tr w14:paraId="7706D435">
              <w:tc>
                <w:tcPr>
                  <w:tcW w:w="271" w:type="pct"/>
                  <w:noWrap w:val="0"/>
                  <w:tcMar>
                    <w:top w:w="0" w:type="dxa"/>
                    <w:left w:w="0" w:type="dxa"/>
                    <w:bottom w:w="0" w:type="dxa"/>
                    <w:right w:w="0" w:type="dxa"/>
                  </w:tcMar>
                  <w:vAlign w:val="center"/>
                </w:tcPr>
                <w:p w14:paraId="21B8DE63">
                  <w:pPr>
                    <w:pStyle w:val="16"/>
                    <w:spacing w:after="0" w:line="280" w:lineRule="exact"/>
                    <w:ind w:left="0" w:leftChars="0" w:firstLine="0" w:firstLineChars="0"/>
                    <w:jc w:val="center"/>
                    <w:rPr>
                      <w:color w:val="auto"/>
                      <w:sz w:val="21"/>
                    </w:rPr>
                  </w:pPr>
                  <w:r>
                    <w:rPr>
                      <w:rFonts w:hint="eastAsia"/>
                      <w:color w:val="auto"/>
                      <w:sz w:val="21"/>
                    </w:rPr>
                    <w:t>1</w:t>
                  </w:r>
                </w:p>
              </w:tc>
              <w:tc>
                <w:tcPr>
                  <w:tcW w:w="2730" w:type="pct"/>
                  <w:noWrap w:val="0"/>
                  <w:tcMar>
                    <w:top w:w="0" w:type="dxa"/>
                    <w:left w:w="0" w:type="dxa"/>
                    <w:bottom w:w="0" w:type="dxa"/>
                    <w:right w:w="0" w:type="dxa"/>
                  </w:tcMar>
                  <w:vAlign w:val="center"/>
                </w:tcPr>
                <w:p w14:paraId="2FD9C8BA">
                  <w:pPr>
                    <w:pStyle w:val="16"/>
                    <w:spacing w:after="0" w:line="280" w:lineRule="exact"/>
                    <w:ind w:left="0" w:leftChars="0" w:firstLine="0" w:firstLineChars="0"/>
                    <w:jc w:val="center"/>
                    <w:rPr>
                      <w:color w:val="auto"/>
                      <w:sz w:val="21"/>
                    </w:rPr>
                  </w:pPr>
                  <w:r>
                    <w:rPr>
                      <w:rFonts w:hint="eastAsia"/>
                      <w:color w:val="auto"/>
                      <w:sz w:val="21"/>
                    </w:rPr>
                    <w:t>《市场准入负面清单（202</w:t>
                  </w:r>
                  <w:r>
                    <w:rPr>
                      <w:rFonts w:hint="eastAsia"/>
                      <w:color w:val="auto"/>
                      <w:sz w:val="21"/>
                      <w:lang w:val="en-US" w:eastAsia="zh-CN"/>
                    </w:rPr>
                    <w:t>5</w:t>
                  </w:r>
                  <w:r>
                    <w:rPr>
                      <w:rFonts w:hint="eastAsia"/>
                      <w:color w:val="auto"/>
                      <w:sz w:val="21"/>
                    </w:rPr>
                    <w:t>年本）》</w:t>
                  </w:r>
                </w:p>
              </w:tc>
              <w:tc>
                <w:tcPr>
                  <w:tcW w:w="1690" w:type="pct"/>
                  <w:noWrap w:val="0"/>
                  <w:tcMar>
                    <w:top w:w="0" w:type="dxa"/>
                    <w:left w:w="0" w:type="dxa"/>
                    <w:bottom w:w="0" w:type="dxa"/>
                    <w:right w:w="0" w:type="dxa"/>
                  </w:tcMar>
                  <w:vAlign w:val="center"/>
                </w:tcPr>
                <w:p w14:paraId="612D66AF">
                  <w:pPr>
                    <w:pStyle w:val="16"/>
                    <w:spacing w:after="0" w:line="280" w:lineRule="exact"/>
                    <w:ind w:left="0" w:leftChars="0" w:firstLine="0" w:firstLineChars="0"/>
                    <w:jc w:val="center"/>
                    <w:rPr>
                      <w:color w:val="auto"/>
                      <w:sz w:val="21"/>
                    </w:rPr>
                  </w:pPr>
                  <w:r>
                    <w:rPr>
                      <w:rFonts w:hint="eastAsia"/>
                      <w:color w:val="auto"/>
                      <w:sz w:val="21"/>
                    </w:rPr>
                    <w:t>本项目不属于市场禁止准入事项</w:t>
                  </w:r>
                </w:p>
              </w:tc>
              <w:tc>
                <w:tcPr>
                  <w:tcW w:w="307" w:type="pct"/>
                  <w:noWrap w:val="0"/>
                  <w:tcMar>
                    <w:top w:w="0" w:type="dxa"/>
                    <w:left w:w="0" w:type="dxa"/>
                    <w:bottom w:w="0" w:type="dxa"/>
                    <w:right w:w="0" w:type="dxa"/>
                  </w:tcMar>
                  <w:vAlign w:val="center"/>
                </w:tcPr>
                <w:p w14:paraId="1619CE7D">
                  <w:pPr>
                    <w:pStyle w:val="16"/>
                    <w:spacing w:after="0" w:line="280" w:lineRule="exact"/>
                    <w:ind w:left="0" w:leftChars="0" w:firstLine="0" w:firstLineChars="0"/>
                    <w:jc w:val="center"/>
                    <w:rPr>
                      <w:color w:val="auto"/>
                      <w:sz w:val="21"/>
                    </w:rPr>
                  </w:pPr>
                  <w:r>
                    <w:rPr>
                      <w:rFonts w:hint="eastAsia"/>
                      <w:color w:val="auto"/>
                      <w:sz w:val="21"/>
                    </w:rPr>
                    <w:t>符合</w:t>
                  </w:r>
                </w:p>
              </w:tc>
            </w:tr>
            <w:tr w14:paraId="7B50B71C">
              <w:tc>
                <w:tcPr>
                  <w:tcW w:w="271" w:type="pct"/>
                  <w:noWrap w:val="0"/>
                  <w:tcMar>
                    <w:top w:w="0" w:type="dxa"/>
                    <w:left w:w="0" w:type="dxa"/>
                    <w:bottom w:w="0" w:type="dxa"/>
                    <w:right w:w="0" w:type="dxa"/>
                  </w:tcMar>
                  <w:vAlign w:val="center"/>
                </w:tcPr>
                <w:p w14:paraId="64A818CD">
                  <w:pPr>
                    <w:pStyle w:val="16"/>
                    <w:spacing w:after="0" w:line="280" w:lineRule="exact"/>
                    <w:ind w:left="0" w:leftChars="0" w:firstLine="0" w:firstLineChars="0"/>
                    <w:jc w:val="center"/>
                    <w:rPr>
                      <w:color w:val="auto"/>
                      <w:sz w:val="21"/>
                    </w:rPr>
                  </w:pPr>
                  <w:r>
                    <w:rPr>
                      <w:rFonts w:hint="eastAsia"/>
                      <w:color w:val="auto"/>
                      <w:sz w:val="21"/>
                    </w:rPr>
                    <w:t>2</w:t>
                  </w:r>
                </w:p>
              </w:tc>
              <w:tc>
                <w:tcPr>
                  <w:tcW w:w="2730" w:type="pct"/>
                  <w:noWrap w:val="0"/>
                  <w:tcMar>
                    <w:top w:w="0" w:type="dxa"/>
                    <w:left w:w="0" w:type="dxa"/>
                    <w:bottom w:w="0" w:type="dxa"/>
                    <w:right w:w="0" w:type="dxa"/>
                  </w:tcMar>
                  <w:vAlign w:val="center"/>
                </w:tcPr>
                <w:p w14:paraId="62596113">
                  <w:pPr>
                    <w:pStyle w:val="16"/>
                    <w:spacing w:after="0" w:line="280" w:lineRule="exact"/>
                    <w:ind w:left="0" w:leftChars="0" w:firstLine="0" w:firstLineChars="0"/>
                    <w:jc w:val="center"/>
                    <w:rPr>
                      <w:color w:val="auto"/>
                      <w:sz w:val="21"/>
                    </w:rPr>
                  </w:pPr>
                  <w:r>
                    <w:rPr>
                      <w:rFonts w:hint="eastAsia"/>
                      <w:color w:val="auto"/>
                      <w:sz w:val="21"/>
                    </w:rPr>
                    <w:t>《产业结构调整指导目录（2</w:t>
                  </w:r>
                  <w:r>
                    <w:rPr>
                      <w:rFonts w:hint="eastAsia"/>
                      <w:color w:val="auto"/>
                      <w:sz w:val="21"/>
                      <w:lang w:val="en-US" w:eastAsia="zh-CN"/>
                    </w:rPr>
                    <w:t>024</w:t>
                  </w:r>
                  <w:r>
                    <w:rPr>
                      <w:rFonts w:hint="eastAsia"/>
                      <w:color w:val="auto"/>
                      <w:sz w:val="21"/>
                    </w:rPr>
                    <w:t>年本）》</w:t>
                  </w:r>
                </w:p>
              </w:tc>
              <w:tc>
                <w:tcPr>
                  <w:tcW w:w="1690" w:type="pct"/>
                  <w:noWrap w:val="0"/>
                  <w:tcMar>
                    <w:top w:w="0" w:type="dxa"/>
                    <w:left w:w="0" w:type="dxa"/>
                    <w:bottom w:w="0" w:type="dxa"/>
                    <w:right w:w="0" w:type="dxa"/>
                  </w:tcMar>
                  <w:vAlign w:val="center"/>
                </w:tcPr>
                <w:p w14:paraId="41440315">
                  <w:pPr>
                    <w:pStyle w:val="16"/>
                    <w:spacing w:after="0" w:line="280" w:lineRule="exact"/>
                    <w:ind w:left="0" w:leftChars="0" w:firstLine="0" w:firstLineChars="0"/>
                    <w:jc w:val="center"/>
                    <w:rPr>
                      <w:color w:val="auto"/>
                      <w:sz w:val="21"/>
                    </w:rPr>
                  </w:pPr>
                  <w:r>
                    <w:rPr>
                      <w:rFonts w:hint="eastAsia"/>
                      <w:color w:val="auto"/>
                      <w:sz w:val="21"/>
                    </w:rPr>
                    <w:t>不属于限制类、淘汰类项目</w:t>
                  </w:r>
                </w:p>
              </w:tc>
              <w:tc>
                <w:tcPr>
                  <w:tcW w:w="307" w:type="pct"/>
                  <w:noWrap w:val="0"/>
                  <w:tcMar>
                    <w:top w:w="0" w:type="dxa"/>
                    <w:left w:w="0" w:type="dxa"/>
                    <w:bottom w:w="0" w:type="dxa"/>
                    <w:right w:w="0" w:type="dxa"/>
                  </w:tcMar>
                  <w:vAlign w:val="center"/>
                </w:tcPr>
                <w:p w14:paraId="2D67F5F2">
                  <w:pPr>
                    <w:pStyle w:val="16"/>
                    <w:spacing w:after="0" w:line="280" w:lineRule="exact"/>
                    <w:ind w:left="0" w:leftChars="0" w:firstLine="0" w:firstLineChars="0"/>
                    <w:jc w:val="center"/>
                    <w:rPr>
                      <w:color w:val="auto"/>
                      <w:sz w:val="21"/>
                    </w:rPr>
                  </w:pPr>
                  <w:r>
                    <w:rPr>
                      <w:rFonts w:hint="eastAsia"/>
                      <w:color w:val="auto"/>
                      <w:sz w:val="21"/>
                    </w:rPr>
                    <w:t>符合</w:t>
                  </w:r>
                </w:p>
              </w:tc>
            </w:tr>
            <w:tr w14:paraId="725E793F">
              <w:tc>
                <w:tcPr>
                  <w:tcW w:w="271" w:type="pct"/>
                  <w:noWrap w:val="0"/>
                  <w:tcMar>
                    <w:top w:w="0" w:type="dxa"/>
                    <w:left w:w="0" w:type="dxa"/>
                    <w:bottom w:w="0" w:type="dxa"/>
                    <w:right w:w="0" w:type="dxa"/>
                  </w:tcMar>
                  <w:vAlign w:val="center"/>
                </w:tcPr>
                <w:p w14:paraId="45EFAA24">
                  <w:pPr>
                    <w:pStyle w:val="16"/>
                    <w:spacing w:after="0" w:line="280" w:lineRule="exact"/>
                    <w:ind w:left="0" w:leftChars="0" w:firstLine="0" w:firstLineChars="0"/>
                    <w:jc w:val="center"/>
                    <w:rPr>
                      <w:rFonts w:hint="eastAsia" w:eastAsia="宋体"/>
                      <w:color w:val="auto"/>
                      <w:sz w:val="21"/>
                      <w:lang w:eastAsia="zh-CN"/>
                    </w:rPr>
                  </w:pPr>
                  <w:r>
                    <w:rPr>
                      <w:rFonts w:hint="eastAsia"/>
                      <w:color w:val="auto"/>
                      <w:sz w:val="21"/>
                      <w:lang w:val="en-US" w:eastAsia="zh-CN"/>
                    </w:rPr>
                    <w:t>3</w:t>
                  </w:r>
                </w:p>
              </w:tc>
              <w:tc>
                <w:tcPr>
                  <w:tcW w:w="2730" w:type="pct"/>
                  <w:noWrap w:val="0"/>
                  <w:tcMar>
                    <w:top w:w="0" w:type="dxa"/>
                    <w:left w:w="0" w:type="dxa"/>
                    <w:bottom w:w="0" w:type="dxa"/>
                    <w:right w:w="0" w:type="dxa"/>
                  </w:tcMar>
                  <w:vAlign w:val="center"/>
                </w:tcPr>
                <w:p w14:paraId="732A3497">
                  <w:pPr>
                    <w:pStyle w:val="16"/>
                    <w:spacing w:after="0" w:line="280" w:lineRule="exact"/>
                    <w:ind w:left="0" w:leftChars="0" w:firstLine="0" w:firstLineChars="0"/>
                    <w:jc w:val="center"/>
                    <w:rPr>
                      <w:color w:val="auto"/>
                      <w:sz w:val="21"/>
                    </w:rPr>
                  </w:pPr>
                  <w:r>
                    <w:rPr>
                      <w:rFonts w:hint="eastAsia"/>
                      <w:color w:val="auto"/>
                      <w:sz w:val="21"/>
                    </w:rPr>
                    <w:t>《自然资源要素支撑产业高质量发展指导目录（2024年本）》</w:t>
                  </w:r>
                </w:p>
              </w:tc>
              <w:tc>
                <w:tcPr>
                  <w:tcW w:w="1690" w:type="pct"/>
                  <w:noWrap w:val="0"/>
                  <w:tcMar>
                    <w:top w:w="0" w:type="dxa"/>
                    <w:left w:w="0" w:type="dxa"/>
                    <w:bottom w:w="0" w:type="dxa"/>
                    <w:right w:w="0" w:type="dxa"/>
                  </w:tcMar>
                  <w:vAlign w:val="center"/>
                </w:tcPr>
                <w:p w14:paraId="5250CAE2">
                  <w:pPr>
                    <w:pStyle w:val="16"/>
                    <w:spacing w:after="0" w:line="280" w:lineRule="exact"/>
                    <w:ind w:left="0" w:leftChars="0" w:firstLine="0" w:firstLineChars="0"/>
                    <w:jc w:val="center"/>
                    <w:rPr>
                      <w:color w:val="auto"/>
                      <w:sz w:val="21"/>
                    </w:rPr>
                  </w:pPr>
                  <w:r>
                    <w:rPr>
                      <w:rFonts w:hint="eastAsia"/>
                      <w:color w:val="auto"/>
                      <w:sz w:val="21"/>
                    </w:rPr>
                    <w:t>不属于限制、禁止用地项目</w:t>
                  </w:r>
                </w:p>
              </w:tc>
              <w:tc>
                <w:tcPr>
                  <w:tcW w:w="307" w:type="pct"/>
                  <w:noWrap w:val="0"/>
                  <w:tcMar>
                    <w:top w:w="0" w:type="dxa"/>
                    <w:left w:w="0" w:type="dxa"/>
                    <w:bottom w:w="0" w:type="dxa"/>
                    <w:right w:w="0" w:type="dxa"/>
                  </w:tcMar>
                  <w:vAlign w:val="center"/>
                </w:tcPr>
                <w:p w14:paraId="267E79E2">
                  <w:pPr>
                    <w:pStyle w:val="16"/>
                    <w:spacing w:after="0" w:line="280" w:lineRule="exact"/>
                    <w:ind w:left="0" w:leftChars="0" w:firstLine="0" w:firstLineChars="0"/>
                    <w:jc w:val="center"/>
                    <w:rPr>
                      <w:color w:val="auto"/>
                      <w:sz w:val="21"/>
                    </w:rPr>
                  </w:pPr>
                  <w:r>
                    <w:rPr>
                      <w:rFonts w:hint="eastAsia"/>
                      <w:color w:val="auto"/>
                      <w:sz w:val="21"/>
                    </w:rPr>
                    <w:t>符合</w:t>
                  </w:r>
                </w:p>
              </w:tc>
            </w:tr>
            <w:tr w14:paraId="31C1B663">
              <w:tc>
                <w:tcPr>
                  <w:tcW w:w="271" w:type="pct"/>
                  <w:noWrap w:val="0"/>
                  <w:tcMar>
                    <w:top w:w="0" w:type="dxa"/>
                    <w:left w:w="0" w:type="dxa"/>
                    <w:bottom w:w="0" w:type="dxa"/>
                    <w:right w:w="0" w:type="dxa"/>
                  </w:tcMar>
                  <w:vAlign w:val="center"/>
                </w:tcPr>
                <w:p w14:paraId="1612449E">
                  <w:pPr>
                    <w:pStyle w:val="16"/>
                    <w:spacing w:after="0" w:line="280" w:lineRule="exact"/>
                    <w:ind w:left="0" w:leftChars="0" w:firstLine="0" w:firstLineChars="0"/>
                    <w:jc w:val="center"/>
                    <w:rPr>
                      <w:rFonts w:hint="eastAsia" w:eastAsia="宋体"/>
                      <w:color w:val="auto"/>
                      <w:sz w:val="21"/>
                      <w:lang w:eastAsia="zh-CN"/>
                    </w:rPr>
                  </w:pPr>
                  <w:r>
                    <w:rPr>
                      <w:rFonts w:hint="eastAsia"/>
                      <w:color w:val="auto"/>
                      <w:sz w:val="21"/>
                      <w:lang w:val="en-US" w:eastAsia="zh-CN"/>
                    </w:rPr>
                    <w:t>4</w:t>
                  </w:r>
                </w:p>
              </w:tc>
              <w:tc>
                <w:tcPr>
                  <w:tcW w:w="2730" w:type="pct"/>
                  <w:noWrap w:val="0"/>
                  <w:tcMar>
                    <w:top w:w="0" w:type="dxa"/>
                    <w:left w:w="0" w:type="dxa"/>
                    <w:bottom w:w="0" w:type="dxa"/>
                    <w:right w:w="0" w:type="dxa"/>
                  </w:tcMar>
                  <w:vAlign w:val="center"/>
                </w:tcPr>
                <w:p w14:paraId="0DF48AC5">
                  <w:pPr>
                    <w:pStyle w:val="16"/>
                    <w:spacing w:after="0" w:line="280" w:lineRule="exact"/>
                    <w:ind w:left="0" w:leftChars="0" w:firstLine="0" w:firstLineChars="0"/>
                    <w:jc w:val="center"/>
                    <w:rPr>
                      <w:color w:val="auto"/>
                      <w:sz w:val="21"/>
                    </w:rPr>
                  </w:pPr>
                  <w:r>
                    <w:rPr>
                      <w:rFonts w:hint="eastAsia"/>
                      <w:color w:val="auto"/>
                      <w:sz w:val="21"/>
                    </w:rPr>
                    <w:t>《江苏省限制用地项目目录</w:t>
                  </w:r>
                  <w:r>
                    <w:rPr>
                      <w:rFonts w:hint="eastAsia"/>
                      <w:color w:val="auto"/>
                      <w:sz w:val="21"/>
                      <w:lang w:eastAsia="zh-CN"/>
                    </w:rPr>
                    <w:t>（</w:t>
                  </w:r>
                  <w:r>
                    <w:rPr>
                      <w:rFonts w:hint="eastAsia"/>
                      <w:color w:val="auto"/>
                      <w:sz w:val="21"/>
                    </w:rPr>
                    <w:t>2013年本</w:t>
                  </w:r>
                  <w:r>
                    <w:rPr>
                      <w:rFonts w:hint="eastAsia"/>
                      <w:color w:val="auto"/>
                      <w:sz w:val="21"/>
                      <w:lang w:eastAsia="zh-CN"/>
                    </w:rPr>
                    <w:t>）</w:t>
                  </w:r>
                  <w:r>
                    <w:rPr>
                      <w:rFonts w:hint="eastAsia"/>
                      <w:color w:val="auto"/>
                      <w:sz w:val="21"/>
                    </w:rPr>
                    <w:t>》《江苏省禁止用地项目目录</w:t>
                  </w:r>
                  <w:r>
                    <w:rPr>
                      <w:rFonts w:hint="eastAsia"/>
                      <w:color w:val="auto"/>
                      <w:sz w:val="21"/>
                      <w:lang w:eastAsia="zh-CN"/>
                    </w:rPr>
                    <w:t>（</w:t>
                  </w:r>
                  <w:r>
                    <w:rPr>
                      <w:rFonts w:hint="eastAsia"/>
                      <w:color w:val="auto"/>
                      <w:sz w:val="21"/>
                    </w:rPr>
                    <w:t>2013年本</w:t>
                  </w:r>
                  <w:r>
                    <w:rPr>
                      <w:rFonts w:hint="eastAsia"/>
                      <w:color w:val="auto"/>
                      <w:sz w:val="21"/>
                      <w:lang w:eastAsia="zh-CN"/>
                    </w:rPr>
                    <w:t>）</w:t>
                  </w:r>
                  <w:r>
                    <w:rPr>
                      <w:rFonts w:hint="eastAsia"/>
                      <w:color w:val="auto"/>
                      <w:sz w:val="21"/>
                    </w:rPr>
                    <w:t>》</w:t>
                  </w:r>
                </w:p>
              </w:tc>
              <w:tc>
                <w:tcPr>
                  <w:tcW w:w="1690" w:type="pct"/>
                  <w:noWrap w:val="0"/>
                  <w:tcMar>
                    <w:top w:w="0" w:type="dxa"/>
                    <w:left w:w="0" w:type="dxa"/>
                    <w:bottom w:w="0" w:type="dxa"/>
                    <w:right w:w="0" w:type="dxa"/>
                  </w:tcMar>
                  <w:vAlign w:val="center"/>
                </w:tcPr>
                <w:p w14:paraId="798A15DA">
                  <w:pPr>
                    <w:pStyle w:val="16"/>
                    <w:spacing w:after="0" w:line="280" w:lineRule="exact"/>
                    <w:ind w:left="0" w:leftChars="0" w:firstLine="0" w:firstLineChars="0"/>
                    <w:jc w:val="center"/>
                    <w:rPr>
                      <w:color w:val="auto"/>
                      <w:sz w:val="21"/>
                    </w:rPr>
                  </w:pPr>
                  <w:r>
                    <w:rPr>
                      <w:rFonts w:hint="eastAsia"/>
                      <w:color w:val="auto"/>
                      <w:sz w:val="21"/>
                    </w:rPr>
                    <w:t>不属于限制、禁止用地项目</w:t>
                  </w:r>
                </w:p>
              </w:tc>
              <w:tc>
                <w:tcPr>
                  <w:tcW w:w="307" w:type="pct"/>
                  <w:noWrap w:val="0"/>
                  <w:tcMar>
                    <w:top w:w="0" w:type="dxa"/>
                    <w:left w:w="0" w:type="dxa"/>
                    <w:bottom w:w="0" w:type="dxa"/>
                    <w:right w:w="0" w:type="dxa"/>
                  </w:tcMar>
                  <w:vAlign w:val="center"/>
                </w:tcPr>
                <w:p w14:paraId="6AD1EDA3">
                  <w:pPr>
                    <w:pStyle w:val="16"/>
                    <w:spacing w:after="0" w:line="280" w:lineRule="exact"/>
                    <w:ind w:left="0" w:leftChars="0" w:firstLine="0" w:firstLineChars="0"/>
                    <w:jc w:val="center"/>
                    <w:rPr>
                      <w:color w:val="auto"/>
                      <w:sz w:val="21"/>
                    </w:rPr>
                  </w:pPr>
                  <w:r>
                    <w:rPr>
                      <w:rFonts w:hint="eastAsia"/>
                      <w:color w:val="auto"/>
                      <w:sz w:val="21"/>
                    </w:rPr>
                    <w:t>符合</w:t>
                  </w:r>
                </w:p>
              </w:tc>
            </w:tr>
            <w:tr w14:paraId="7B258CBF">
              <w:tc>
                <w:tcPr>
                  <w:tcW w:w="271" w:type="pct"/>
                  <w:noWrap w:val="0"/>
                  <w:tcMar>
                    <w:top w:w="0" w:type="dxa"/>
                    <w:left w:w="0" w:type="dxa"/>
                    <w:bottom w:w="0" w:type="dxa"/>
                    <w:right w:w="0" w:type="dxa"/>
                  </w:tcMar>
                  <w:vAlign w:val="center"/>
                </w:tcPr>
                <w:p w14:paraId="32E82665">
                  <w:pPr>
                    <w:pStyle w:val="16"/>
                    <w:spacing w:after="0" w:line="280" w:lineRule="exact"/>
                    <w:ind w:left="0" w:leftChars="0" w:firstLine="0" w:firstLineChars="0"/>
                    <w:jc w:val="center"/>
                    <w:rPr>
                      <w:rFonts w:hint="eastAsia" w:eastAsia="宋体"/>
                      <w:color w:val="auto"/>
                      <w:sz w:val="21"/>
                      <w:lang w:eastAsia="zh-CN"/>
                    </w:rPr>
                  </w:pPr>
                  <w:r>
                    <w:rPr>
                      <w:rFonts w:hint="eastAsia"/>
                      <w:color w:val="auto"/>
                      <w:sz w:val="21"/>
                      <w:lang w:val="en-US" w:eastAsia="zh-CN"/>
                    </w:rPr>
                    <w:t>5</w:t>
                  </w:r>
                </w:p>
              </w:tc>
              <w:tc>
                <w:tcPr>
                  <w:tcW w:w="2730" w:type="pct"/>
                  <w:noWrap w:val="0"/>
                  <w:tcMar>
                    <w:top w:w="0" w:type="dxa"/>
                    <w:left w:w="0" w:type="dxa"/>
                    <w:bottom w:w="0" w:type="dxa"/>
                    <w:right w:w="0" w:type="dxa"/>
                  </w:tcMar>
                  <w:vAlign w:val="center"/>
                </w:tcPr>
                <w:p w14:paraId="571A0073">
                  <w:pPr>
                    <w:pStyle w:val="16"/>
                    <w:spacing w:after="0" w:line="280" w:lineRule="exact"/>
                    <w:ind w:left="0" w:leftChars="0" w:firstLine="0" w:firstLineChars="0"/>
                    <w:jc w:val="center"/>
                    <w:rPr>
                      <w:color w:val="auto"/>
                      <w:sz w:val="21"/>
                    </w:rPr>
                  </w:pPr>
                  <w:r>
                    <w:rPr>
                      <w:rFonts w:hint="eastAsia"/>
                      <w:color w:val="auto"/>
                      <w:sz w:val="21"/>
                    </w:rPr>
                    <w:t>《环境保护综合名录（2021年版）》</w:t>
                  </w:r>
                </w:p>
              </w:tc>
              <w:tc>
                <w:tcPr>
                  <w:tcW w:w="1690" w:type="pct"/>
                  <w:noWrap w:val="0"/>
                  <w:tcMar>
                    <w:top w:w="0" w:type="dxa"/>
                    <w:left w:w="0" w:type="dxa"/>
                    <w:bottom w:w="0" w:type="dxa"/>
                    <w:right w:w="0" w:type="dxa"/>
                  </w:tcMar>
                  <w:vAlign w:val="center"/>
                </w:tcPr>
                <w:p w14:paraId="19A68976">
                  <w:pPr>
                    <w:pStyle w:val="16"/>
                    <w:spacing w:after="0" w:line="280" w:lineRule="exact"/>
                    <w:ind w:left="0" w:leftChars="0" w:firstLine="0" w:firstLineChars="0"/>
                    <w:jc w:val="center"/>
                    <w:rPr>
                      <w:color w:val="auto"/>
                      <w:sz w:val="21"/>
                    </w:rPr>
                  </w:pPr>
                  <w:r>
                    <w:rPr>
                      <w:rFonts w:hint="eastAsia"/>
                      <w:color w:val="auto"/>
                      <w:sz w:val="21"/>
                    </w:rPr>
                    <w:t>不属于高污染、高环境风险产品名录</w:t>
                  </w:r>
                </w:p>
              </w:tc>
              <w:tc>
                <w:tcPr>
                  <w:tcW w:w="307" w:type="pct"/>
                  <w:noWrap w:val="0"/>
                  <w:tcMar>
                    <w:top w:w="0" w:type="dxa"/>
                    <w:left w:w="0" w:type="dxa"/>
                    <w:bottom w:w="0" w:type="dxa"/>
                    <w:right w:w="0" w:type="dxa"/>
                  </w:tcMar>
                  <w:vAlign w:val="center"/>
                </w:tcPr>
                <w:p w14:paraId="174DEF85">
                  <w:pPr>
                    <w:pStyle w:val="16"/>
                    <w:spacing w:after="0" w:line="280" w:lineRule="exact"/>
                    <w:ind w:left="0" w:leftChars="0" w:firstLine="0" w:firstLineChars="0"/>
                    <w:jc w:val="center"/>
                    <w:rPr>
                      <w:color w:val="auto"/>
                      <w:sz w:val="21"/>
                    </w:rPr>
                  </w:pPr>
                  <w:r>
                    <w:rPr>
                      <w:rFonts w:hint="eastAsia"/>
                      <w:color w:val="auto"/>
                      <w:sz w:val="21"/>
                    </w:rPr>
                    <w:t>符合</w:t>
                  </w:r>
                </w:p>
              </w:tc>
            </w:tr>
            <w:tr w14:paraId="79DD8422">
              <w:tc>
                <w:tcPr>
                  <w:tcW w:w="271" w:type="pct"/>
                  <w:noWrap w:val="0"/>
                  <w:tcMar>
                    <w:top w:w="0" w:type="dxa"/>
                    <w:left w:w="0" w:type="dxa"/>
                    <w:bottom w:w="0" w:type="dxa"/>
                    <w:right w:w="0" w:type="dxa"/>
                  </w:tcMar>
                  <w:vAlign w:val="center"/>
                </w:tcPr>
                <w:p w14:paraId="695A7525">
                  <w:pPr>
                    <w:pStyle w:val="16"/>
                    <w:spacing w:after="0" w:line="280" w:lineRule="exact"/>
                    <w:ind w:left="0" w:leftChars="0" w:right="0" w:rightChars="0" w:firstLine="0" w:firstLineChars="0"/>
                    <w:jc w:val="center"/>
                    <w:rPr>
                      <w:rFonts w:hint="eastAsia" w:ascii="Times New Roman" w:hAnsi="Times New Roman" w:eastAsia="宋体"/>
                      <w:color w:val="auto"/>
                      <w:kern w:val="0"/>
                      <w:sz w:val="21"/>
                      <w:szCs w:val="20"/>
                      <w:lang w:val="en-US" w:eastAsia="zh-CN" w:bidi="ar-SA"/>
                    </w:rPr>
                  </w:pPr>
                  <w:r>
                    <w:rPr>
                      <w:rFonts w:hint="eastAsia" w:ascii="Times New Roman" w:hAnsi="Times New Roman" w:eastAsia="宋体"/>
                      <w:color w:val="auto"/>
                      <w:sz w:val="21"/>
                      <w:lang w:val="en-US" w:eastAsia="zh-CN"/>
                    </w:rPr>
                    <w:t>6</w:t>
                  </w:r>
                </w:p>
              </w:tc>
              <w:tc>
                <w:tcPr>
                  <w:tcW w:w="4279" w:type="dxa"/>
                  <w:noWrap w:val="0"/>
                  <w:tcMar>
                    <w:top w:w="0" w:type="dxa"/>
                    <w:left w:w="0" w:type="dxa"/>
                    <w:bottom w:w="0" w:type="dxa"/>
                    <w:right w:w="0" w:type="dxa"/>
                  </w:tcMar>
                  <w:vAlign w:val="center"/>
                </w:tcPr>
                <w:p w14:paraId="3E824C75">
                  <w:pPr>
                    <w:pStyle w:val="36"/>
                    <w:bidi w:val="0"/>
                    <w:jc w:val="center"/>
                    <w:rPr>
                      <w:rFonts w:hint="eastAsia" w:ascii="Times New Roman" w:hAnsi="Times New Roman" w:eastAsia="宋体"/>
                      <w:color w:val="auto"/>
                      <w:kern w:val="0"/>
                      <w:sz w:val="21"/>
                      <w:szCs w:val="20"/>
                      <w:lang w:val="en-US" w:eastAsia="zh-CN" w:bidi="ar-SA"/>
                    </w:rPr>
                  </w:pPr>
                  <w:r>
                    <w:rPr>
                      <w:rFonts w:hint="default" w:ascii="Times New Roman" w:hAnsi="Times New Roman" w:cs="Times New Roman"/>
                      <w:color w:val="auto"/>
                      <w:sz w:val="21"/>
                    </w:rPr>
                    <w:t>《长江经济带发展负面清单指南（试行，2022年版）》（长江办</w:t>
                  </w:r>
                  <w:r>
                    <w:rPr>
                      <w:rFonts w:hint="eastAsia" w:ascii="Times New Roman" w:cs="Times New Roman"/>
                      <w:color w:val="auto"/>
                      <w:sz w:val="21"/>
                      <w:lang w:eastAsia="zh-CN"/>
                    </w:rPr>
                    <w:t>〔2022〕7号</w:t>
                  </w:r>
                  <w:r>
                    <w:rPr>
                      <w:rFonts w:hint="default" w:ascii="Times New Roman" w:hAnsi="Times New Roman" w:cs="Times New Roman"/>
                      <w:color w:val="auto"/>
                      <w:sz w:val="21"/>
                    </w:rPr>
                    <w:t>）</w:t>
                  </w:r>
                </w:p>
              </w:tc>
              <w:tc>
                <w:tcPr>
                  <w:tcW w:w="2649" w:type="dxa"/>
                  <w:noWrap w:val="0"/>
                  <w:tcMar>
                    <w:top w:w="0" w:type="dxa"/>
                    <w:left w:w="0" w:type="dxa"/>
                    <w:bottom w:w="0" w:type="dxa"/>
                    <w:right w:w="0" w:type="dxa"/>
                  </w:tcMar>
                  <w:vAlign w:val="center"/>
                </w:tcPr>
                <w:p w14:paraId="602C2E98">
                  <w:pPr>
                    <w:pStyle w:val="36"/>
                    <w:bidi w:val="0"/>
                    <w:jc w:val="center"/>
                    <w:rPr>
                      <w:rFonts w:hint="eastAsia" w:ascii="Times New Roman" w:hAnsi="Times New Roman" w:eastAsia="宋体"/>
                      <w:color w:val="auto"/>
                      <w:kern w:val="0"/>
                      <w:sz w:val="21"/>
                      <w:szCs w:val="20"/>
                      <w:lang w:val="en-US" w:eastAsia="zh-CN" w:bidi="ar-SA"/>
                    </w:rPr>
                  </w:pPr>
                  <w:r>
                    <w:rPr>
                      <w:rFonts w:hint="default" w:ascii="Times New Roman" w:hAnsi="Times New Roman" w:cs="Times New Roman"/>
                      <w:color w:val="auto"/>
                      <w:sz w:val="21"/>
                    </w:rPr>
                    <w:t>不属于负面清单中禁止类项目</w:t>
                  </w:r>
                </w:p>
              </w:tc>
              <w:tc>
                <w:tcPr>
                  <w:tcW w:w="307" w:type="pct"/>
                  <w:noWrap w:val="0"/>
                  <w:tcMar>
                    <w:top w:w="0" w:type="dxa"/>
                    <w:left w:w="0" w:type="dxa"/>
                    <w:bottom w:w="0" w:type="dxa"/>
                    <w:right w:w="0" w:type="dxa"/>
                  </w:tcMar>
                  <w:vAlign w:val="center"/>
                </w:tcPr>
                <w:p w14:paraId="54A9C19A">
                  <w:pPr>
                    <w:pStyle w:val="16"/>
                    <w:spacing w:after="0" w:line="280" w:lineRule="exact"/>
                    <w:ind w:left="0" w:leftChars="0" w:right="0" w:rightChars="0" w:firstLine="0" w:firstLineChars="0"/>
                    <w:jc w:val="center"/>
                    <w:rPr>
                      <w:rFonts w:hint="eastAsia" w:ascii="Times New Roman" w:hAnsi="Times New Roman" w:eastAsia="宋体"/>
                      <w:color w:val="auto"/>
                      <w:kern w:val="0"/>
                      <w:sz w:val="21"/>
                      <w:szCs w:val="20"/>
                      <w:lang w:val="en-US" w:eastAsia="zh-CN" w:bidi="ar-SA"/>
                    </w:rPr>
                  </w:pPr>
                  <w:r>
                    <w:rPr>
                      <w:rFonts w:hint="eastAsia" w:ascii="Times New Roman" w:hAnsi="Times New Roman" w:eastAsia="宋体"/>
                      <w:color w:val="auto"/>
                      <w:sz w:val="21"/>
                      <w:lang w:val="en-US" w:eastAsia="zh-CN"/>
                    </w:rPr>
                    <w:t>符合</w:t>
                  </w:r>
                </w:p>
              </w:tc>
            </w:tr>
            <w:tr w14:paraId="6DECC41A">
              <w:tc>
                <w:tcPr>
                  <w:tcW w:w="271" w:type="pct"/>
                  <w:noWrap w:val="0"/>
                  <w:tcMar>
                    <w:top w:w="0" w:type="dxa"/>
                    <w:left w:w="0" w:type="dxa"/>
                    <w:bottom w:w="0" w:type="dxa"/>
                    <w:right w:w="0" w:type="dxa"/>
                  </w:tcMar>
                  <w:vAlign w:val="center"/>
                </w:tcPr>
                <w:p w14:paraId="06B92793">
                  <w:pPr>
                    <w:pStyle w:val="16"/>
                    <w:spacing w:after="0" w:line="280" w:lineRule="exact"/>
                    <w:ind w:left="0" w:leftChars="0" w:right="0" w:rightChars="0" w:firstLine="0" w:firstLineChars="0"/>
                    <w:jc w:val="center"/>
                    <w:rPr>
                      <w:rFonts w:hint="eastAsia" w:ascii="Times New Roman" w:hAnsi="Times New Roman" w:eastAsia="宋体"/>
                      <w:color w:val="auto"/>
                      <w:kern w:val="0"/>
                      <w:sz w:val="21"/>
                      <w:szCs w:val="21"/>
                      <w:lang w:val="en-US" w:eastAsia="zh-CN" w:bidi="ar-SA"/>
                    </w:rPr>
                  </w:pPr>
                  <w:r>
                    <w:rPr>
                      <w:rFonts w:hint="eastAsia" w:ascii="Times New Roman" w:hAnsi="Times New Roman" w:eastAsia="宋体"/>
                      <w:color w:val="auto"/>
                      <w:sz w:val="21"/>
                      <w:szCs w:val="21"/>
                      <w:lang w:val="en-US" w:eastAsia="zh-CN"/>
                    </w:rPr>
                    <w:t>7</w:t>
                  </w:r>
                </w:p>
              </w:tc>
              <w:tc>
                <w:tcPr>
                  <w:tcW w:w="4279" w:type="dxa"/>
                  <w:noWrap w:val="0"/>
                  <w:tcMar>
                    <w:top w:w="0" w:type="dxa"/>
                    <w:left w:w="0" w:type="dxa"/>
                    <w:bottom w:w="0" w:type="dxa"/>
                    <w:right w:w="0" w:type="dxa"/>
                  </w:tcMar>
                  <w:vAlign w:val="center"/>
                </w:tcPr>
                <w:p w14:paraId="7296AA73">
                  <w:pPr>
                    <w:pStyle w:val="36"/>
                    <w:bidi w:val="0"/>
                    <w:jc w:val="center"/>
                    <w:rPr>
                      <w:rFonts w:hint="eastAsia" w:ascii="Times New Roman" w:hAnsi="Times New Roman" w:eastAsia="宋体"/>
                      <w:color w:val="auto"/>
                      <w:kern w:val="0"/>
                      <w:sz w:val="21"/>
                      <w:szCs w:val="21"/>
                      <w:lang w:val="en-US" w:eastAsia="zh-CN" w:bidi="ar-SA"/>
                    </w:rPr>
                  </w:pPr>
                  <w:r>
                    <w:rPr>
                      <w:rFonts w:hint="default" w:ascii="Times New Roman" w:hAnsi="Times New Roman" w:cs="Times New Roman"/>
                      <w:color w:val="auto"/>
                      <w:sz w:val="21"/>
                    </w:rPr>
                    <w:t>《</w:t>
                  </w:r>
                  <w:r>
                    <w:rPr>
                      <w:rFonts w:hint="eastAsia" w:ascii="Times New Roman" w:cs="Times New Roman"/>
                      <w:color w:val="auto"/>
                      <w:sz w:val="21"/>
                      <w:lang w:eastAsia="zh-CN"/>
                    </w:rPr>
                    <w:t>〈</w:t>
                  </w:r>
                  <w:r>
                    <w:rPr>
                      <w:rFonts w:hint="default" w:ascii="Times New Roman" w:hAnsi="Times New Roman" w:cs="Times New Roman"/>
                      <w:color w:val="auto"/>
                      <w:sz w:val="21"/>
                    </w:rPr>
                    <w:t>长江经济带发展负面清单指南（试行，2022年版）</w:t>
                  </w:r>
                  <w:r>
                    <w:rPr>
                      <w:rFonts w:hint="eastAsia" w:ascii="Times New Roman" w:cs="Times New Roman"/>
                      <w:color w:val="auto"/>
                      <w:sz w:val="21"/>
                      <w:lang w:eastAsia="zh-CN"/>
                    </w:rPr>
                    <w:t>〉</w:t>
                  </w:r>
                  <w:r>
                    <w:rPr>
                      <w:rFonts w:hint="default" w:ascii="Times New Roman" w:hAnsi="Times New Roman" w:cs="Times New Roman"/>
                      <w:color w:val="auto"/>
                      <w:sz w:val="21"/>
                    </w:rPr>
                    <w:t>江苏省实施细则》（苏长江办发</w:t>
                  </w:r>
                  <w:r>
                    <w:rPr>
                      <w:rFonts w:hint="eastAsia" w:ascii="Times New Roman" w:cs="Times New Roman"/>
                      <w:color w:val="auto"/>
                      <w:sz w:val="21"/>
                      <w:lang w:eastAsia="zh-CN"/>
                    </w:rPr>
                    <w:t>〔2022〕55号</w:t>
                  </w:r>
                  <w:r>
                    <w:rPr>
                      <w:rFonts w:hint="default" w:ascii="Times New Roman" w:hAnsi="Times New Roman" w:cs="Times New Roman"/>
                      <w:color w:val="auto"/>
                      <w:sz w:val="21"/>
                    </w:rPr>
                    <w:t>）</w:t>
                  </w:r>
                </w:p>
              </w:tc>
              <w:tc>
                <w:tcPr>
                  <w:tcW w:w="2649" w:type="dxa"/>
                  <w:noWrap w:val="0"/>
                  <w:tcMar>
                    <w:top w:w="0" w:type="dxa"/>
                    <w:left w:w="0" w:type="dxa"/>
                    <w:bottom w:w="0" w:type="dxa"/>
                    <w:right w:w="0" w:type="dxa"/>
                  </w:tcMar>
                  <w:vAlign w:val="center"/>
                </w:tcPr>
                <w:p w14:paraId="53AEC404">
                  <w:pPr>
                    <w:pStyle w:val="36"/>
                    <w:bidi w:val="0"/>
                    <w:jc w:val="center"/>
                    <w:rPr>
                      <w:rFonts w:hint="eastAsia" w:ascii="Times New Roman" w:hAnsi="Times New Roman" w:eastAsia="宋体"/>
                      <w:color w:val="auto"/>
                      <w:kern w:val="0"/>
                      <w:sz w:val="21"/>
                      <w:szCs w:val="20"/>
                      <w:vertAlign w:val="baseline"/>
                      <w:lang w:val="en-US" w:eastAsia="zh-CN" w:bidi="ar-SA"/>
                    </w:rPr>
                  </w:pPr>
                  <w:r>
                    <w:rPr>
                      <w:rFonts w:hint="default" w:ascii="Times New Roman" w:hAnsi="Times New Roman" w:cs="Times New Roman"/>
                      <w:color w:val="auto"/>
                      <w:sz w:val="21"/>
                    </w:rPr>
                    <w:t>不属于负面清单中禁止类项目</w:t>
                  </w:r>
                </w:p>
              </w:tc>
              <w:tc>
                <w:tcPr>
                  <w:tcW w:w="307" w:type="pct"/>
                  <w:noWrap w:val="0"/>
                  <w:tcMar>
                    <w:top w:w="0" w:type="dxa"/>
                    <w:left w:w="0" w:type="dxa"/>
                    <w:bottom w:w="0" w:type="dxa"/>
                    <w:right w:w="0" w:type="dxa"/>
                  </w:tcMar>
                  <w:vAlign w:val="center"/>
                </w:tcPr>
                <w:p w14:paraId="4387A807">
                  <w:pPr>
                    <w:pStyle w:val="16"/>
                    <w:spacing w:after="0" w:line="280" w:lineRule="exact"/>
                    <w:ind w:left="0" w:leftChars="0" w:right="0" w:rightChars="0" w:firstLine="0" w:firstLineChars="0"/>
                    <w:jc w:val="center"/>
                    <w:rPr>
                      <w:rFonts w:hint="eastAsia" w:ascii="Times New Roman" w:hAnsi="Times New Roman" w:eastAsia="宋体"/>
                      <w:color w:val="auto"/>
                      <w:kern w:val="0"/>
                      <w:sz w:val="21"/>
                      <w:szCs w:val="20"/>
                      <w:lang w:val="en-US" w:eastAsia="zh-CN" w:bidi="ar-SA"/>
                    </w:rPr>
                  </w:pPr>
                  <w:r>
                    <w:rPr>
                      <w:rFonts w:hint="eastAsia" w:ascii="Times New Roman" w:hAnsi="Times New Roman" w:eastAsia="宋体"/>
                      <w:color w:val="auto"/>
                      <w:sz w:val="21"/>
                      <w:lang w:val="en-US" w:eastAsia="zh-CN"/>
                    </w:rPr>
                    <w:t>符合</w:t>
                  </w:r>
                </w:p>
              </w:tc>
            </w:tr>
          </w:tbl>
          <w:p w14:paraId="0FC31972">
            <w:pPr>
              <w:pStyle w:val="16"/>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olor w:val="auto"/>
              </w:rPr>
            </w:pPr>
            <w:r>
              <w:rPr>
                <w:rFonts w:hint="eastAsia"/>
                <w:color w:val="auto"/>
              </w:rPr>
              <w:t>②本项目与江苏涟水经济开发区生态环境准入清单的相符性分析见下表。</w:t>
            </w:r>
          </w:p>
          <w:p w14:paraId="5C81DC7E">
            <w:pPr>
              <w:pStyle w:val="56"/>
              <w:keepNext w:val="0"/>
              <w:keepLines w:val="0"/>
              <w:pageBreakBefore w:val="0"/>
              <w:widowControl/>
              <w:kinsoku/>
              <w:wordWrap/>
              <w:overflowPunct/>
              <w:topLinePunct w:val="0"/>
              <w:autoSpaceDE/>
              <w:autoSpaceDN/>
              <w:bidi w:val="0"/>
              <w:adjustRightInd/>
              <w:snapToGrid/>
              <w:textAlignment w:val="auto"/>
              <w:rPr>
                <w:rFonts w:hint="default"/>
                <w:color w:val="auto"/>
                <w:lang w:val="en-US" w:eastAsia="zh-CN"/>
              </w:rPr>
            </w:pPr>
            <w:r>
              <w:rPr>
                <w:rFonts w:hint="eastAsia"/>
                <w:color w:val="auto"/>
                <w:lang w:val="en-US" w:eastAsia="zh-CN"/>
              </w:rPr>
              <w:t>表1-10  江苏涟水经济开发区生态环境准入清单</w:t>
            </w:r>
          </w:p>
          <w:tbl>
            <w:tblPr>
              <w:tblStyle w:val="2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15"/>
              <w:gridCol w:w="219"/>
              <w:gridCol w:w="3358"/>
              <w:gridCol w:w="3468"/>
              <w:gridCol w:w="574"/>
            </w:tblGrid>
            <w:tr w14:paraId="48CFFDCE">
              <w:tc>
                <w:tcPr>
                  <w:tcW w:w="276" w:type="pct"/>
                  <w:gridSpan w:val="2"/>
                  <w:tcBorders>
                    <w:tl2br w:val="nil"/>
                    <w:tr2bl w:val="nil"/>
                  </w:tcBorders>
                  <w:vAlign w:val="center"/>
                </w:tcPr>
                <w:p w14:paraId="7539CE6A">
                  <w:pPr>
                    <w:pStyle w:val="36"/>
                    <w:bidi w:val="0"/>
                    <w:rPr>
                      <w:rFonts w:hint="default" w:ascii="Times New Roman" w:hAnsi="Times New Roman" w:eastAsia="宋体"/>
                      <w:b w:val="0"/>
                      <w:bCs w:val="0"/>
                      <w:color w:val="auto"/>
                      <w:lang w:val="en-US" w:eastAsia="zh-CN"/>
                    </w:rPr>
                  </w:pPr>
                  <w:r>
                    <w:rPr>
                      <w:rFonts w:hint="eastAsia" w:ascii="Times New Roman" w:hAnsi="Times New Roman" w:eastAsia="宋体"/>
                      <w:b w:val="0"/>
                      <w:bCs w:val="0"/>
                      <w:color w:val="auto"/>
                      <w:lang w:val="en-US" w:eastAsia="zh-CN"/>
                    </w:rPr>
                    <w:t>类别</w:t>
                  </w:r>
                </w:p>
              </w:tc>
              <w:tc>
                <w:tcPr>
                  <w:tcW w:w="2143" w:type="pct"/>
                  <w:tcBorders>
                    <w:tl2br w:val="nil"/>
                    <w:tr2bl w:val="nil"/>
                  </w:tcBorders>
                  <w:vAlign w:val="center"/>
                </w:tcPr>
                <w:p w14:paraId="49904983">
                  <w:pPr>
                    <w:pStyle w:val="36"/>
                    <w:bidi w:val="0"/>
                    <w:rPr>
                      <w:rFonts w:hint="eastAsia" w:ascii="Times New Roman" w:hAnsi="Times New Roman" w:eastAsia="宋体"/>
                      <w:b w:val="0"/>
                      <w:bCs w:val="0"/>
                      <w:color w:val="auto"/>
                      <w:lang w:val="en-US" w:eastAsia="zh-CN"/>
                    </w:rPr>
                  </w:pPr>
                  <w:r>
                    <w:rPr>
                      <w:rFonts w:hint="eastAsia" w:ascii="Times New Roman" w:hAnsi="Times New Roman" w:eastAsia="宋体"/>
                      <w:b w:val="0"/>
                      <w:bCs w:val="0"/>
                      <w:color w:val="auto"/>
                      <w:lang w:val="en-US" w:eastAsia="zh-CN"/>
                    </w:rPr>
                    <w:t>环境准入条件</w:t>
                  </w:r>
                </w:p>
              </w:tc>
              <w:tc>
                <w:tcPr>
                  <w:tcW w:w="2213" w:type="pct"/>
                  <w:tcBorders>
                    <w:tl2br w:val="nil"/>
                    <w:tr2bl w:val="nil"/>
                  </w:tcBorders>
                  <w:vAlign w:val="center"/>
                </w:tcPr>
                <w:p w14:paraId="7913B102">
                  <w:pPr>
                    <w:pStyle w:val="36"/>
                    <w:bidi w:val="0"/>
                    <w:rPr>
                      <w:rFonts w:hint="default" w:ascii="Times New Roman" w:hAnsi="Times New Roman" w:eastAsia="宋体"/>
                      <w:b w:val="0"/>
                      <w:bCs w:val="0"/>
                      <w:color w:val="auto"/>
                      <w:lang w:val="en-US" w:eastAsia="zh-CN"/>
                    </w:rPr>
                  </w:pPr>
                  <w:r>
                    <w:rPr>
                      <w:rFonts w:hint="eastAsia" w:ascii="Times New Roman" w:hAnsi="Times New Roman" w:eastAsia="宋体"/>
                      <w:b w:val="0"/>
                      <w:bCs w:val="0"/>
                      <w:color w:val="auto"/>
                      <w:lang w:val="en-US" w:eastAsia="zh-CN"/>
                    </w:rPr>
                    <w:t>项目情况</w:t>
                  </w:r>
                </w:p>
              </w:tc>
              <w:tc>
                <w:tcPr>
                  <w:tcW w:w="366" w:type="pct"/>
                  <w:tcBorders>
                    <w:tl2br w:val="nil"/>
                    <w:tr2bl w:val="nil"/>
                  </w:tcBorders>
                  <w:vAlign w:val="center"/>
                </w:tcPr>
                <w:p w14:paraId="3CAA32F8">
                  <w:pPr>
                    <w:pStyle w:val="36"/>
                    <w:bidi w:val="0"/>
                    <w:rPr>
                      <w:rFonts w:hint="default" w:ascii="Times New Roman" w:hAnsi="Times New Roman" w:eastAsia="宋体"/>
                      <w:b w:val="0"/>
                      <w:bCs w:val="0"/>
                      <w:color w:val="auto"/>
                      <w:lang w:val="en-US" w:eastAsia="zh-CN"/>
                    </w:rPr>
                  </w:pPr>
                  <w:r>
                    <w:rPr>
                      <w:rFonts w:hint="eastAsia" w:ascii="Times New Roman" w:hAnsi="Times New Roman" w:eastAsia="宋体"/>
                      <w:b w:val="0"/>
                      <w:bCs w:val="0"/>
                      <w:color w:val="auto"/>
                      <w:lang w:val="en-US" w:eastAsia="zh-CN"/>
                    </w:rPr>
                    <w:t>相符性分析</w:t>
                  </w:r>
                </w:p>
              </w:tc>
            </w:tr>
            <w:tr w14:paraId="3A4C9D6D">
              <w:tc>
                <w:tcPr>
                  <w:tcW w:w="137" w:type="pct"/>
                  <w:vMerge w:val="restart"/>
                  <w:tcBorders>
                    <w:tl2br w:val="nil"/>
                    <w:tr2bl w:val="nil"/>
                  </w:tcBorders>
                  <w:vAlign w:val="center"/>
                </w:tcPr>
                <w:p w14:paraId="204E3049">
                  <w:pPr>
                    <w:pStyle w:val="36"/>
                    <w:bidi w:val="0"/>
                    <w:rPr>
                      <w:rFonts w:hint="default" w:ascii="Times New Roman" w:hAnsi="Times New Roman" w:eastAsia="宋体"/>
                      <w:b w:val="0"/>
                      <w:bCs w:val="0"/>
                      <w:color w:val="auto"/>
                      <w:lang w:val="en-US" w:eastAsia="zh-CN"/>
                    </w:rPr>
                  </w:pPr>
                  <w:r>
                    <w:rPr>
                      <w:rFonts w:hint="eastAsia" w:ascii="Times New Roman" w:hAnsi="Times New Roman" w:eastAsia="宋体"/>
                      <w:b w:val="0"/>
                      <w:bCs w:val="0"/>
                      <w:color w:val="auto"/>
                      <w:lang w:val="en-US" w:eastAsia="zh-CN"/>
                    </w:rPr>
                    <w:t>产业准入</w:t>
                  </w:r>
                </w:p>
              </w:tc>
              <w:tc>
                <w:tcPr>
                  <w:tcW w:w="139" w:type="pct"/>
                  <w:tcBorders>
                    <w:tl2br w:val="nil"/>
                    <w:tr2bl w:val="nil"/>
                  </w:tcBorders>
                  <w:vAlign w:val="center"/>
                </w:tcPr>
                <w:p w14:paraId="100E60E4">
                  <w:pPr>
                    <w:pStyle w:val="36"/>
                    <w:bidi w:val="0"/>
                    <w:rPr>
                      <w:rFonts w:hint="default" w:ascii="Times New Roman" w:hAnsi="Times New Roman" w:eastAsia="宋体"/>
                      <w:b w:val="0"/>
                      <w:bCs w:val="0"/>
                      <w:color w:val="auto"/>
                      <w:lang w:val="en-US" w:eastAsia="zh-CN"/>
                    </w:rPr>
                  </w:pPr>
                  <w:r>
                    <w:rPr>
                      <w:rFonts w:hint="eastAsia" w:ascii="Times New Roman" w:hAnsi="Times New Roman" w:eastAsia="宋体"/>
                      <w:b w:val="0"/>
                      <w:bCs w:val="0"/>
                      <w:color w:val="auto"/>
                      <w:lang w:val="en-US" w:eastAsia="zh-CN"/>
                    </w:rPr>
                    <w:t>主导产业</w:t>
                  </w:r>
                </w:p>
              </w:tc>
              <w:tc>
                <w:tcPr>
                  <w:tcW w:w="2143" w:type="pct"/>
                  <w:tcBorders>
                    <w:tl2br w:val="nil"/>
                    <w:tr2bl w:val="nil"/>
                  </w:tcBorders>
                  <w:vAlign w:val="center"/>
                </w:tcPr>
                <w:p w14:paraId="567E4F71">
                  <w:pPr>
                    <w:pStyle w:val="36"/>
                    <w:bidi w:val="0"/>
                    <w:jc w:val="both"/>
                    <w:rPr>
                      <w:rFonts w:hint="eastAsia" w:ascii="Times New Roman" w:hAnsi="Times New Roman" w:eastAsia="宋体"/>
                      <w:color w:val="auto"/>
                      <w:lang w:val="en-US" w:eastAsia="zh-CN"/>
                    </w:rPr>
                  </w:pPr>
                  <w:r>
                    <w:rPr>
                      <w:rFonts w:ascii="Times New Roman" w:hAnsi="Times New Roman" w:eastAsia="宋体"/>
                      <w:color w:val="auto"/>
                      <w:lang w:val="en-US" w:eastAsia="zh-CN"/>
                    </w:rPr>
                    <w:t>主要发展装备制造、纺织服装、电子信息、绿色食品4大主导产业。保留符合上一轮规划产业定位的企业</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禁止引进建材、医药等行业企业。</w:t>
                  </w:r>
                </w:p>
              </w:tc>
              <w:tc>
                <w:tcPr>
                  <w:tcW w:w="2213" w:type="pct"/>
                  <w:tcBorders>
                    <w:tl2br w:val="nil"/>
                    <w:tr2bl w:val="nil"/>
                  </w:tcBorders>
                  <w:vAlign w:val="center"/>
                </w:tcPr>
                <w:p w14:paraId="22B427BC">
                  <w:pPr>
                    <w:pStyle w:val="36"/>
                    <w:bidi w:val="0"/>
                    <w:jc w:val="both"/>
                    <w:rPr>
                      <w:rFonts w:ascii="Times New Roman" w:hAnsi="Times New Roman" w:eastAsia="宋体"/>
                      <w:color w:val="auto"/>
                      <w:lang w:val="en-US" w:eastAsia="zh-CN"/>
                    </w:rPr>
                  </w:pPr>
                  <w:r>
                    <w:rPr>
                      <w:rFonts w:hint="eastAsia" w:ascii="Times New Roman" w:hAnsi="Times New Roman" w:eastAsia="宋体"/>
                      <w:color w:val="auto"/>
                    </w:rPr>
                    <w:t>本项目</w:t>
                  </w:r>
                  <w:r>
                    <w:rPr>
                      <w:rFonts w:hint="eastAsia" w:ascii="Times New Roman" w:hAnsi="Times New Roman" w:eastAsia="宋体"/>
                      <w:color w:val="auto"/>
                      <w:lang w:val="en-US" w:eastAsia="zh-CN"/>
                    </w:rPr>
                    <w:t>为</w:t>
                  </w:r>
                  <w:r>
                    <w:rPr>
                      <w:rFonts w:hint="eastAsia" w:ascii="Times New Roman"/>
                      <w:color w:val="auto"/>
                      <w:lang w:val="en-US" w:eastAsia="zh-CN"/>
                    </w:rPr>
                    <w:t>淮安挑战者饮料有限公司饮料生产项目（不含碳酸饮料和酒）</w:t>
                  </w:r>
                  <w:r>
                    <w:rPr>
                      <w:rFonts w:hint="eastAsia" w:ascii="Times New Roman" w:hAnsi="Times New Roman" w:eastAsia="宋体"/>
                      <w:color w:val="auto"/>
                      <w:lang w:eastAsia="zh-CN"/>
                    </w:rPr>
                    <w:t>，</w:t>
                  </w:r>
                  <w:r>
                    <w:rPr>
                      <w:rFonts w:ascii="Times New Roman" w:hAnsi="Times New Roman" w:eastAsia="宋体"/>
                      <w:color w:val="auto"/>
                    </w:rPr>
                    <w:t>属于</w:t>
                  </w:r>
                  <w:r>
                    <w:rPr>
                      <w:rFonts w:hint="eastAsia" w:ascii="Times New Roman"/>
                      <w:color w:val="auto"/>
                      <w:lang w:eastAsia="zh-CN"/>
                    </w:rPr>
                    <w:t>C1523 果菜汁及果菜汁饮料制造、C1524 含乳饮料和植物蛋白饮料制造、C1529 茶饮料及其他饮料制造、C2926 塑料包装箱及容器制造</w:t>
                  </w:r>
                  <w:r>
                    <w:rPr>
                      <w:rFonts w:hint="eastAsia" w:ascii="Times New Roman" w:hAnsi="Times New Roman" w:eastAsia="宋体"/>
                      <w:color w:val="auto"/>
                      <w:lang w:eastAsia="zh-CN"/>
                    </w:rPr>
                    <w:t>，</w:t>
                  </w:r>
                  <w:r>
                    <w:rPr>
                      <w:rFonts w:hint="eastAsia" w:ascii="Times New Roman" w:hAnsi="Times New Roman" w:eastAsia="宋体"/>
                      <w:color w:val="auto"/>
                    </w:rPr>
                    <w:t>不属于</w:t>
                  </w:r>
                  <w:r>
                    <w:rPr>
                      <w:rFonts w:hint="eastAsia" w:ascii="Times New Roman" w:hAnsi="Times New Roman" w:eastAsia="宋体"/>
                      <w:color w:val="auto"/>
                      <w:lang w:val="en-US" w:eastAsia="zh-CN"/>
                    </w:rPr>
                    <w:t>园区主导产业</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也不属于园区限制引入和禁止引入的产业，</w:t>
                  </w:r>
                  <w:r>
                    <w:rPr>
                      <w:rFonts w:hint="eastAsia" w:ascii="Times New Roman" w:hAnsi="Times New Roman" w:eastAsia="宋体"/>
                      <w:color w:val="auto"/>
                    </w:rPr>
                    <w:t>属于允许</w:t>
                  </w:r>
                  <w:r>
                    <w:rPr>
                      <w:rFonts w:hint="eastAsia" w:ascii="Times New Roman" w:hAnsi="Times New Roman" w:eastAsia="宋体"/>
                      <w:color w:val="auto"/>
                      <w:lang w:val="en-US" w:eastAsia="zh-CN"/>
                    </w:rPr>
                    <w:t>引入</w:t>
                  </w:r>
                  <w:r>
                    <w:rPr>
                      <w:rFonts w:hint="eastAsia" w:ascii="Times New Roman" w:hAnsi="Times New Roman" w:eastAsia="宋体"/>
                      <w:color w:val="auto"/>
                    </w:rPr>
                    <w:t>类</w:t>
                  </w:r>
                  <w:r>
                    <w:rPr>
                      <w:rFonts w:hint="eastAsia" w:ascii="Times New Roman" w:hAnsi="Times New Roman" w:eastAsia="宋体"/>
                      <w:color w:val="auto"/>
                      <w:lang w:val="en-US" w:eastAsia="zh-CN"/>
                    </w:rPr>
                    <w:t>产业</w:t>
                  </w:r>
                  <w:r>
                    <w:rPr>
                      <w:rFonts w:hint="eastAsia" w:ascii="Times New Roman" w:hAnsi="Times New Roman" w:eastAsia="宋体"/>
                      <w:color w:val="auto"/>
                    </w:rPr>
                    <w:t>。</w:t>
                  </w:r>
                </w:p>
              </w:tc>
              <w:tc>
                <w:tcPr>
                  <w:tcW w:w="366" w:type="pct"/>
                  <w:tcBorders>
                    <w:tl2br w:val="nil"/>
                    <w:tr2bl w:val="nil"/>
                  </w:tcBorders>
                  <w:vAlign w:val="center"/>
                </w:tcPr>
                <w:p w14:paraId="6407A54F">
                  <w:pPr>
                    <w:pStyle w:val="36"/>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符合</w:t>
                  </w:r>
                </w:p>
              </w:tc>
            </w:tr>
            <w:tr w14:paraId="42271CB5">
              <w:trPr>
                <w:trHeight w:val="959" w:hRule="atLeast"/>
              </w:trPr>
              <w:tc>
                <w:tcPr>
                  <w:tcW w:w="137" w:type="pct"/>
                  <w:vMerge w:val="continue"/>
                  <w:tcBorders>
                    <w:tl2br w:val="nil"/>
                    <w:tr2bl w:val="nil"/>
                  </w:tcBorders>
                  <w:vAlign w:val="center"/>
                </w:tcPr>
                <w:p w14:paraId="6D0A0A1C">
                  <w:pPr>
                    <w:pStyle w:val="36"/>
                    <w:bidi w:val="0"/>
                    <w:rPr>
                      <w:rFonts w:hint="eastAsia" w:ascii="Times New Roman" w:hAnsi="Times New Roman" w:eastAsia="宋体"/>
                      <w:b w:val="0"/>
                      <w:bCs w:val="0"/>
                      <w:color w:val="auto"/>
                      <w:lang w:val="en-US" w:eastAsia="zh-CN"/>
                    </w:rPr>
                  </w:pPr>
                </w:p>
              </w:tc>
              <w:tc>
                <w:tcPr>
                  <w:tcW w:w="139" w:type="pct"/>
                  <w:vMerge w:val="restart"/>
                  <w:tcBorders>
                    <w:tl2br w:val="nil"/>
                    <w:tr2bl w:val="nil"/>
                  </w:tcBorders>
                  <w:vAlign w:val="center"/>
                </w:tcPr>
                <w:p w14:paraId="704D9F41">
                  <w:pPr>
                    <w:pStyle w:val="36"/>
                    <w:bidi w:val="0"/>
                    <w:rPr>
                      <w:rFonts w:hint="default" w:ascii="Times New Roman" w:hAnsi="Times New Roman" w:eastAsia="宋体"/>
                      <w:b w:val="0"/>
                      <w:bCs w:val="0"/>
                      <w:color w:val="auto"/>
                      <w:lang w:val="en-US" w:eastAsia="zh-CN"/>
                    </w:rPr>
                  </w:pPr>
                  <w:r>
                    <w:rPr>
                      <w:rFonts w:hint="eastAsia" w:ascii="Times New Roman" w:hAnsi="Times New Roman" w:eastAsia="宋体"/>
                      <w:b w:val="0"/>
                      <w:bCs w:val="0"/>
                      <w:color w:val="auto"/>
                      <w:lang w:val="en-US" w:eastAsia="zh-CN"/>
                    </w:rPr>
                    <w:t>禁止引入</w:t>
                  </w:r>
                </w:p>
              </w:tc>
              <w:tc>
                <w:tcPr>
                  <w:tcW w:w="2143" w:type="pct"/>
                  <w:tcBorders>
                    <w:tl2br w:val="nil"/>
                    <w:tr2bl w:val="nil"/>
                  </w:tcBorders>
                  <w:vAlign w:val="center"/>
                </w:tcPr>
                <w:p w14:paraId="0E5A4B18">
                  <w:pPr>
                    <w:pStyle w:val="36"/>
                    <w:bidi w:val="0"/>
                    <w:jc w:val="both"/>
                    <w:rPr>
                      <w:rFonts w:hint="eastAsia" w:ascii="Times New Roman" w:hAnsi="Times New Roman" w:eastAsia="宋体"/>
                      <w:color w:val="auto"/>
                      <w:lang w:val="en-US" w:eastAsia="zh-CN"/>
                    </w:rPr>
                  </w:pPr>
                  <w:r>
                    <w:rPr>
                      <w:rFonts w:hint="eastAsia" w:ascii="Times New Roman"/>
                      <w:color w:val="auto"/>
                      <w:lang w:val="en-US" w:eastAsia="zh-CN"/>
                    </w:rPr>
                    <w:t>1.</w:t>
                  </w:r>
                  <w:r>
                    <w:rPr>
                      <w:rFonts w:ascii="Times New Roman" w:hAnsi="Times New Roman" w:eastAsia="宋体"/>
                      <w:color w:val="auto"/>
                      <w:lang w:val="en-US" w:eastAsia="zh-CN"/>
                    </w:rPr>
                    <w:t>含酿造工艺的项目。</w:t>
                  </w:r>
                </w:p>
              </w:tc>
              <w:tc>
                <w:tcPr>
                  <w:tcW w:w="2213" w:type="pct"/>
                  <w:tcBorders>
                    <w:tl2br w:val="nil"/>
                    <w:tr2bl w:val="nil"/>
                  </w:tcBorders>
                  <w:vAlign w:val="center"/>
                </w:tcPr>
                <w:p w14:paraId="3E1C7F36">
                  <w:pPr>
                    <w:pStyle w:val="36"/>
                    <w:bidi w:val="0"/>
                    <w:jc w:val="both"/>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本项目不含</w:t>
                  </w:r>
                  <w:r>
                    <w:rPr>
                      <w:rFonts w:ascii="Times New Roman" w:hAnsi="Times New Roman" w:eastAsia="宋体"/>
                      <w:color w:val="auto"/>
                      <w:lang w:val="en-US" w:eastAsia="zh-CN"/>
                    </w:rPr>
                    <w:t>酿造工艺</w:t>
                  </w:r>
                  <w:r>
                    <w:rPr>
                      <w:rFonts w:hint="eastAsia" w:ascii="Times New Roman"/>
                      <w:color w:val="auto"/>
                      <w:lang w:val="en-US" w:eastAsia="zh-CN"/>
                    </w:rPr>
                    <w:t>。</w:t>
                  </w:r>
                </w:p>
              </w:tc>
              <w:tc>
                <w:tcPr>
                  <w:tcW w:w="366" w:type="pct"/>
                  <w:vMerge w:val="restart"/>
                  <w:tcBorders>
                    <w:tl2br w:val="nil"/>
                    <w:tr2bl w:val="nil"/>
                  </w:tcBorders>
                  <w:vAlign w:val="center"/>
                </w:tcPr>
                <w:p w14:paraId="119712EB">
                  <w:pPr>
                    <w:pStyle w:val="36"/>
                    <w:bidi w:val="0"/>
                    <w:rPr>
                      <w:rFonts w:ascii="Times New Roman" w:hAnsi="Times New Roman" w:eastAsia="宋体"/>
                      <w:color w:val="auto"/>
                      <w:lang w:val="en-US" w:eastAsia="zh-CN"/>
                    </w:rPr>
                  </w:pPr>
                  <w:r>
                    <w:rPr>
                      <w:rFonts w:hint="eastAsia" w:ascii="Times New Roman" w:hAnsi="Times New Roman" w:eastAsia="宋体"/>
                      <w:color w:val="auto"/>
                    </w:rPr>
                    <w:t>符合</w:t>
                  </w:r>
                </w:p>
                <w:p w14:paraId="517DF96E">
                  <w:pPr>
                    <w:pStyle w:val="36"/>
                    <w:bidi w:val="0"/>
                    <w:rPr>
                      <w:rFonts w:ascii="Times New Roman" w:hAnsi="Times New Roman" w:eastAsia="宋体"/>
                      <w:color w:val="auto"/>
                      <w:lang w:val="en-US" w:eastAsia="zh-CN"/>
                    </w:rPr>
                  </w:pPr>
                </w:p>
              </w:tc>
            </w:tr>
            <w:tr w14:paraId="5255A8A6">
              <w:tc>
                <w:tcPr>
                  <w:tcW w:w="137" w:type="pct"/>
                  <w:vMerge w:val="continue"/>
                  <w:tcBorders>
                    <w:tl2br w:val="nil"/>
                    <w:tr2bl w:val="nil"/>
                  </w:tcBorders>
                  <w:vAlign w:val="center"/>
                </w:tcPr>
                <w:p w14:paraId="7698EC13">
                  <w:pPr>
                    <w:pStyle w:val="36"/>
                    <w:bidi w:val="0"/>
                    <w:rPr>
                      <w:rFonts w:hint="eastAsia" w:ascii="Times New Roman" w:hAnsi="Times New Roman" w:eastAsia="宋体"/>
                      <w:b w:val="0"/>
                      <w:bCs w:val="0"/>
                      <w:color w:val="auto"/>
                      <w:lang w:val="en-US" w:eastAsia="zh-CN"/>
                    </w:rPr>
                  </w:pPr>
                </w:p>
              </w:tc>
              <w:tc>
                <w:tcPr>
                  <w:tcW w:w="139" w:type="pct"/>
                  <w:vMerge w:val="continue"/>
                  <w:tcBorders>
                    <w:tl2br w:val="nil"/>
                    <w:tr2bl w:val="nil"/>
                  </w:tcBorders>
                  <w:vAlign w:val="center"/>
                </w:tcPr>
                <w:p w14:paraId="6072C02D">
                  <w:pPr>
                    <w:pStyle w:val="36"/>
                    <w:bidi w:val="0"/>
                    <w:rPr>
                      <w:rFonts w:hint="eastAsia" w:ascii="Times New Roman" w:hAnsi="Times New Roman" w:eastAsia="宋体"/>
                      <w:b w:val="0"/>
                      <w:bCs w:val="0"/>
                      <w:color w:val="auto"/>
                      <w:lang w:val="en-US" w:eastAsia="zh-CN"/>
                    </w:rPr>
                  </w:pPr>
                </w:p>
              </w:tc>
              <w:tc>
                <w:tcPr>
                  <w:tcW w:w="2143" w:type="pct"/>
                  <w:tcBorders>
                    <w:tl2br w:val="nil"/>
                    <w:tr2bl w:val="nil"/>
                  </w:tcBorders>
                  <w:vAlign w:val="center"/>
                </w:tcPr>
                <w:p w14:paraId="68470FA5">
                  <w:pPr>
                    <w:pStyle w:val="36"/>
                    <w:bidi w:val="0"/>
                    <w:jc w:val="both"/>
                    <w:rPr>
                      <w:rFonts w:hint="eastAsia" w:ascii="Times New Roman" w:hAnsi="Times New Roman" w:eastAsia="宋体"/>
                      <w:color w:val="auto"/>
                      <w:lang w:val="en-US" w:eastAsia="zh-CN"/>
                    </w:rPr>
                  </w:pPr>
                  <w:r>
                    <w:rPr>
                      <w:rFonts w:hint="eastAsia" w:ascii="Times New Roman"/>
                      <w:color w:val="auto"/>
                      <w:lang w:val="en-US" w:eastAsia="zh-CN"/>
                    </w:rPr>
                    <w:t>2.</w:t>
                  </w:r>
                  <w:r>
                    <w:rPr>
                      <w:rFonts w:ascii="Times New Roman" w:hAnsi="Times New Roman" w:eastAsia="宋体"/>
                      <w:color w:val="auto"/>
                      <w:lang w:val="en-US" w:eastAsia="zh-CN"/>
                    </w:rPr>
                    <w:t>使用高VOCs含量的溶剂型涂料、油墨、胶粘剂等项目。</w:t>
                  </w:r>
                </w:p>
              </w:tc>
              <w:tc>
                <w:tcPr>
                  <w:tcW w:w="2213" w:type="pct"/>
                  <w:tcBorders>
                    <w:tl2br w:val="nil"/>
                    <w:tr2bl w:val="nil"/>
                  </w:tcBorders>
                  <w:vAlign w:val="center"/>
                </w:tcPr>
                <w:p w14:paraId="2669C7B0">
                  <w:pPr>
                    <w:pStyle w:val="36"/>
                    <w:bidi w:val="0"/>
                    <w:jc w:val="center"/>
                    <w:rPr>
                      <w:rFonts w:hint="default" w:ascii="Times New Roman" w:hAnsi="Times New Roman" w:eastAsia="宋体"/>
                      <w:color w:val="auto"/>
                      <w:lang w:val="en-US" w:eastAsia="zh-CN"/>
                    </w:rPr>
                  </w:pPr>
                  <w:r>
                    <w:rPr>
                      <w:rFonts w:hint="eastAsia" w:ascii="Times New Roman"/>
                      <w:color w:val="auto"/>
                      <w:lang w:val="en-US" w:eastAsia="zh-CN"/>
                    </w:rPr>
                    <w:t>本项目不使用</w:t>
                  </w:r>
                  <w:r>
                    <w:rPr>
                      <w:rFonts w:ascii="Times New Roman" w:hAnsi="Times New Roman" w:eastAsia="宋体"/>
                      <w:color w:val="auto"/>
                      <w:lang w:val="en-US" w:eastAsia="zh-CN"/>
                    </w:rPr>
                    <w:t>溶剂型涂料、油墨、胶粘剂</w:t>
                  </w:r>
                  <w:r>
                    <w:rPr>
                      <w:rFonts w:hint="eastAsia" w:ascii="Times New Roman"/>
                      <w:color w:val="auto"/>
                      <w:lang w:val="en-US" w:eastAsia="zh-CN"/>
                    </w:rPr>
                    <w:t>。</w:t>
                  </w:r>
                </w:p>
              </w:tc>
              <w:tc>
                <w:tcPr>
                  <w:tcW w:w="366" w:type="pct"/>
                  <w:vMerge w:val="continue"/>
                  <w:tcBorders>
                    <w:tl2br w:val="nil"/>
                    <w:tr2bl w:val="nil"/>
                  </w:tcBorders>
                  <w:vAlign w:val="center"/>
                </w:tcPr>
                <w:p w14:paraId="3016D4E4">
                  <w:pPr>
                    <w:pStyle w:val="36"/>
                    <w:bidi w:val="0"/>
                    <w:rPr>
                      <w:rFonts w:ascii="Times New Roman" w:hAnsi="Times New Roman" w:eastAsia="宋体"/>
                      <w:color w:val="auto"/>
                      <w:lang w:val="en-US" w:eastAsia="zh-CN"/>
                    </w:rPr>
                  </w:pPr>
                </w:p>
              </w:tc>
            </w:tr>
            <w:tr w14:paraId="41C0047C">
              <w:tc>
                <w:tcPr>
                  <w:tcW w:w="137" w:type="pct"/>
                  <w:vMerge w:val="continue"/>
                  <w:tcBorders>
                    <w:tl2br w:val="nil"/>
                    <w:tr2bl w:val="nil"/>
                  </w:tcBorders>
                  <w:vAlign w:val="center"/>
                </w:tcPr>
                <w:p w14:paraId="5EE55D21">
                  <w:pPr>
                    <w:pStyle w:val="36"/>
                    <w:bidi w:val="0"/>
                    <w:rPr>
                      <w:rFonts w:hint="eastAsia" w:ascii="Times New Roman" w:hAnsi="Times New Roman" w:eastAsia="宋体"/>
                      <w:b w:val="0"/>
                      <w:bCs w:val="0"/>
                      <w:color w:val="auto"/>
                      <w:lang w:val="en-US" w:eastAsia="zh-CN"/>
                    </w:rPr>
                  </w:pPr>
                </w:p>
              </w:tc>
              <w:tc>
                <w:tcPr>
                  <w:tcW w:w="139" w:type="pct"/>
                  <w:vMerge w:val="continue"/>
                  <w:tcBorders>
                    <w:tl2br w:val="nil"/>
                    <w:tr2bl w:val="nil"/>
                  </w:tcBorders>
                  <w:vAlign w:val="center"/>
                </w:tcPr>
                <w:p w14:paraId="1A21FE11">
                  <w:pPr>
                    <w:pStyle w:val="36"/>
                    <w:bidi w:val="0"/>
                    <w:rPr>
                      <w:rFonts w:hint="eastAsia" w:ascii="Times New Roman" w:hAnsi="Times New Roman" w:eastAsia="宋体"/>
                      <w:b w:val="0"/>
                      <w:bCs w:val="0"/>
                      <w:color w:val="auto"/>
                      <w:lang w:val="en-US" w:eastAsia="zh-CN"/>
                    </w:rPr>
                  </w:pPr>
                </w:p>
              </w:tc>
              <w:tc>
                <w:tcPr>
                  <w:tcW w:w="2143" w:type="pct"/>
                  <w:tcBorders>
                    <w:tl2br w:val="nil"/>
                    <w:tr2bl w:val="nil"/>
                  </w:tcBorders>
                  <w:vAlign w:val="center"/>
                </w:tcPr>
                <w:p w14:paraId="1158EC94">
                  <w:pPr>
                    <w:pStyle w:val="36"/>
                    <w:bidi w:val="0"/>
                    <w:jc w:val="both"/>
                    <w:rPr>
                      <w:rFonts w:hint="eastAsia" w:ascii="Times New Roman" w:hAnsi="Times New Roman" w:eastAsia="宋体"/>
                      <w:color w:val="auto"/>
                      <w:lang w:val="en-US" w:eastAsia="zh-CN"/>
                    </w:rPr>
                  </w:pPr>
                  <w:r>
                    <w:rPr>
                      <w:rFonts w:hint="eastAsia" w:ascii="Times New Roman"/>
                      <w:color w:val="auto"/>
                      <w:lang w:val="en-US" w:eastAsia="zh-CN"/>
                    </w:rPr>
                    <w:t>3.</w:t>
                  </w:r>
                  <w:r>
                    <w:rPr>
                      <w:rFonts w:ascii="Times New Roman" w:hAnsi="Times New Roman" w:eastAsia="宋体"/>
                      <w:color w:val="auto"/>
                      <w:lang w:val="en-US" w:eastAsia="zh-CN"/>
                    </w:rPr>
                    <w:t>新建排放铅、汞、铬、镉和类金属砷的项目。</w:t>
                  </w:r>
                </w:p>
              </w:tc>
              <w:tc>
                <w:tcPr>
                  <w:tcW w:w="2213" w:type="pct"/>
                  <w:tcBorders>
                    <w:tl2br w:val="nil"/>
                    <w:tr2bl w:val="nil"/>
                  </w:tcBorders>
                  <w:vAlign w:val="center"/>
                </w:tcPr>
                <w:p w14:paraId="4BF085DE">
                  <w:pPr>
                    <w:pStyle w:val="36"/>
                    <w:bidi w:val="0"/>
                    <w:jc w:val="center"/>
                    <w:rPr>
                      <w:rFonts w:hint="default" w:ascii="Times New Roman" w:hAnsi="Times New Roman" w:eastAsia="宋体"/>
                      <w:color w:val="auto"/>
                      <w:lang w:val="en-US" w:eastAsia="zh-CN"/>
                    </w:rPr>
                  </w:pPr>
                  <w:r>
                    <w:rPr>
                      <w:rFonts w:hint="eastAsia" w:ascii="Times New Roman"/>
                      <w:color w:val="auto"/>
                      <w:lang w:val="en-US" w:eastAsia="zh-CN"/>
                    </w:rPr>
                    <w:t>本项目不属于排放铅、汞、铬、镉和类金属砷的项目。</w:t>
                  </w:r>
                </w:p>
              </w:tc>
              <w:tc>
                <w:tcPr>
                  <w:tcW w:w="366" w:type="pct"/>
                  <w:vMerge w:val="continue"/>
                  <w:tcBorders>
                    <w:tl2br w:val="nil"/>
                    <w:tr2bl w:val="nil"/>
                  </w:tcBorders>
                  <w:vAlign w:val="center"/>
                </w:tcPr>
                <w:p w14:paraId="3441AA2A">
                  <w:pPr>
                    <w:pStyle w:val="36"/>
                    <w:bidi w:val="0"/>
                    <w:rPr>
                      <w:rFonts w:ascii="Times New Roman" w:hAnsi="Times New Roman" w:eastAsia="宋体"/>
                      <w:color w:val="auto"/>
                      <w:lang w:val="en-US" w:eastAsia="zh-CN"/>
                    </w:rPr>
                  </w:pPr>
                </w:p>
              </w:tc>
            </w:tr>
            <w:tr w14:paraId="37A096BC">
              <w:tc>
                <w:tcPr>
                  <w:tcW w:w="137" w:type="pct"/>
                  <w:vMerge w:val="continue"/>
                  <w:tcBorders>
                    <w:tl2br w:val="nil"/>
                    <w:tr2bl w:val="nil"/>
                  </w:tcBorders>
                  <w:vAlign w:val="center"/>
                </w:tcPr>
                <w:p w14:paraId="14E75787">
                  <w:pPr>
                    <w:pStyle w:val="36"/>
                    <w:bidi w:val="0"/>
                    <w:rPr>
                      <w:rFonts w:hint="eastAsia" w:ascii="Times New Roman" w:hAnsi="Times New Roman" w:eastAsia="宋体"/>
                      <w:b w:val="0"/>
                      <w:bCs w:val="0"/>
                      <w:color w:val="auto"/>
                      <w:lang w:val="en-US" w:eastAsia="zh-CN"/>
                    </w:rPr>
                  </w:pPr>
                </w:p>
              </w:tc>
              <w:tc>
                <w:tcPr>
                  <w:tcW w:w="139" w:type="pct"/>
                  <w:vMerge w:val="continue"/>
                  <w:tcBorders>
                    <w:tl2br w:val="nil"/>
                    <w:tr2bl w:val="nil"/>
                  </w:tcBorders>
                  <w:vAlign w:val="center"/>
                </w:tcPr>
                <w:p w14:paraId="47930ABE">
                  <w:pPr>
                    <w:pStyle w:val="36"/>
                    <w:bidi w:val="0"/>
                    <w:rPr>
                      <w:rFonts w:hint="eastAsia" w:ascii="Times New Roman" w:hAnsi="Times New Roman" w:eastAsia="宋体"/>
                      <w:b w:val="0"/>
                      <w:bCs w:val="0"/>
                      <w:color w:val="auto"/>
                      <w:lang w:val="en-US" w:eastAsia="zh-CN"/>
                    </w:rPr>
                  </w:pPr>
                </w:p>
              </w:tc>
              <w:tc>
                <w:tcPr>
                  <w:tcW w:w="2143" w:type="pct"/>
                  <w:tcBorders>
                    <w:tl2br w:val="nil"/>
                    <w:tr2bl w:val="nil"/>
                  </w:tcBorders>
                  <w:vAlign w:val="center"/>
                </w:tcPr>
                <w:p w14:paraId="180DC5D9">
                  <w:pPr>
                    <w:pStyle w:val="36"/>
                    <w:bidi w:val="0"/>
                    <w:jc w:val="both"/>
                    <w:rPr>
                      <w:rFonts w:hint="eastAsia" w:ascii="Times New Roman" w:hAnsi="Times New Roman" w:eastAsia="宋体"/>
                      <w:color w:val="auto"/>
                      <w:lang w:val="en-US" w:eastAsia="zh-CN"/>
                    </w:rPr>
                  </w:pPr>
                  <w:r>
                    <w:rPr>
                      <w:rFonts w:hint="eastAsia" w:ascii="Times New Roman"/>
                      <w:color w:val="auto"/>
                      <w:lang w:val="en-US" w:eastAsia="zh-CN"/>
                    </w:rPr>
                    <w:t>4.</w:t>
                  </w:r>
                  <w:r>
                    <w:rPr>
                      <w:rFonts w:ascii="Times New Roman" w:hAnsi="Times New Roman" w:eastAsia="宋体"/>
                      <w:color w:val="auto"/>
                      <w:lang w:val="en-US" w:eastAsia="zh-CN"/>
                    </w:rPr>
                    <w:t>属于《淮河流域水污染防治暂行条例》中禁止的项目。</w:t>
                  </w:r>
                </w:p>
              </w:tc>
              <w:tc>
                <w:tcPr>
                  <w:tcW w:w="2213" w:type="pct"/>
                  <w:tcBorders>
                    <w:tl2br w:val="nil"/>
                    <w:tr2bl w:val="nil"/>
                  </w:tcBorders>
                  <w:vAlign w:val="center"/>
                </w:tcPr>
                <w:p w14:paraId="57EAF7A2">
                  <w:pPr>
                    <w:pStyle w:val="36"/>
                    <w:bidi w:val="0"/>
                    <w:jc w:val="both"/>
                    <w:rPr>
                      <w:rFonts w:ascii="Times New Roman" w:hAnsi="Times New Roman" w:eastAsia="宋体"/>
                      <w:color w:val="auto"/>
                      <w:lang w:val="en-US" w:eastAsia="zh-CN"/>
                    </w:rPr>
                  </w:pPr>
                  <w:r>
                    <w:rPr>
                      <w:rFonts w:hint="eastAsia" w:ascii="Times New Roman"/>
                      <w:color w:val="auto"/>
                      <w:lang w:val="en-US" w:eastAsia="zh-CN"/>
                    </w:rPr>
                    <w:t>本项目不</w:t>
                  </w:r>
                  <w:r>
                    <w:rPr>
                      <w:rFonts w:ascii="Times New Roman" w:hAnsi="Times New Roman" w:eastAsia="宋体"/>
                      <w:color w:val="auto"/>
                      <w:lang w:val="en-US" w:eastAsia="zh-CN"/>
                    </w:rPr>
                    <w:t>属于《淮河流域水污染防治暂行条例》中禁止的项目</w:t>
                  </w:r>
                  <w:r>
                    <w:rPr>
                      <w:rFonts w:hint="eastAsia" w:ascii="Times New Roman"/>
                      <w:color w:val="auto"/>
                      <w:lang w:val="en-US" w:eastAsia="zh-CN"/>
                    </w:rPr>
                    <w:t>。</w:t>
                  </w:r>
                </w:p>
              </w:tc>
              <w:tc>
                <w:tcPr>
                  <w:tcW w:w="366" w:type="pct"/>
                  <w:vMerge w:val="continue"/>
                  <w:tcBorders>
                    <w:tl2br w:val="nil"/>
                    <w:tr2bl w:val="nil"/>
                  </w:tcBorders>
                  <w:vAlign w:val="center"/>
                </w:tcPr>
                <w:p w14:paraId="23BB3476">
                  <w:pPr>
                    <w:pStyle w:val="36"/>
                    <w:bidi w:val="0"/>
                    <w:rPr>
                      <w:rFonts w:ascii="Times New Roman" w:hAnsi="Times New Roman" w:eastAsia="宋体"/>
                      <w:color w:val="auto"/>
                      <w:lang w:val="en-US" w:eastAsia="zh-CN"/>
                    </w:rPr>
                  </w:pPr>
                </w:p>
              </w:tc>
            </w:tr>
            <w:tr w14:paraId="109A9D13">
              <w:tc>
                <w:tcPr>
                  <w:tcW w:w="137" w:type="pct"/>
                  <w:vMerge w:val="continue"/>
                  <w:tcBorders>
                    <w:tl2br w:val="nil"/>
                    <w:tr2bl w:val="nil"/>
                  </w:tcBorders>
                  <w:vAlign w:val="center"/>
                </w:tcPr>
                <w:p w14:paraId="25E71E43">
                  <w:pPr>
                    <w:pStyle w:val="36"/>
                    <w:bidi w:val="0"/>
                    <w:rPr>
                      <w:rFonts w:hint="eastAsia" w:ascii="Times New Roman" w:hAnsi="Times New Roman" w:eastAsia="宋体"/>
                      <w:b w:val="0"/>
                      <w:bCs w:val="0"/>
                      <w:color w:val="auto"/>
                      <w:lang w:val="en-US" w:eastAsia="zh-CN"/>
                    </w:rPr>
                  </w:pPr>
                </w:p>
              </w:tc>
              <w:tc>
                <w:tcPr>
                  <w:tcW w:w="139" w:type="pct"/>
                  <w:vMerge w:val="continue"/>
                  <w:tcBorders>
                    <w:tl2br w:val="nil"/>
                    <w:tr2bl w:val="nil"/>
                  </w:tcBorders>
                  <w:vAlign w:val="center"/>
                </w:tcPr>
                <w:p w14:paraId="06FD324F">
                  <w:pPr>
                    <w:pStyle w:val="36"/>
                    <w:bidi w:val="0"/>
                    <w:rPr>
                      <w:rFonts w:hint="eastAsia" w:ascii="Times New Roman" w:hAnsi="Times New Roman" w:eastAsia="宋体"/>
                      <w:b w:val="0"/>
                      <w:bCs w:val="0"/>
                      <w:color w:val="auto"/>
                      <w:lang w:val="en-US" w:eastAsia="zh-CN"/>
                    </w:rPr>
                  </w:pPr>
                </w:p>
              </w:tc>
              <w:tc>
                <w:tcPr>
                  <w:tcW w:w="2143" w:type="pct"/>
                  <w:tcBorders>
                    <w:tl2br w:val="nil"/>
                    <w:tr2bl w:val="nil"/>
                  </w:tcBorders>
                  <w:vAlign w:val="center"/>
                </w:tcPr>
                <w:p w14:paraId="3B79B597">
                  <w:pPr>
                    <w:pStyle w:val="36"/>
                    <w:bidi w:val="0"/>
                    <w:jc w:val="both"/>
                    <w:rPr>
                      <w:rFonts w:hint="eastAsia" w:ascii="Times New Roman" w:hAnsi="Times New Roman" w:eastAsia="宋体"/>
                      <w:color w:val="auto"/>
                      <w:lang w:val="en-US" w:eastAsia="zh-CN"/>
                    </w:rPr>
                  </w:pPr>
                  <w:r>
                    <w:rPr>
                      <w:rFonts w:hint="eastAsia" w:ascii="Times New Roman"/>
                      <w:color w:val="auto"/>
                      <w:lang w:val="en-US" w:eastAsia="zh-CN"/>
                    </w:rPr>
                    <w:t>5.</w:t>
                  </w:r>
                  <w:r>
                    <w:rPr>
                      <w:rFonts w:ascii="Times New Roman" w:hAnsi="Times New Roman" w:eastAsia="宋体"/>
                      <w:color w:val="auto"/>
                      <w:lang w:val="en-US" w:eastAsia="zh-CN"/>
                    </w:rPr>
                    <w:t>属于《环境保护综合名录</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2021年版</w:t>
                  </w:r>
                  <w:r>
                    <w:rPr>
                      <w:rFonts w:hint="eastAsia" w:ascii="Times New Roman"/>
                      <w:color w:val="auto"/>
                      <w:lang w:val="en-US" w:eastAsia="zh-CN"/>
                    </w:rPr>
                    <w:t>）</w:t>
                  </w:r>
                  <w:r>
                    <w:rPr>
                      <w:rFonts w:ascii="Times New Roman" w:hAnsi="Times New Roman" w:eastAsia="宋体"/>
                      <w:color w:val="auto"/>
                      <w:lang w:val="en-US" w:eastAsia="zh-CN"/>
                    </w:rPr>
                    <w:t>》中“高污染、高环境风险”产品名录的项目；国家和地方产业政策规定的淘汰类或禁止类的建设项目和工艺。</w:t>
                  </w:r>
                </w:p>
              </w:tc>
              <w:tc>
                <w:tcPr>
                  <w:tcW w:w="2213" w:type="pct"/>
                  <w:tcBorders>
                    <w:tl2br w:val="nil"/>
                    <w:tr2bl w:val="nil"/>
                  </w:tcBorders>
                  <w:vAlign w:val="center"/>
                </w:tcPr>
                <w:p w14:paraId="32C9DBC1">
                  <w:pPr>
                    <w:pStyle w:val="36"/>
                    <w:bidi w:val="0"/>
                    <w:jc w:val="both"/>
                    <w:rPr>
                      <w:rFonts w:hint="default" w:ascii="Times New Roman" w:hAnsi="Times New Roman" w:eastAsia="宋体"/>
                      <w:color w:val="auto"/>
                      <w:lang w:val="en-US" w:eastAsia="zh-CN"/>
                    </w:rPr>
                  </w:pPr>
                  <w:r>
                    <w:rPr>
                      <w:rFonts w:hint="eastAsia" w:ascii="Times New Roman"/>
                      <w:color w:val="auto"/>
                      <w:lang w:val="en-US" w:eastAsia="zh-CN"/>
                    </w:rPr>
                    <w:t>本项目不</w:t>
                  </w:r>
                  <w:r>
                    <w:rPr>
                      <w:rFonts w:ascii="Times New Roman" w:hAnsi="Times New Roman" w:eastAsia="宋体"/>
                      <w:color w:val="auto"/>
                      <w:lang w:val="en-US" w:eastAsia="zh-CN"/>
                    </w:rPr>
                    <w:t>属于《环境保护综合名录</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2021年版</w:t>
                  </w:r>
                  <w:r>
                    <w:rPr>
                      <w:rFonts w:hint="eastAsia" w:ascii="Times New Roman"/>
                      <w:color w:val="auto"/>
                      <w:lang w:val="en-US" w:eastAsia="zh-CN"/>
                    </w:rPr>
                    <w:t>）</w:t>
                  </w:r>
                  <w:r>
                    <w:rPr>
                      <w:rFonts w:ascii="Times New Roman" w:hAnsi="Times New Roman" w:eastAsia="宋体"/>
                      <w:color w:val="auto"/>
                      <w:lang w:val="en-US" w:eastAsia="zh-CN"/>
                    </w:rPr>
                    <w:t>》中</w:t>
                  </w:r>
                  <w:r>
                    <w:rPr>
                      <w:rFonts w:hint="eastAsia" w:ascii="Times New Roman"/>
                      <w:color w:val="auto"/>
                      <w:lang w:val="en-US" w:eastAsia="zh-CN"/>
                    </w:rPr>
                    <w:t>“</w:t>
                  </w:r>
                  <w:r>
                    <w:rPr>
                      <w:rFonts w:ascii="Times New Roman" w:hAnsi="Times New Roman" w:eastAsia="宋体"/>
                      <w:color w:val="auto"/>
                      <w:lang w:val="en-US" w:eastAsia="zh-CN"/>
                    </w:rPr>
                    <w:t>高污染、高环境风险</w:t>
                  </w:r>
                  <w:r>
                    <w:rPr>
                      <w:rFonts w:hint="eastAsia" w:ascii="Times New Roman"/>
                      <w:color w:val="auto"/>
                      <w:lang w:val="en-US" w:eastAsia="zh-CN"/>
                    </w:rPr>
                    <w:t>”</w:t>
                  </w:r>
                  <w:r>
                    <w:rPr>
                      <w:rFonts w:ascii="Times New Roman" w:hAnsi="Times New Roman" w:eastAsia="宋体"/>
                      <w:color w:val="auto"/>
                      <w:lang w:val="en-US" w:eastAsia="zh-CN"/>
                    </w:rPr>
                    <w:t>产品名录的项目</w:t>
                  </w:r>
                  <w:r>
                    <w:rPr>
                      <w:rFonts w:hint="eastAsia" w:ascii="Times New Roman"/>
                      <w:color w:val="auto"/>
                      <w:lang w:val="en-US" w:eastAsia="zh-CN"/>
                    </w:rPr>
                    <w:t>，不属于</w:t>
                  </w:r>
                  <w:r>
                    <w:rPr>
                      <w:rFonts w:ascii="Times New Roman" w:hAnsi="Times New Roman" w:eastAsia="宋体"/>
                      <w:color w:val="auto"/>
                      <w:lang w:val="en-US" w:eastAsia="zh-CN"/>
                    </w:rPr>
                    <w:t>国家和地方产业政策规定的淘汰类或禁止类</w:t>
                  </w:r>
                  <w:r>
                    <w:rPr>
                      <w:rFonts w:hint="eastAsia" w:ascii="Times New Roman"/>
                      <w:color w:val="auto"/>
                      <w:lang w:val="en-US" w:eastAsia="zh-CN"/>
                    </w:rPr>
                    <w:t>项目。</w:t>
                  </w:r>
                </w:p>
              </w:tc>
              <w:tc>
                <w:tcPr>
                  <w:tcW w:w="366" w:type="pct"/>
                  <w:vMerge w:val="continue"/>
                  <w:tcBorders>
                    <w:tl2br w:val="nil"/>
                    <w:tr2bl w:val="nil"/>
                  </w:tcBorders>
                  <w:vAlign w:val="center"/>
                </w:tcPr>
                <w:p w14:paraId="56248F6A">
                  <w:pPr>
                    <w:pStyle w:val="36"/>
                    <w:bidi w:val="0"/>
                    <w:rPr>
                      <w:rFonts w:ascii="Times New Roman" w:hAnsi="Times New Roman" w:eastAsia="宋体"/>
                      <w:color w:val="auto"/>
                      <w:lang w:val="en-US" w:eastAsia="zh-CN"/>
                    </w:rPr>
                  </w:pPr>
                </w:p>
              </w:tc>
            </w:tr>
            <w:tr w14:paraId="7CBF5675">
              <w:tc>
                <w:tcPr>
                  <w:tcW w:w="137" w:type="pct"/>
                  <w:vMerge w:val="continue"/>
                  <w:tcBorders>
                    <w:tl2br w:val="nil"/>
                    <w:tr2bl w:val="nil"/>
                  </w:tcBorders>
                  <w:vAlign w:val="center"/>
                </w:tcPr>
                <w:p w14:paraId="1CC9AEBB">
                  <w:pPr>
                    <w:pStyle w:val="36"/>
                    <w:bidi w:val="0"/>
                    <w:rPr>
                      <w:rFonts w:hint="eastAsia" w:ascii="Times New Roman" w:hAnsi="Times New Roman" w:eastAsia="宋体"/>
                      <w:b w:val="0"/>
                      <w:bCs w:val="0"/>
                      <w:color w:val="auto"/>
                      <w:lang w:val="en-US" w:eastAsia="zh-CN"/>
                    </w:rPr>
                  </w:pPr>
                </w:p>
              </w:tc>
              <w:tc>
                <w:tcPr>
                  <w:tcW w:w="139" w:type="pct"/>
                  <w:vMerge w:val="restart"/>
                  <w:tcBorders>
                    <w:tl2br w:val="nil"/>
                    <w:tr2bl w:val="nil"/>
                  </w:tcBorders>
                  <w:vAlign w:val="center"/>
                </w:tcPr>
                <w:p w14:paraId="3D472CC2">
                  <w:pPr>
                    <w:pStyle w:val="36"/>
                    <w:bidi w:val="0"/>
                    <w:rPr>
                      <w:rFonts w:hint="default" w:ascii="Times New Roman" w:hAnsi="Times New Roman" w:eastAsia="宋体"/>
                      <w:b w:val="0"/>
                      <w:bCs w:val="0"/>
                      <w:color w:val="auto"/>
                      <w:lang w:val="en-US" w:eastAsia="zh-CN"/>
                    </w:rPr>
                  </w:pPr>
                  <w:r>
                    <w:rPr>
                      <w:rFonts w:hint="eastAsia" w:ascii="Times New Roman" w:hAnsi="Times New Roman" w:eastAsia="宋体"/>
                      <w:b w:val="0"/>
                      <w:bCs w:val="0"/>
                      <w:color w:val="auto"/>
                      <w:lang w:val="en-US" w:eastAsia="zh-CN"/>
                    </w:rPr>
                    <w:t>限制引入</w:t>
                  </w:r>
                </w:p>
              </w:tc>
              <w:tc>
                <w:tcPr>
                  <w:tcW w:w="2143" w:type="pct"/>
                  <w:tcBorders>
                    <w:tl2br w:val="nil"/>
                    <w:tr2bl w:val="nil"/>
                  </w:tcBorders>
                  <w:vAlign w:val="center"/>
                </w:tcPr>
                <w:p w14:paraId="6EE712DC">
                  <w:pPr>
                    <w:pStyle w:val="36"/>
                    <w:bidi w:val="0"/>
                    <w:jc w:val="both"/>
                    <w:rPr>
                      <w:rFonts w:hint="eastAsia" w:ascii="Times New Roman" w:hAnsi="Times New Roman" w:eastAsia="宋体"/>
                      <w:color w:val="auto"/>
                      <w:lang w:val="en-US" w:eastAsia="zh-CN"/>
                    </w:rPr>
                  </w:pPr>
                  <w:r>
                    <w:rPr>
                      <w:rFonts w:hint="eastAsia" w:ascii="Times New Roman"/>
                      <w:color w:val="auto"/>
                      <w:lang w:val="en-US" w:eastAsia="zh-CN"/>
                    </w:rPr>
                    <w:t>1.</w:t>
                  </w:r>
                  <w:r>
                    <w:rPr>
                      <w:rFonts w:ascii="Times New Roman" w:hAnsi="Times New Roman" w:eastAsia="宋体"/>
                      <w:color w:val="auto"/>
                      <w:lang w:val="en-US" w:eastAsia="zh-CN"/>
                    </w:rPr>
                    <w:t>《产业结构调整指导目录》及修订、《江苏省工业和信息产业结构调整限制淘汰目录和能耗限额》中限制项目。</w:t>
                  </w:r>
                </w:p>
              </w:tc>
              <w:tc>
                <w:tcPr>
                  <w:tcW w:w="2213" w:type="pct"/>
                  <w:tcBorders>
                    <w:tl2br w:val="nil"/>
                    <w:tr2bl w:val="nil"/>
                  </w:tcBorders>
                  <w:vAlign w:val="center"/>
                </w:tcPr>
                <w:p w14:paraId="48D8C8A4">
                  <w:pPr>
                    <w:pStyle w:val="36"/>
                    <w:bidi w:val="0"/>
                    <w:jc w:val="both"/>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本项目不属于限制项目</w:t>
                  </w:r>
                  <w:r>
                    <w:rPr>
                      <w:rFonts w:hint="eastAsia" w:ascii="Times New Roman"/>
                      <w:color w:val="auto"/>
                      <w:lang w:val="en-US" w:eastAsia="zh-CN"/>
                    </w:rPr>
                    <w:t>。</w:t>
                  </w:r>
                </w:p>
              </w:tc>
              <w:tc>
                <w:tcPr>
                  <w:tcW w:w="366" w:type="pct"/>
                  <w:vMerge w:val="restart"/>
                  <w:tcBorders>
                    <w:tl2br w:val="nil"/>
                    <w:tr2bl w:val="nil"/>
                  </w:tcBorders>
                  <w:vAlign w:val="center"/>
                </w:tcPr>
                <w:p w14:paraId="0DB92A9A">
                  <w:pPr>
                    <w:pStyle w:val="36"/>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符合</w:t>
                  </w:r>
                </w:p>
              </w:tc>
            </w:tr>
            <w:tr w14:paraId="25FA3F57">
              <w:tc>
                <w:tcPr>
                  <w:tcW w:w="137" w:type="pct"/>
                  <w:vMerge w:val="continue"/>
                  <w:tcBorders>
                    <w:tl2br w:val="nil"/>
                    <w:tr2bl w:val="nil"/>
                  </w:tcBorders>
                  <w:vAlign w:val="center"/>
                </w:tcPr>
                <w:p w14:paraId="382C4A40">
                  <w:pPr>
                    <w:pStyle w:val="36"/>
                    <w:bidi w:val="0"/>
                    <w:rPr>
                      <w:rFonts w:hint="eastAsia" w:ascii="Times New Roman" w:hAnsi="Times New Roman" w:eastAsia="宋体"/>
                      <w:b w:val="0"/>
                      <w:bCs w:val="0"/>
                      <w:color w:val="auto"/>
                      <w:lang w:val="en-US" w:eastAsia="zh-CN"/>
                    </w:rPr>
                  </w:pPr>
                </w:p>
              </w:tc>
              <w:tc>
                <w:tcPr>
                  <w:tcW w:w="139" w:type="pct"/>
                  <w:vMerge w:val="continue"/>
                  <w:tcBorders>
                    <w:tl2br w:val="nil"/>
                    <w:tr2bl w:val="nil"/>
                  </w:tcBorders>
                  <w:vAlign w:val="center"/>
                </w:tcPr>
                <w:p w14:paraId="7FA450B8">
                  <w:pPr>
                    <w:pStyle w:val="36"/>
                    <w:bidi w:val="0"/>
                    <w:rPr>
                      <w:rFonts w:hint="eastAsia" w:ascii="Times New Roman" w:hAnsi="Times New Roman" w:eastAsia="宋体"/>
                      <w:b w:val="0"/>
                      <w:bCs w:val="0"/>
                      <w:color w:val="auto"/>
                      <w:lang w:val="en-US" w:eastAsia="zh-CN"/>
                    </w:rPr>
                  </w:pPr>
                </w:p>
              </w:tc>
              <w:tc>
                <w:tcPr>
                  <w:tcW w:w="2143" w:type="pct"/>
                  <w:tcBorders>
                    <w:tl2br w:val="nil"/>
                    <w:tr2bl w:val="nil"/>
                  </w:tcBorders>
                  <w:vAlign w:val="center"/>
                </w:tcPr>
                <w:p w14:paraId="32EB98FE">
                  <w:pPr>
                    <w:pStyle w:val="36"/>
                    <w:bidi w:val="0"/>
                    <w:jc w:val="both"/>
                    <w:rPr>
                      <w:rFonts w:hint="eastAsia" w:ascii="Times New Roman" w:hAnsi="Times New Roman" w:eastAsia="宋体"/>
                      <w:color w:val="auto"/>
                      <w:lang w:val="en-US" w:eastAsia="zh-CN"/>
                    </w:rPr>
                  </w:pPr>
                  <w:r>
                    <w:rPr>
                      <w:rFonts w:hint="eastAsia" w:ascii="Times New Roman"/>
                      <w:color w:val="auto"/>
                      <w:lang w:val="en-US" w:eastAsia="zh-CN"/>
                    </w:rPr>
                    <w:t>2.</w:t>
                  </w:r>
                  <w:r>
                    <w:rPr>
                      <w:rFonts w:ascii="Times New Roman" w:hAnsi="Times New Roman" w:eastAsia="宋体"/>
                      <w:color w:val="auto"/>
                      <w:lang w:val="en-US" w:eastAsia="zh-CN"/>
                    </w:rPr>
                    <w:t>污染治理措施达不到《挥发性有机物</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VOCs</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污染防治技术政策</w:t>
                  </w:r>
                  <w:r>
                    <w:rPr>
                      <w:rFonts w:hint="eastAsia" w:ascii="Times New Roman"/>
                      <w:color w:val="auto"/>
                      <w:lang w:val="en-US" w:eastAsia="zh-CN"/>
                    </w:rPr>
                    <w:t>》《</w:t>
                  </w:r>
                  <w:r>
                    <w:rPr>
                      <w:rFonts w:ascii="Times New Roman" w:hAnsi="Times New Roman" w:eastAsia="宋体"/>
                      <w:color w:val="auto"/>
                      <w:lang w:val="en-US" w:eastAsia="zh-CN"/>
                    </w:rPr>
                    <w:t>江苏省重点行业挥发性有机物污染控制指南》等要求的项目。</w:t>
                  </w:r>
                </w:p>
              </w:tc>
              <w:tc>
                <w:tcPr>
                  <w:tcW w:w="2213" w:type="pct"/>
                  <w:tcBorders>
                    <w:tl2br w:val="nil"/>
                    <w:tr2bl w:val="nil"/>
                  </w:tcBorders>
                  <w:vAlign w:val="center"/>
                </w:tcPr>
                <w:p w14:paraId="7CB83AB9">
                  <w:pPr>
                    <w:pStyle w:val="36"/>
                    <w:bidi w:val="0"/>
                    <w:jc w:val="both"/>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本项目有机废气采用二级活性炭吸附装置处理，</w:t>
                  </w:r>
                  <w:r>
                    <w:rPr>
                      <w:rFonts w:ascii="Times New Roman" w:hAnsi="Times New Roman" w:eastAsia="宋体"/>
                      <w:color w:val="auto"/>
                      <w:lang w:val="en-US" w:eastAsia="zh-CN"/>
                    </w:rPr>
                    <w:t>治理措施</w:t>
                  </w:r>
                  <w:r>
                    <w:rPr>
                      <w:rFonts w:hint="eastAsia" w:ascii="Times New Roman"/>
                      <w:color w:val="auto"/>
                      <w:lang w:val="en-US" w:eastAsia="zh-CN"/>
                    </w:rPr>
                    <w:t>能够达到</w:t>
                  </w:r>
                  <w:r>
                    <w:rPr>
                      <w:rFonts w:ascii="Times New Roman" w:hAnsi="Times New Roman" w:eastAsia="宋体"/>
                      <w:color w:val="auto"/>
                      <w:lang w:val="en-US" w:eastAsia="zh-CN"/>
                    </w:rPr>
                    <w:t>《挥发性有机物</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VOCs</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污染防治技术政策</w:t>
                  </w:r>
                  <w:r>
                    <w:rPr>
                      <w:rFonts w:hint="eastAsia" w:ascii="Times New Roman"/>
                      <w:color w:val="auto"/>
                      <w:lang w:val="en-US" w:eastAsia="zh-CN"/>
                    </w:rPr>
                    <w:t>》《</w:t>
                  </w:r>
                  <w:r>
                    <w:rPr>
                      <w:rFonts w:ascii="Times New Roman" w:hAnsi="Times New Roman" w:eastAsia="宋体"/>
                      <w:color w:val="auto"/>
                      <w:lang w:val="en-US" w:eastAsia="zh-CN"/>
                    </w:rPr>
                    <w:t>江苏省重点行业挥发性有机物污染控制指南》</w:t>
                  </w:r>
                  <w:r>
                    <w:rPr>
                      <w:rFonts w:hint="eastAsia" w:ascii="Times New Roman"/>
                      <w:color w:val="auto"/>
                      <w:lang w:val="en-US" w:eastAsia="zh-CN"/>
                    </w:rPr>
                    <w:t>标准。</w:t>
                  </w:r>
                </w:p>
              </w:tc>
              <w:tc>
                <w:tcPr>
                  <w:tcW w:w="366" w:type="pct"/>
                  <w:vMerge w:val="continue"/>
                  <w:tcBorders>
                    <w:tl2br w:val="nil"/>
                    <w:tr2bl w:val="nil"/>
                  </w:tcBorders>
                  <w:vAlign w:val="center"/>
                </w:tcPr>
                <w:p w14:paraId="50D226A2">
                  <w:pPr>
                    <w:pStyle w:val="36"/>
                    <w:bidi w:val="0"/>
                    <w:rPr>
                      <w:rFonts w:ascii="Times New Roman" w:hAnsi="Times New Roman" w:eastAsia="宋体"/>
                      <w:color w:val="auto"/>
                      <w:lang w:val="en-US" w:eastAsia="zh-CN"/>
                    </w:rPr>
                  </w:pPr>
                </w:p>
              </w:tc>
            </w:tr>
            <w:tr w14:paraId="51B02599">
              <w:tc>
                <w:tcPr>
                  <w:tcW w:w="137" w:type="pct"/>
                  <w:vMerge w:val="continue"/>
                  <w:tcBorders>
                    <w:tl2br w:val="nil"/>
                    <w:tr2bl w:val="nil"/>
                  </w:tcBorders>
                  <w:vAlign w:val="center"/>
                </w:tcPr>
                <w:p w14:paraId="4A6B2133">
                  <w:pPr>
                    <w:pStyle w:val="36"/>
                    <w:bidi w:val="0"/>
                    <w:rPr>
                      <w:rFonts w:hint="eastAsia" w:ascii="Times New Roman" w:hAnsi="Times New Roman" w:eastAsia="宋体"/>
                      <w:b w:val="0"/>
                      <w:bCs w:val="0"/>
                      <w:color w:val="auto"/>
                      <w:lang w:val="en-US" w:eastAsia="zh-CN"/>
                    </w:rPr>
                  </w:pPr>
                </w:p>
              </w:tc>
              <w:tc>
                <w:tcPr>
                  <w:tcW w:w="139" w:type="pct"/>
                  <w:vMerge w:val="continue"/>
                  <w:tcBorders>
                    <w:tl2br w:val="nil"/>
                    <w:tr2bl w:val="nil"/>
                  </w:tcBorders>
                  <w:vAlign w:val="center"/>
                </w:tcPr>
                <w:p w14:paraId="2512B6DD">
                  <w:pPr>
                    <w:pStyle w:val="36"/>
                    <w:bidi w:val="0"/>
                    <w:rPr>
                      <w:rFonts w:hint="eastAsia" w:ascii="Times New Roman" w:hAnsi="Times New Roman" w:eastAsia="宋体"/>
                      <w:b w:val="0"/>
                      <w:bCs w:val="0"/>
                      <w:color w:val="auto"/>
                      <w:lang w:val="en-US" w:eastAsia="zh-CN"/>
                    </w:rPr>
                  </w:pPr>
                </w:p>
              </w:tc>
              <w:tc>
                <w:tcPr>
                  <w:tcW w:w="2143" w:type="pct"/>
                  <w:tcBorders>
                    <w:tl2br w:val="nil"/>
                    <w:tr2bl w:val="nil"/>
                  </w:tcBorders>
                  <w:vAlign w:val="center"/>
                </w:tcPr>
                <w:p w14:paraId="759F9B1F">
                  <w:pPr>
                    <w:pStyle w:val="36"/>
                    <w:bidi w:val="0"/>
                    <w:jc w:val="both"/>
                    <w:rPr>
                      <w:rFonts w:hint="eastAsia" w:ascii="Times New Roman" w:hAnsi="Times New Roman" w:eastAsia="宋体"/>
                      <w:color w:val="auto"/>
                      <w:lang w:val="en-US" w:eastAsia="zh-CN"/>
                    </w:rPr>
                  </w:pPr>
                  <w:r>
                    <w:rPr>
                      <w:rFonts w:hint="eastAsia" w:ascii="Times New Roman"/>
                      <w:color w:val="auto"/>
                      <w:lang w:val="en-US" w:eastAsia="zh-CN"/>
                    </w:rPr>
                    <w:t>3.</w:t>
                  </w:r>
                  <w:r>
                    <w:rPr>
                      <w:rFonts w:ascii="Times New Roman" w:hAnsi="Times New Roman" w:eastAsia="宋体"/>
                      <w:color w:val="auto"/>
                      <w:lang w:val="en-US" w:eastAsia="zh-CN"/>
                    </w:rPr>
                    <w:t>属于《淮河流域水污染防治暂行条例》中限制的项目。</w:t>
                  </w:r>
                </w:p>
              </w:tc>
              <w:tc>
                <w:tcPr>
                  <w:tcW w:w="2213" w:type="pct"/>
                  <w:tcBorders>
                    <w:tl2br w:val="nil"/>
                    <w:tr2bl w:val="nil"/>
                  </w:tcBorders>
                  <w:vAlign w:val="center"/>
                </w:tcPr>
                <w:p w14:paraId="208990C4">
                  <w:pPr>
                    <w:pStyle w:val="36"/>
                    <w:bidi w:val="0"/>
                    <w:jc w:val="both"/>
                    <w:rPr>
                      <w:rFonts w:ascii="Times New Roman" w:hAnsi="Times New Roman" w:eastAsia="宋体"/>
                      <w:color w:val="auto"/>
                      <w:lang w:val="en-US" w:eastAsia="zh-CN"/>
                    </w:rPr>
                  </w:pPr>
                  <w:r>
                    <w:rPr>
                      <w:rFonts w:hint="eastAsia" w:ascii="Times New Roman"/>
                      <w:color w:val="auto"/>
                      <w:lang w:val="en-US" w:eastAsia="zh-CN"/>
                    </w:rPr>
                    <w:t>本项目不</w:t>
                  </w:r>
                  <w:r>
                    <w:rPr>
                      <w:rFonts w:ascii="Times New Roman" w:hAnsi="Times New Roman" w:eastAsia="宋体"/>
                      <w:color w:val="auto"/>
                      <w:lang w:val="en-US" w:eastAsia="zh-CN"/>
                    </w:rPr>
                    <w:t>属于《淮河流域水污染防治暂行条例》中限制的项目</w:t>
                  </w:r>
                  <w:r>
                    <w:rPr>
                      <w:rFonts w:hint="eastAsia" w:ascii="Times New Roman"/>
                      <w:color w:val="auto"/>
                      <w:lang w:val="en-US" w:eastAsia="zh-CN"/>
                    </w:rPr>
                    <w:t>。</w:t>
                  </w:r>
                </w:p>
              </w:tc>
              <w:tc>
                <w:tcPr>
                  <w:tcW w:w="366" w:type="pct"/>
                  <w:vMerge w:val="continue"/>
                  <w:tcBorders>
                    <w:tl2br w:val="nil"/>
                    <w:tr2bl w:val="nil"/>
                  </w:tcBorders>
                  <w:vAlign w:val="center"/>
                </w:tcPr>
                <w:p w14:paraId="357A9757">
                  <w:pPr>
                    <w:pStyle w:val="36"/>
                    <w:bidi w:val="0"/>
                    <w:rPr>
                      <w:rFonts w:ascii="Times New Roman" w:hAnsi="Times New Roman" w:eastAsia="宋体"/>
                      <w:color w:val="auto"/>
                      <w:lang w:val="en-US" w:eastAsia="zh-CN"/>
                    </w:rPr>
                  </w:pPr>
                </w:p>
              </w:tc>
            </w:tr>
            <w:tr w14:paraId="01233FF4">
              <w:tc>
                <w:tcPr>
                  <w:tcW w:w="137" w:type="pct"/>
                  <w:vMerge w:val="continue"/>
                  <w:tcBorders>
                    <w:tl2br w:val="nil"/>
                    <w:tr2bl w:val="nil"/>
                  </w:tcBorders>
                  <w:vAlign w:val="center"/>
                </w:tcPr>
                <w:p w14:paraId="413BA8B5">
                  <w:pPr>
                    <w:pStyle w:val="36"/>
                    <w:bidi w:val="0"/>
                    <w:rPr>
                      <w:rFonts w:hint="eastAsia" w:ascii="Times New Roman" w:hAnsi="Times New Roman" w:eastAsia="宋体"/>
                      <w:b w:val="0"/>
                      <w:bCs w:val="0"/>
                      <w:color w:val="auto"/>
                      <w:lang w:val="en-US" w:eastAsia="zh-CN"/>
                    </w:rPr>
                  </w:pPr>
                </w:p>
              </w:tc>
              <w:tc>
                <w:tcPr>
                  <w:tcW w:w="139" w:type="pct"/>
                  <w:vMerge w:val="continue"/>
                  <w:tcBorders>
                    <w:tl2br w:val="nil"/>
                    <w:tr2bl w:val="nil"/>
                  </w:tcBorders>
                  <w:vAlign w:val="center"/>
                </w:tcPr>
                <w:p w14:paraId="259DB77C">
                  <w:pPr>
                    <w:pStyle w:val="36"/>
                    <w:bidi w:val="0"/>
                    <w:rPr>
                      <w:rFonts w:hint="eastAsia" w:ascii="Times New Roman" w:hAnsi="Times New Roman" w:eastAsia="宋体"/>
                      <w:b w:val="0"/>
                      <w:bCs w:val="0"/>
                      <w:color w:val="auto"/>
                      <w:lang w:val="en-US" w:eastAsia="zh-CN"/>
                    </w:rPr>
                  </w:pPr>
                </w:p>
              </w:tc>
              <w:tc>
                <w:tcPr>
                  <w:tcW w:w="2143" w:type="pct"/>
                  <w:tcBorders>
                    <w:tl2br w:val="nil"/>
                    <w:tr2bl w:val="nil"/>
                  </w:tcBorders>
                  <w:vAlign w:val="center"/>
                </w:tcPr>
                <w:p w14:paraId="43037E2C">
                  <w:pPr>
                    <w:pStyle w:val="36"/>
                    <w:bidi w:val="0"/>
                    <w:jc w:val="both"/>
                    <w:rPr>
                      <w:rFonts w:hint="eastAsia" w:ascii="Times New Roman" w:hAnsi="Times New Roman" w:eastAsia="宋体"/>
                      <w:color w:val="auto"/>
                      <w:lang w:val="en-US" w:eastAsia="zh-CN"/>
                    </w:rPr>
                  </w:pPr>
                  <w:r>
                    <w:rPr>
                      <w:rFonts w:hint="eastAsia" w:ascii="Times New Roman"/>
                      <w:color w:val="auto"/>
                      <w:lang w:val="en-US" w:eastAsia="zh-CN"/>
                    </w:rPr>
                    <w:t>4.</w:t>
                  </w:r>
                  <w:r>
                    <w:rPr>
                      <w:rFonts w:ascii="Times New Roman" w:hAnsi="Times New Roman" w:eastAsia="宋体"/>
                      <w:color w:val="auto"/>
                      <w:lang w:val="en-US" w:eastAsia="zh-CN"/>
                    </w:rPr>
                    <w:t>开发区印染排水量不得突破7000吨/日。</w:t>
                  </w:r>
                </w:p>
              </w:tc>
              <w:tc>
                <w:tcPr>
                  <w:tcW w:w="2213" w:type="pct"/>
                  <w:tcBorders>
                    <w:tl2br w:val="nil"/>
                    <w:tr2bl w:val="nil"/>
                  </w:tcBorders>
                  <w:vAlign w:val="center"/>
                </w:tcPr>
                <w:p w14:paraId="6A5FC428">
                  <w:pPr>
                    <w:pStyle w:val="36"/>
                    <w:bidi w:val="0"/>
                    <w:jc w:val="both"/>
                    <w:rPr>
                      <w:rFonts w:hint="default" w:ascii="Times New Roman" w:hAnsi="Times New Roman" w:eastAsia="宋体"/>
                      <w:color w:val="auto"/>
                      <w:lang w:val="en-US" w:eastAsia="zh-CN"/>
                    </w:rPr>
                  </w:pPr>
                  <w:r>
                    <w:rPr>
                      <w:rFonts w:hint="eastAsia" w:ascii="Times New Roman"/>
                      <w:color w:val="auto"/>
                      <w:lang w:val="en-US" w:eastAsia="zh-CN"/>
                    </w:rPr>
                    <w:t>本项目不涉及印染废水。</w:t>
                  </w:r>
                </w:p>
              </w:tc>
              <w:tc>
                <w:tcPr>
                  <w:tcW w:w="366" w:type="pct"/>
                  <w:vMerge w:val="continue"/>
                  <w:tcBorders>
                    <w:tl2br w:val="nil"/>
                    <w:tr2bl w:val="nil"/>
                  </w:tcBorders>
                  <w:vAlign w:val="center"/>
                </w:tcPr>
                <w:p w14:paraId="47347705">
                  <w:pPr>
                    <w:pStyle w:val="36"/>
                    <w:bidi w:val="0"/>
                    <w:rPr>
                      <w:rFonts w:ascii="Times New Roman" w:hAnsi="Times New Roman" w:eastAsia="宋体"/>
                      <w:color w:val="auto"/>
                      <w:lang w:val="en-US" w:eastAsia="zh-CN"/>
                    </w:rPr>
                  </w:pPr>
                </w:p>
              </w:tc>
            </w:tr>
            <w:tr w14:paraId="7007DC9A">
              <w:tc>
                <w:tcPr>
                  <w:tcW w:w="276" w:type="pct"/>
                  <w:gridSpan w:val="2"/>
                  <w:vMerge w:val="restart"/>
                  <w:tcBorders>
                    <w:tl2br w:val="nil"/>
                    <w:tr2bl w:val="nil"/>
                  </w:tcBorders>
                  <w:vAlign w:val="center"/>
                </w:tcPr>
                <w:p w14:paraId="3C536922">
                  <w:pPr>
                    <w:pStyle w:val="36"/>
                    <w:bidi w:val="0"/>
                    <w:rPr>
                      <w:rFonts w:hint="default" w:ascii="Times New Roman" w:hAnsi="Times New Roman" w:eastAsia="宋体"/>
                      <w:b w:val="0"/>
                      <w:bCs w:val="0"/>
                      <w:color w:val="auto"/>
                      <w:lang w:val="en-US" w:eastAsia="zh-CN"/>
                    </w:rPr>
                  </w:pPr>
                  <w:r>
                    <w:rPr>
                      <w:rFonts w:hint="eastAsia" w:ascii="Times New Roman" w:hAnsi="Times New Roman" w:eastAsia="宋体"/>
                      <w:b w:val="0"/>
                      <w:bCs w:val="0"/>
                      <w:color w:val="auto"/>
                      <w:lang w:val="en-US" w:eastAsia="zh-CN"/>
                    </w:rPr>
                    <w:t>空间布局约束</w:t>
                  </w:r>
                </w:p>
              </w:tc>
              <w:tc>
                <w:tcPr>
                  <w:tcW w:w="2143" w:type="pct"/>
                  <w:tcBorders>
                    <w:tl2br w:val="nil"/>
                    <w:tr2bl w:val="nil"/>
                  </w:tcBorders>
                  <w:vAlign w:val="center"/>
                </w:tcPr>
                <w:p w14:paraId="4711271E">
                  <w:pPr>
                    <w:pStyle w:val="36"/>
                    <w:bidi w:val="0"/>
                    <w:jc w:val="both"/>
                    <w:rPr>
                      <w:rFonts w:hint="eastAsia" w:ascii="Times New Roman" w:hAnsi="Times New Roman" w:eastAsia="宋体"/>
                      <w:color w:val="auto"/>
                      <w:lang w:val="en-US" w:eastAsia="zh-CN"/>
                    </w:rPr>
                  </w:pPr>
                  <w:r>
                    <w:rPr>
                      <w:rFonts w:ascii="Times New Roman" w:hAnsi="Times New Roman" w:eastAsia="宋体"/>
                      <w:color w:val="auto"/>
                      <w:lang w:val="en-US" w:eastAsia="zh-CN"/>
                    </w:rPr>
                    <w:t>落实江苏省、淮安市</w:t>
                  </w:r>
                  <w:r>
                    <w:rPr>
                      <w:rFonts w:hint="eastAsia" w:ascii="Times New Roman"/>
                      <w:color w:val="auto"/>
                      <w:lang w:val="en-US" w:eastAsia="zh-CN"/>
                    </w:rPr>
                    <w:t>“</w:t>
                  </w:r>
                  <w:r>
                    <w:rPr>
                      <w:rFonts w:ascii="Times New Roman" w:hAnsi="Times New Roman" w:eastAsia="宋体"/>
                      <w:color w:val="auto"/>
                      <w:lang w:val="en-US" w:eastAsia="zh-CN"/>
                    </w:rPr>
                    <w:t>三线一单</w:t>
                  </w:r>
                  <w:r>
                    <w:rPr>
                      <w:rFonts w:hint="eastAsia" w:ascii="Times New Roman"/>
                      <w:color w:val="auto"/>
                      <w:lang w:val="en-US" w:eastAsia="zh-CN"/>
                    </w:rPr>
                    <w:t>”《</w:t>
                  </w:r>
                  <w:r>
                    <w:rPr>
                      <w:rFonts w:ascii="Times New Roman" w:hAnsi="Times New Roman" w:eastAsia="宋体"/>
                      <w:color w:val="auto"/>
                      <w:lang w:val="en-US" w:eastAsia="zh-CN"/>
                    </w:rPr>
                    <w:t>江苏省生态空间管控区域规划</w:t>
                  </w:r>
                  <w:r>
                    <w:rPr>
                      <w:rFonts w:hint="eastAsia" w:ascii="Times New Roman"/>
                      <w:color w:val="auto"/>
                      <w:lang w:val="en-US" w:eastAsia="zh-CN"/>
                    </w:rPr>
                    <w:t>》《</w:t>
                  </w:r>
                  <w:r>
                    <w:rPr>
                      <w:rFonts w:ascii="Times New Roman" w:hAnsi="Times New Roman" w:eastAsia="宋体"/>
                      <w:color w:val="auto"/>
                      <w:lang w:val="en-US" w:eastAsia="zh-CN"/>
                    </w:rPr>
                    <w:t>江苏省国家级生态保护红线规划》管控要求。</w:t>
                  </w:r>
                </w:p>
              </w:tc>
              <w:tc>
                <w:tcPr>
                  <w:tcW w:w="2213" w:type="pct"/>
                  <w:tcBorders>
                    <w:tl2br w:val="nil"/>
                    <w:tr2bl w:val="nil"/>
                  </w:tcBorders>
                  <w:vAlign w:val="center"/>
                </w:tcPr>
                <w:p w14:paraId="34AD55C9">
                  <w:pPr>
                    <w:pStyle w:val="36"/>
                    <w:bidi w:val="0"/>
                    <w:jc w:val="center"/>
                    <w:rPr>
                      <w:rFonts w:hint="default" w:ascii="Times New Roman" w:hAnsi="Times New Roman" w:eastAsia="宋体"/>
                      <w:color w:val="auto"/>
                      <w:lang w:val="en-US" w:eastAsia="zh-CN"/>
                    </w:rPr>
                  </w:pPr>
                  <w:r>
                    <w:rPr>
                      <w:rFonts w:hint="eastAsia" w:ascii="Times New Roman"/>
                      <w:color w:val="auto"/>
                      <w:lang w:val="en-US" w:eastAsia="zh-CN"/>
                    </w:rPr>
                    <w:t>本项目已</w:t>
                  </w:r>
                  <w:r>
                    <w:rPr>
                      <w:rFonts w:hint="eastAsia" w:ascii="Times New Roman" w:hAnsi="Times New Roman" w:eastAsia="宋体"/>
                      <w:color w:val="auto"/>
                      <w:lang w:val="en-US" w:eastAsia="zh-CN"/>
                    </w:rPr>
                    <w:t>落实江苏省、淮安市“三线一单</w:t>
                  </w:r>
                  <w:r>
                    <w:rPr>
                      <w:rFonts w:hint="eastAsia" w:ascii="Times New Roman"/>
                      <w:color w:val="auto"/>
                      <w:lang w:val="en-US" w:eastAsia="zh-CN"/>
                    </w:rPr>
                    <w:t>”《</w:t>
                  </w:r>
                  <w:r>
                    <w:rPr>
                      <w:rFonts w:hint="eastAsia" w:ascii="Times New Roman" w:hAnsi="Times New Roman" w:eastAsia="宋体"/>
                      <w:color w:val="auto"/>
                      <w:lang w:val="en-US" w:eastAsia="zh-CN"/>
                    </w:rPr>
                    <w:t>江苏省生态空间管控区域规划</w:t>
                  </w:r>
                  <w:r>
                    <w:rPr>
                      <w:rFonts w:hint="eastAsia" w:ascii="Times New Roman"/>
                      <w:color w:val="auto"/>
                      <w:lang w:val="en-US" w:eastAsia="zh-CN"/>
                    </w:rPr>
                    <w:t>》《</w:t>
                  </w:r>
                  <w:r>
                    <w:rPr>
                      <w:rFonts w:hint="eastAsia" w:ascii="Times New Roman" w:hAnsi="Times New Roman" w:eastAsia="宋体"/>
                      <w:color w:val="auto"/>
                      <w:lang w:val="en-US" w:eastAsia="zh-CN"/>
                    </w:rPr>
                    <w:t>江苏省国家级生态保护红线规划》管控要求</w:t>
                  </w:r>
                  <w:r>
                    <w:rPr>
                      <w:rFonts w:hint="eastAsia" w:ascii="Times New Roman"/>
                      <w:color w:val="auto"/>
                      <w:lang w:val="en-US" w:eastAsia="zh-CN"/>
                    </w:rPr>
                    <w:t>。</w:t>
                  </w:r>
                </w:p>
              </w:tc>
              <w:tc>
                <w:tcPr>
                  <w:tcW w:w="366" w:type="pct"/>
                  <w:vMerge w:val="restart"/>
                  <w:tcBorders>
                    <w:tl2br w:val="nil"/>
                    <w:tr2bl w:val="nil"/>
                  </w:tcBorders>
                  <w:vAlign w:val="center"/>
                </w:tcPr>
                <w:p w14:paraId="36ED994F">
                  <w:pPr>
                    <w:pStyle w:val="36"/>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符合</w:t>
                  </w:r>
                </w:p>
              </w:tc>
            </w:tr>
            <w:tr w14:paraId="38EAF0C5">
              <w:tc>
                <w:tcPr>
                  <w:tcW w:w="276" w:type="pct"/>
                  <w:gridSpan w:val="2"/>
                  <w:vMerge w:val="continue"/>
                  <w:tcBorders>
                    <w:tl2br w:val="nil"/>
                    <w:tr2bl w:val="nil"/>
                  </w:tcBorders>
                  <w:vAlign w:val="center"/>
                </w:tcPr>
                <w:p w14:paraId="32B1FC5A">
                  <w:pPr>
                    <w:pStyle w:val="36"/>
                    <w:bidi w:val="0"/>
                    <w:rPr>
                      <w:rFonts w:hint="eastAsia" w:ascii="Times New Roman" w:hAnsi="Times New Roman" w:eastAsia="宋体"/>
                      <w:b w:val="0"/>
                      <w:bCs w:val="0"/>
                      <w:color w:val="auto"/>
                      <w:lang w:val="en-US" w:eastAsia="zh-CN"/>
                    </w:rPr>
                  </w:pPr>
                </w:p>
              </w:tc>
              <w:tc>
                <w:tcPr>
                  <w:tcW w:w="2143" w:type="pct"/>
                  <w:tcBorders>
                    <w:tl2br w:val="nil"/>
                    <w:tr2bl w:val="nil"/>
                  </w:tcBorders>
                  <w:vAlign w:val="center"/>
                </w:tcPr>
                <w:p w14:paraId="142924D7">
                  <w:pPr>
                    <w:pStyle w:val="36"/>
                    <w:bidi w:val="0"/>
                    <w:jc w:val="both"/>
                    <w:rPr>
                      <w:rFonts w:hint="eastAsia" w:ascii="Times New Roman" w:hAnsi="Times New Roman" w:eastAsia="宋体"/>
                      <w:color w:val="auto"/>
                      <w:lang w:val="en-US" w:eastAsia="zh-CN"/>
                    </w:rPr>
                  </w:pPr>
                  <w:r>
                    <w:rPr>
                      <w:rFonts w:ascii="Times New Roman" w:hAnsi="Times New Roman" w:eastAsia="宋体"/>
                      <w:color w:val="auto"/>
                      <w:lang w:val="en-US" w:eastAsia="zh-CN"/>
                    </w:rPr>
                    <w:t>区内规划的水域和防护绿地</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禁止与环境保护功能无关的建设活动。</w:t>
                  </w:r>
                </w:p>
              </w:tc>
              <w:tc>
                <w:tcPr>
                  <w:tcW w:w="2213" w:type="pct"/>
                  <w:tcBorders>
                    <w:tl2br w:val="nil"/>
                    <w:tr2bl w:val="nil"/>
                  </w:tcBorders>
                  <w:vAlign w:val="center"/>
                </w:tcPr>
                <w:p w14:paraId="29DA248C">
                  <w:pPr>
                    <w:pStyle w:val="36"/>
                    <w:bidi w:val="0"/>
                    <w:jc w:val="center"/>
                    <w:rPr>
                      <w:rFonts w:hint="default" w:ascii="Times New Roman" w:hAnsi="Times New Roman" w:eastAsia="宋体"/>
                      <w:color w:val="auto"/>
                      <w:lang w:val="en-US" w:eastAsia="zh-CN"/>
                    </w:rPr>
                  </w:pPr>
                  <w:r>
                    <w:rPr>
                      <w:rFonts w:hint="eastAsia" w:ascii="Times New Roman"/>
                      <w:color w:val="auto"/>
                      <w:lang w:val="en-US" w:eastAsia="zh-CN"/>
                    </w:rPr>
                    <w:t>本项目用地性质为工业用地，不涉及区内规划的水域和防护绿地。</w:t>
                  </w:r>
                </w:p>
              </w:tc>
              <w:tc>
                <w:tcPr>
                  <w:tcW w:w="366" w:type="pct"/>
                  <w:vMerge w:val="continue"/>
                  <w:tcBorders>
                    <w:tl2br w:val="nil"/>
                    <w:tr2bl w:val="nil"/>
                  </w:tcBorders>
                  <w:vAlign w:val="center"/>
                </w:tcPr>
                <w:p w14:paraId="6C9C55E9">
                  <w:pPr>
                    <w:pStyle w:val="36"/>
                    <w:bidi w:val="0"/>
                    <w:rPr>
                      <w:rFonts w:ascii="Times New Roman" w:hAnsi="Times New Roman" w:eastAsia="宋体"/>
                      <w:color w:val="auto"/>
                      <w:lang w:val="en-US" w:eastAsia="zh-CN"/>
                    </w:rPr>
                  </w:pPr>
                </w:p>
              </w:tc>
            </w:tr>
            <w:tr w14:paraId="672EB2C9">
              <w:tc>
                <w:tcPr>
                  <w:tcW w:w="276" w:type="pct"/>
                  <w:gridSpan w:val="2"/>
                  <w:vMerge w:val="continue"/>
                  <w:tcBorders>
                    <w:tl2br w:val="nil"/>
                    <w:tr2bl w:val="nil"/>
                  </w:tcBorders>
                  <w:vAlign w:val="center"/>
                </w:tcPr>
                <w:p w14:paraId="69BC44A2">
                  <w:pPr>
                    <w:pStyle w:val="36"/>
                    <w:bidi w:val="0"/>
                    <w:rPr>
                      <w:rFonts w:hint="eastAsia" w:ascii="Times New Roman" w:hAnsi="Times New Roman" w:eastAsia="宋体"/>
                      <w:b w:val="0"/>
                      <w:bCs w:val="0"/>
                      <w:color w:val="auto"/>
                      <w:lang w:val="en-US" w:eastAsia="zh-CN"/>
                    </w:rPr>
                  </w:pPr>
                </w:p>
              </w:tc>
              <w:tc>
                <w:tcPr>
                  <w:tcW w:w="2143" w:type="pct"/>
                  <w:tcBorders>
                    <w:tl2br w:val="nil"/>
                    <w:tr2bl w:val="nil"/>
                  </w:tcBorders>
                  <w:vAlign w:val="center"/>
                </w:tcPr>
                <w:p w14:paraId="7016D4B8">
                  <w:pPr>
                    <w:pStyle w:val="36"/>
                    <w:bidi w:val="0"/>
                    <w:jc w:val="both"/>
                    <w:rPr>
                      <w:rFonts w:hint="eastAsia" w:ascii="Times New Roman" w:hAnsi="Times New Roman" w:eastAsia="宋体"/>
                      <w:color w:val="auto"/>
                      <w:lang w:val="en-US" w:eastAsia="zh-CN"/>
                    </w:rPr>
                  </w:pPr>
                  <w:r>
                    <w:rPr>
                      <w:rFonts w:ascii="Times New Roman" w:hAnsi="Times New Roman" w:eastAsia="宋体"/>
                      <w:color w:val="auto"/>
                      <w:lang w:val="en-US" w:eastAsia="zh-CN"/>
                    </w:rPr>
                    <w:t>工业用地与居住用地、商住混合用地、学校之间须设置适当的空间隔离带。</w:t>
                  </w:r>
                </w:p>
              </w:tc>
              <w:tc>
                <w:tcPr>
                  <w:tcW w:w="2213" w:type="pct"/>
                  <w:tcBorders>
                    <w:tl2br w:val="nil"/>
                    <w:tr2bl w:val="nil"/>
                  </w:tcBorders>
                  <w:vAlign w:val="center"/>
                </w:tcPr>
                <w:p w14:paraId="11A50A45">
                  <w:pPr>
                    <w:pStyle w:val="36"/>
                    <w:bidi w:val="0"/>
                    <w:jc w:val="both"/>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本项目</w:t>
                  </w:r>
                  <w:r>
                    <w:rPr>
                      <w:rFonts w:hint="eastAsia" w:ascii="Times New Roman"/>
                      <w:color w:val="auto"/>
                      <w:lang w:val="en-US" w:eastAsia="zh-CN"/>
                    </w:rPr>
                    <w:t>工业用地</w:t>
                  </w:r>
                  <w:r>
                    <w:rPr>
                      <w:rFonts w:ascii="Times New Roman" w:hAnsi="Times New Roman" w:eastAsia="宋体"/>
                      <w:color w:val="auto"/>
                      <w:lang w:val="en-US" w:eastAsia="zh-CN"/>
                    </w:rPr>
                    <w:t>与居住用地、商住混合用地、学校之间</w:t>
                  </w:r>
                  <w:r>
                    <w:rPr>
                      <w:rFonts w:hint="eastAsia" w:ascii="Times New Roman" w:hAnsi="Times New Roman" w:eastAsia="宋体"/>
                      <w:color w:val="auto"/>
                      <w:lang w:val="en-US" w:eastAsia="zh-CN"/>
                    </w:rPr>
                    <w:t>存在</w:t>
                  </w:r>
                  <w:r>
                    <w:rPr>
                      <w:rFonts w:ascii="Times New Roman" w:hAnsi="Times New Roman" w:eastAsia="宋体"/>
                      <w:color w:val="auto"/>
                      <w:lang w:val="en-US" w:eastAsia="zh-CN"/>
                    </w:rPr>
                    <w:t>适当的空间隔离带</w:t>
                  </w:r>
                  <w:r>
                    <w:rPr>
                      <w:rFonts w:hint="eastAsia" w:ascii="Times New Roman"/>
                      <w:color w:val="auto"/>
                      <w:lang w:val="en-US" w:eastAsia="zh-CN"/>
                    </w:rPr>
                    <w:t>。</w:t>
                  </w:r>
                </w:p>
              </w:tc>
              <w:tc>
                <w:tcPr>
                  <w:tcW w:w="366" w:type="pct"/>
                  <w:vMerge w:val="continue"/>
                  <w:tcBorders>
                    <w:tl2br w:val="nil"/>
                    <w:tr2bl w:val="nil"/>
                  </w:tcBorders>
                  <w:vAlign w:val="center"/>
                </w:tcPr>
                <w:p w14:paraId="6DEBD221">
                  <w:pPr>
                    <w:pStyle w:val="36"/>
                    <w:bidi w:val="0"/>
                    <w:rPr>
                      <w:rFonts w:ascii="Times New Roman" w:hAnsi="Times New Roman" w:eastAsia="宋体"/>
                      <w:color w:val="auto"/>
                      <w:lang w:val="en-US" w:eastAsia="zh-CN"/>
                    </w:rPr>
                  </w:pPr>
                </w:p>
              </w:tc>
            </w:tr>
            <w:tr w14:paraId="37D43384">
              <w:tc>
                <w:tcPr>
                  <w:tcW w:w="137" w:type="pct"/>
                  <w:vMerge w:val="restart"/>
                  <w:tcBorders>
                    <w:tl2br w:val="nil"/>
                    <w:tr2bl w:val="nil"/>
                  </w:tcBorders>
                  <w:vAlign w:val="center"/>
                </w:tcPr>
                <w:p w14:paraId="1AA97279">
                  <w:pPr>
                    <w:pStyle w:val="36"/>
                    <w:bidi w:val="0"/>
                    <w:rPr>
                      <w:rFonts w:hint="default" w:ascii="Times New Roman" w:hAnsi="Times New Roman" w:eastAsia="宋体"/>
                      <w:b w:val="0"/>
                      <w:bCs w:val="0"/>
                      <w:color w:val="auto"/>
                      <w:lang w:val="en-US" w:eastAsia="zh-CN"/>
                    </w:rPr>
                  </w:pPr>
                  <w:r>
                    <w:rPr>
                      <w:rFonts w:hint="eastAsia" w:ascii="Times New Roman" w:hAnsi="Times New Roman" w:eastAsia="宋体"/>
                      <w:b w:val="0"/>
                      <w:bCs w:val="0"/>
                      <w:color w:val="auto"/>
                      <w:lang w:val="en-US" w:eastAsia="zh-CN"/>
                    </w:rPr>
                    <w:t>污染物排放管控</w:t>
                  </w:r>
                </w:p>
              </w:tc>
              <w:tc>
                <w:tcPr>
                  <w:tcW w:w="139" w:type="pct"/>
                  <w:vMerge w:val="restart"/>
                  <w:tcBorders>
                    <w:tl2br w:val="nil"/>
                    <w:tr2bl w:val="nil"/>
                  </w:tcBorders>
                  <w:vAlign w:val="center"/>
                </w:tcPr>
                <w:p w14:paraId="79484DEA">
                  <w:pPr>
                    <w:pStyle w:val="36"/>
                    <w:bidi w:val="0"/>
                    <w:rPr>
                      <w:rFonts w:hint="default" w:ascii="Times New Roman" w:hAnsi="Times New Roman" w:eastAsia="宋体"/>
                      <w:b w:val="0"/>
                      <w:bCs w:val="0"/>
                      <w:color w:val="auto"/>
                      <w:lang w:val="en-US" w:eastAsia="zh-CN"/>
                    </w:rPr>
                  </w:pPr>
                  <w:r>
                    <w:rPr>
                      <w:rFonts w:hint="eastAsia" w:ascii="Times New Roman" w:hAnsi="Times New Roman" w:eastAsia="宋体"/>
                      <w:b w:val="0"/>
                      <w:bCs w:val="0"/>
                      <w:color w:val="auto"/>
                      <w:lang w:val="en-US" w:eastAsia="zh-CN"/>
                    </w:rPr>
                    <w:t>总体要求</w:t>
                  </w:r>
                </w:p>
              </w:tc>
              <w:tc>
                <w:tcPr>
                  <w:tcW w:w="2143" w:type="pct"/>
                  <w:tcBorders>
                    <w:tl2br w:val="nil"/>
                    <w:tr2bl w:val="nil"/>
                  </w:tcBorders>
                  <w:vAlign w:val="center"/>
                </w:tcPr>
                <w:p w14:paraId="172FAF3F">
                  <w:pPr>
                    <w:pStyle w:val="36"/>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auto"/>
                    <w:rPr>
                      <w:rFonts w:hint="eastAsia" w:ascii="Times New Roman" w:hAnsi="Times New Roman" w:eastAsia="宋体"/>
                      <w:color w:val="auto"/>
                      <w:lang w:val="en-US" w:eastAsia="zh-CN"/>
                    </w:rPr>
                  </w:pPr>
                  <w:r>
                    <w:rPr>
                      <w:rFonts w:hint="eastAsia" w:ascii="Times New Roman"/>
                      <w:color w:val="auto"/>
                      <w:lang w:val="en-US" w:eastAsia="zh-CN"/>
                    </w:rPr>
                    <w:t>1.</w:t>
                  </w:r>
                  <w:r>
                    <w:rPr>
                      <w:rFonts w:ascii="Times New Roman" w:hAnsi="Times New Roman" w:eastAsia="宋体"/>
                      <w:color w:val="auto"/>
                      <w:lang w:val="en-US" w:eastAsia="zh-CN"/>
                    </w:rPr>
                    <w:t>工业项目排放污染物必须达到国家和地方规定的污染物排放标准。</w:t>
                  </w:r>
                </w:p>
              </w:tc>
              <w:tc>
                <w:tcPr>
                  <w:tcW w:w="2213" w:type="pct"/>
                  <w:tcBorders>
                    <w:tl2br w:val="nil"/>
                    <w:tr2bl w:val="nil"/>
                  </w:tcBorders>
                  <w:vAlign w:val="center"/>
                </w:tcPr>
                <w:p w14:paraId="156870AD">
                  <w:pPr>
                    <w:pStyle w:val="36"/>
                    <w:bidi w:val="0"/>
                    <w:jc w:val="both"/>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本项目吹瓶工序产生的非甲烷总烃经处理后满足《合成树脂工业污染物排放标准》（GB31572-2015）表5中限值要求；消毒工序产生的非甲烷总烃经处理后满足江苏省地方标准《大气污染物综合排放标准》（DB32/4041-2021）表1中限值要求。本项目废水排放满足涟水经济开发区西区污水处理厂接管标准；本项目噪声排放满足《工业企业厂界环境噪声排放标准》（GB12348-2008）中的3类标准限值要求；本项目固体废物全部合理处置，可以实现零排放。</w:t>
                  </w:r>
                </w:p>
              </w:tc>
              <w:tc>
                <w:tcPr>
                  <w:tcW w:w="366" w:type="pct"/>
                  <w:vMerge w:val="restart"/>
                  <w:tcBorders>
                    <w:tl2br w:val="nil"/>
                    <w:tr2bl w:val="nil"/>
                  </w:tcBorders>
                  <w:vAlign w:val="center"/>
                </w:tcPr>
                <w:p w14:paraId="325C2D91">
                  <w:pPr>
                    <w:pStyle w:val="36"/>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符合</w:t>
                  </w:r>
                </w:p>
              </w:tc>
            </w:tr>
            <w:tr w14:paraId="3E4B8E6C">
              <w:tc>
                <w:tcPr>
                  <w:tcW w:w="137" w:type="pct"/>
                  <w:vMerge w:val="continue"/>
                  <w:tcBorders>
                    <w:tl2br w:val="nil"/>
                    <w:tr2bl w:val="nil"/>
                  </w:tcBorders>
                  <w:vAlign w:val="center"/>
                </w:tcPr>
                <w:p w14:paraId="368E1362">
                  <w:pPr>
                    <w:pStyle w:val="36"/>
                    <w:bidi w:val="0"/>
                    <w:rPr>
                      <w:rFonts w:hint="eastAsia" w:ascii="Times New Roman" w:hAnsi="Times New Roman" w:eastAsia="宋体"/>
                      <w:b/>
                      <w:bCs/>
                      <w:color w:val="auto"/>
                      <w:lang w:val="en-US" w:eastAsia="zh-CN"/>
                    </w:rPr>
                  </w:pPr>
                </w:p>
              </w:tc>
              <w:tc>
                <w:tcPr>
                  <w:tcW w:w="139" w:type="pct"/>
                  <w:vMerge w:val="continue"/>
                  <w:tcBorders>
                    <w:tl2br w:val="nil"/>
                    <w:tr2bl w:val="nil"/>
                  </w:tcBorders>
                  <w:vAlign w:val="center"/>
                </w:tcPr>
                <w:p w14:paraId="752523E6">
                  <w:pPr>
                    <w:pStyle w:val="36"/>
                    <w:bidi w:val="0"/>
                    <w:rPr>
                      <w:rFonts w:hint="eastAsia" w:ascii="Times New Roman" w:hAnsi="Times New Roman" w:eastAsia="宋体"/>
                      <w:b/>
                      <w:bCs/>
                      <w:color w:val="auto"/>
                      <w:lang w:val="en-US" w:eastAsia="zh-CN"/>
                    </w:rPr>
                  </w:pPr>
                </w:p>
              </w:tc>
              <w:tc>
                <w:tcPr>
                  <w:tcW w:w="2143" w:type="pct"/>
                  <w:tcBorders>
                    <w:tl2br w:val="nil"/>
                    <w:tr2bl w:val="nil"/>
                  </w:tcBorders>
                  <w:vAlign w:val="center"/>
                </w:tcPr>
                <w:p w14:paraId="45F9A649">
                  <w:pPr>
                    <w:pStyle w:val="36"/>
                    <w:bidi w:val="0"/>
                    <w:jc w:val="both"/>
                    <w:rPr>
                      <w:rFonts w:hint="eastAsia" w:ascii="Times New Roman" w:hAnsi="Times New Roman" w:eastAsia="宋体"/>
                      <w:color w:val="auto"/>
                      <w:lang w:val="en-US" w:eastAsia="zh-CN"/>
                    </w:rPr>
                  </w:pPr>
                  <w:r>
                    <w:rPr>
                      <w:rFonts w:hint="eastAsia" w:ascii="Times New Roman"/>
                      <w:color w:val="auto"/>
                      <w:lang w:val="en-US" w:eastAsia="zh-CN"/>
                    </w:rPr>
                    <w:t>2.</w:t>
                  </w:r>
                  <w:r>
                    <w:rPr>
                      <w:rFonts w:ascii="Times New Roman" w:hAnsi="Times New Roman" w:eastAsia="宋体"/>
                      <w:color w:val="auto"/>
                      <w:lang w:val="en-US" w:eastAsia="zh-CN"/>
                    </w:rPr>
                    <w:t>园区内企业清洁生产水平达到国内先进水平。</w:t>
                  </w:r>
                </w:p>
              </w:tc>
              <w:tc>
                <w:tcPr>
                  <w:tcW w:w="2213" w:type="pct"/>
                  <w:tcBorders>
                    <w:tl2br w:val="nil"/>
                    <w:tr2bl w:val="nil"/>
                  </w:tcBorders>
                  <w:vAlign w:val="center"/>
                </w:tcPr>
                <w:p w14:paraId="3BD71F40">
                  <w:pPr>
                    <w:pStyle w:val="36"/>
                    <w:bidi w:val="0"/>
                    <w:jc w:val="center"/>
                    <w:rPr>
                      <w:rFonts w:hint="default" w:ascii="Times New Roman" w:hAnsi="Times New Roman" w:eastAsia="宋体"/>
                      <w:color w:val="auto"/>
                      <w:lang w:val="en-US" w:eastAsia="zh-CN"/>
                    </w:rPr>
                  </w:pPr>
                  <w:r>
                    <w:rPr>
                      <w:rFonts w:hint="eastAsia" w:ascii="Times New Roman"/>
                      <w:color w:val="auto"/>
                      <w:lang w:val="en-US" w:eastAsia="zh-CN"/>
                    </w:rPr>
                    <w:t>本项目</w:t>
                  </w:r>
                  <w:r>
                    <w:rPr>
                      <w:rFonts w:hint="eastAsia" w:ascii="Times New Roman" w:hAnsi="Times New Roman" w:eastAsia="宋体"/>
                      <w:color w:val="auto"/>
                      <w:lang w:val="en-US" w:eastAsia="zh-CN"/>
                    </w:rPr>
                    <w:t>清洁生产水平达到国内先进水平</w:t>
                  </w:r>
                  <w:r>
                    <w:rPr>
                      <w:rFonts w:hint="eastAsia" w:ascii="Times New Roman"/>
                      <w:color w:val="auto"/>
                      <w:lang w:val="en-US" w:eastAsia="zh-CN"/>
                    </w:rPr>
                    <w:t>。</w:t>
                  </w:r>
                </w:p>
              </w:tc>
              <w:tc>
                <w:tcPr>
                  <w:tcW w:w="366" w:type="pct"/>
                  <w:vMerge w:val="continue"/>
                  <w:tcBorders>
                    <w:tl2br w:val="nil"/>
                    <w:tr2bl w:val="nil"/>
                  </w:tcBorders>
                  <w:vAlign w:val="center"/>
                </w:tcPr>
                <w:p w14:paraId="0FBB8B80">
                  <w:pPr>
                    <w:pStyle w:val="36"/>
                    <w:bidi w:val="0"/>
                    <w:rPr>
                      <w:rFonts w:ascii="Times New Roman" w:hAnsi="Times New Roman" w:eastAsia="宋体"/>
                      <w:color w:val="auto"/>
                      <w:lang w:val="en-US" w:eastAsia="zh-CN"/>
                    </w:rPr>
                  </w:pPr>
                </w:p>
              </w:tc>
            </w:tr>
            <w:tr w14:paraId="53DBA737">
              <w:tc>
                <w:tcPr>
                  <w:tcW w:w="137" w:type="pct"/>
                  <w:vMerge w:val="continue"/>
                  <w:tcBorders>
                    <w:tl2br w:val="nil"/>
                    <w:tr2bl w:val="nil"/>
                  </w:tcBorders>
                  <w:vAlign w:val="center"/>
                </w:tcPr>
                <w:p w14:paraId="36F9FE6B">
                  <w:pPr>
                    <w:pStyle w:val="36"/>
                    <w:bidi w:val="0"/>
                    <w:rPr>
                      <w:rFonts w:hint="eastAsia" w:ascii="Times New Roman" w:hAnsi="Times New Roman" w:eastAsia="宋体"/>
                      <w:b/>
                      <w:bCs/>
                      <w:color w:val="auto"/>
                      <w:lang w:val="en-US" w:eastAsia="zh-CN"/>
                    </w:rPr>
                  </w:pPr>
                </w:p>
              </w:tc>
              <w:tc>
                <w:tcPr>
                  <w:tcW w:w="139" w:type="pct"/>
                  <w:vMerge w:val="continue"/>
                  <w:tcBorders>
                    <w:tl2br w:val="nil"/>
                    <w:tr2bl w:val="nil"/>
                  </w:tcBorders>
                  <w:vAlign w:val="center"/>
                </w:tcPr>
                <w:p w14:paraId="1B2647C7">
                  <w:pPr>
                    <w:pStyle w:val="36"/>
                    <w:bidi w:val="0"/>
                    <w:rPr>
                      <w:rFonts w:hint="eastAsia" w:ascii="Times New Roman" w:hAnsi="Times New Roman" w:eastAsia="宋体"/>
                      <w:b/>
                      <w:bCs/>
                      <w:color w:val="auto"/>
                      <w:lang w:val="en-US" w:eastAsia="zh-CN"/>
                    </w:rPr>
                  </w:pPr>
                </w:p>
              </w:tc>
              <w:tc>
                <w:tcPr>
                  <w:tcW w:w="2143" w:type="pct"/>
                  <w:tcBorders>
                    <w:tl2br w:val="nil"/>
                    <w:tr2bl w:val="nil"/>
                  </w:tcBorders>
                  <w:vAlign w:val="center"/>
                </w:tcPr>
                <w:p w14:paraId="10DCEA9B">
                  <w:pPr>
                    <w:pStyle w:val="36"/>
                    <w:bidi w:val="0"/>
                    <w:jc w:val="both"/>
                    <w:rPr>
                      <w:rFonts w:hint="eastAsia" w:ascii="Times New Roman" w:hAnsi="Times New Roman" w:eastAsia="宋体"/>
                      <w:color w:val="auto"/>
                      <w:lang w:val="en-US" w:eastAsia="zh-CN"/>
                    </w:rPr>
                  </w:pPr>
                  <w:r>
                    <w:rPr>
                      <w:rFonts w:hint="eastAsia" w:ascii="Times New Roman"/>
                      <w:color w:val="auto"/>
                      <w:lang w:val="en-US" w:eastAsia="zh-CN"/>
                    </w:rPr>
                    <w:t>3.</w:t>
                  </w:r>
                  <w:r>
                    <w:rPr>
                      <w:rFonts w:ascii="Times New Roman" w:hAnsi="Times New Roman" w:eastAsia="宋体"/>
                      <w:color w:val="auto"/>
                      <w:lang w:val="en-US" w:eastAsia="zh-CN"/>
                    </w:rPr>
                    <w:t>西区污水处理厂现状为城镇污水处理厂</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严禁接入不能被污水处理厂有效处理或可能影响污水处理厂出水水质达标的工业废水。</w:t>
                  </w:r>
                </w:p>
              </w:tc>
              <w:tc>
                <w:tcPr>
                  <w:tcW w:w="2213" w:type="pct"/>
                  <w:tcBorders>
                    <w:tl2br w:val="nil"/>
                    <w:tr2bl w:val="nil"/>
                  </w:tcBorders>
                  <w:vAlign w:val="center"/>
                </w:tcPr>
                <w:p w14:paraId="4B2D34F4">
                  <w:pPr>
                    <w:pStyle w:val="36"/>
                    <w:bidi w:val="0"/>
                    <w:jc w:val="both"/>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本项目生活污水（含食堂废水）经隔油池+化粪池处理</w:t>
                  </w:r>
                  <w:r>
                    <w:rPr>
                      <w:rFonts w:hint="eastAsia" w:ascii="Times New Roman"/>
                      <w:color w:val="auto"/>
                      <w:lang w:val="en-US" w:eastAsia="zh-CN"/>
                    </w:rPr>
                    <w:t>，</w:t>
                  </w:r>
                  <w:r>
                    <w:rPr>
                      <w:rFonts w:hint="eastAsia" w:ascii="Times New Roman" w:hAnsi="Times New Roman" w:eastAsia="宋体"/>
                      <w:color w:val="auto"/>
                      <w:lang w:val="en-US" w:eastAsia="zh-CN"/>
                    </w:rPr>
                    <w:t>生产废水（杀菌废水、乙酸雾吸收废水、设备清洗废水、地面冲洗废水）经厂区污水处理站</w:t>
                  </w:r>
                  <w:r>
                    <w:rPr>
                      <w:rFonts w:hint="eastAsia" w:ascii="Times New Roman"/>
                      <w:color w:val="auto"/>
                      <w:lang w:val="en-US" w:eastAsia="zh-CN"/>
                    </w:rPr>
                    <w:t>，</w:t>
                  </w:r>
                  <w:r>
                    <w:rPr>
                      <w:rFonts w:hint="eastAsia" w:ascii="Times New Roman" w:hAnsi="Times New Roman" w:eastAsia="宋体"/>
                      <w:color w:val="auto"/>
                      <w:lang w:val="en-US" w:eastAsia="zh-CN"/>
                    </w:rPr>
                    <w:t>处理</w:t>
                  </w:r>
                  <w:r>
                    <w:rPr>
                      <w:rFonts w:hint="eastAsia" w:ascii="Times New Roman"/>
                      <w:color w:val="auto"/>
                      <w:lang w:val="en-US" w:eastAsia="zh-CN"/>
                    </w:rPr>
                    <w:t>后生活污水（含食堂废水）、生产废水与纯水制备废水一起接管至涟水经济开发区西区污水处理厂。</w:t>
                  </w:r>
                </w:p>
              </w:tc>
              <w:tc>
                <w:tcPr>
                  <w:tcW w:w="366" w:type="pct"/>
                  <w:vMerge w:val="continue"/>
                  <w:tcBorders>
                    <w:tl2br w:val="nil"/>
                    <w:tr2bl w:val="nil"/>
                  </w:tcBorders>
                  <w:vAlign w:val="center"/>
                </w:tcPr>
                <w:p w14:paraId="7CA5A4D5">
                  <w:pPr>
                    <w:pStyle w:val="36"/>
                    <w:bidi w:val="0"/>
                    <w:rPr>
                      <w:rFonts w:ascii="Times New Roman" w:hAnsi="Times New Roman" w:eastAsia="宋体"/>
                      <w:color w:val="auto"/>
                      <w:lang w:val="en-US" w:eastAsia="zh-CN"/>
                    </w:rPr>
                  </w:pPr>
                </w:p>
              </w:tc>
            </w:tr>
            <w:tr w14:paraId="09D64F84">
              <w:tc>
                <w:tcPr>
                  <w:tcW w:w="137" w:type="pct"/>
                  <w:vMerge w:val="continue"/>
                  <w:tcBorders>
                    <w:tl2br w:val="nil"/>
                    <w:tr2bl w:val="nil"/>
                  </w:tcBorders>
                  <w:vAlign w:val="center"/>
                </w:tcPr>
                <w:p w14:paraId="5815D438">
                  <w:pPr>
                    <w:pStyle w:val="36"/>
                    <w:bidi w:val="0"/>
                    <w:rPr>
                      <w:rFonts w:hint="eastAsia" w:ascii="Times New Roman" w:hAnsi="Times New Roman" w:eastAsia="宋体"/>
                      <w:b w:val="0"/>
                      <w:bCs w:val="0"/>
                      <w:color w:val="auto"/>
                      <w:lang w:val="en-US" w:eastAsia="zh-CN"/>
                    </w:rPr>
                  </w:pPr>
                </w:p>
              </w:tc>
              <w:tc>
                <w:tcPr>
                  <w:tcW w:w="139" w:type="pct"/>
                  <w:vMerge w:val="restart"/>
                  <w:tcBorders>
                    <w:tl2br w:val="nil"/>
                    <w:tr2bl w:val="nil"/>
                  </w:tcBorders>
                  <w:vAlign w:val="center"/>
                </w:tcPr>
                <w:p w14:paraId="1CD86C29">
                  <w:pPr>
                    <w:pStyle w:val="36"/>
                    <w:bidi w:val="0"/>
                    <w:rPr>
                      <w:rFonts w:hint="default" w:ascii="Times New Roman" w:hAnsi="Times New Roman" w:eastAsia="宋体"/>
                      <w:b w:val="0"/>
                      <w:bCs w:val="0"/>
                      <w:color w:val="auto"/>
                      <w:lang w:val="en-US" w:eastAsia="zh-CN"/>
                    </w:rPr>
                  </w:pPr>
                  <w:r>
                    <w:rPr>
                      <w:rFonts w:hint="eastAsia" w:ascii="Times New Roman" w:hAnsi="Times New Roman" w:eastAsia="宋体"/>
                      <w:b w:val="0"/>
                      <w:bCs w:val="0"/>
                      <w:color w:val="auto"/>
                      <w:lang w:val="en-US" w:eastAsia="zh-CN"/>
                    </w:rPr>
                    <w:t>环境质量</w:t>
                  </w:r>
                </w:p>
              </w:tc>
              <w:tc>
                <w:tcPr>
                  <w:tcW w:w="2143" w:type="pct"/>
                  <w:tcBorders>
                    <w:tl2br w:val="nil"/>
                    <w:tr2bl w:val="nil"/>
                  </w:tcBorders>
                  <w:vAlign w:val="center"/>
                </w:tcPr>
                <w:p w14:paraId="3464CF88">
                  <w:pPr>
                    <w:pStyle w:val="36"/>
                    <w:bidi w:val="0"/>
                    <w:jc w:val="both"/>
                    <w:rPr>
                      <w:rFonts w:hint="eastAsia" w:ascii="Times New Roman" w:hAnsi="Times New Roman" w:eastAsia="宋体"/>
                      <w:color w:val="auto"/>
                      <w:lang w:val="en-US" w:eastAsia="zh-CN"/>
                    </w:rPr>
                  </w:pPr>
                  <w:r>
                    <w:rPr>
                      <w:rFonts w:hint="eastAsia" w:ascii="Times New Roman"/>
                      <w:color w:val="auto"/>
                      <w:lang w:val="en-US" w:eastAsia="zh-CN"/>
                    </w:rPr>
                    <w:t>1.</w:t>
                  </w:r>
                  <w:r>
                    <w:rPr>
                      <w:rFonts w:ascii="Times New Roman" w:hAnsi="Times New Roman" w:eastAsia="宋体"/>
                      <w:color w:val="auto"/>
                      <w:lang w:val="en-US" w:eastAsia="zh-CN"/>
                    </w:rPr>
                    <w:t>大气环境质量达到《环境空气质量标准》二级标准、《环境影响评价技术导则大气环境》</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HJ2.2-2018</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附录D其他污染物空气质量浓度参考限值等。</w:t>
                  </w:r>
                </w:p>
              </w:tc>
              <w:tc>
                <w:tcPr>
                  <w:tcW w:w="2213" w:type="pct"/>
                  <w:tcBorders>
                    <w:tl2br w:val="nil"/>
                    <w:tr2bl w:val="nil"/>
                  </w:tcBorders>
                  <w:vAlign w:val="center"/>
                </w:tcPr>
                <w:p w14:paraId="42E62D7B">
                  <w:pPr>
                    <w:pStyle w:val="36"/>
                    <w:bidi w:val="0"/>
                    <w:jc w:val="both"/>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根据《涟水县2024年度环境质量公告》，项目所在地大气环境质量达到《环境空气质量标准》二级标准</w:t>
                  </w:r>
                  <w:r>
                    <w:rPr>
                      <w:rFonts w:hint="eastAsia" w:ascii="Times New Roman"/>
                      <w:color w:val="auto"/>
                      <w:vertAlign w:val="baseline"/>
                      <w:lang w:val="en-US" w:eastAsia="zh-CN"/>
                    </w:rPr>
                    <w:t>。</w:t>
                  </w:r>
                </w:p>
              </w:tc>
              <w:tc>
                <w:tcPr>
                  <w:tcW w:w="366" w:type="pct"/>
                  <w:vMerge w:val="restart"/>
                  <w:tcBorders>
                    <w:tl2br w:val="nil"/>
                    <w:tr2bl w:val="nil"/>
                  </w:tcBorders>
                  <w:vAlign w:val="center"/>
                </w:tcPr>
                <w:p w14:paraId="41955DF1">
                  <w:pPr>
                    <w:pStyle w:val="36"/>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符合</w:t>
                  </w:r>
                </w:p>
              </w:tc>
            </w:tr>
            <w:tr w14:paraId="1BD17E94">
              <w:tc>
                <w:tcPr>
                  <w:tcW w:w="137" w:type="pct"/>
                  <w:vMerge w:val="continue"/>
                  <w:tcBorders>
                    <w:tl2br w:val="nil"/>
                    <w:tr2bl w:val="nil"/>
                  </w:tcBorders>
                  <w:vAlign w:val="center"/>
                </w:tcPr>
                <w:p w14:paraId="39A2C730">
                  <w:pPr>
                    <w:pStyle w:val="36"/>
                    <w:bidi w:val="0"/>
                    <w:rPr>
                      <w:rFonts w:hint="eastAsia" w:ascii="Times New Roman" w:hAnsi="Times New Roman" w:eastAsia="宋体"/>
                      <w:b w:val="0"/>
                      <w:bCs w:val="0"/>
                      <w:color w:val="auto"/>
                      <w:lang w:val="en-US" w:eastAsia="zh-CN"/>
                    </w:rPr>
                  </w:pPr>
                </w:p>
              </w:tc>
              <w:tc>
                <w:tcPr>
                  <w:tcW w:w="139" w:type="pct"/>
                  <w:vMerge w:val="continue"/>
                  <w:tcBorders>
                    <w:tl2br w:val="nil"/>
                    <w:tr2bl w:val="nil"/>
                  </w:tcBorders>
                  <w:vAlign w:val="center"/>
                </w:tcPr>
                <w:p w14:paraId="5F74C633">
                  <w:pPr>
                    <w:pStyle w:val="36"/>
                    <w:bidi w:val="0"/>
                    <w:rPr>
                      <w:rFonts w:hint="eastAsia" w:ascii="Times New Roman" w:hAnsi="Times New Roman" w:eastAsia="宋体"/>
                      <w:b w:val="0"/>
                      <w:bCs w:val="0"/>
                      <w:color w:val="auto"/>
                      <w:lang w:val="en-US" w:eastAsia="zh-CN"/>
                    </w:rPr>
                  </w:pPr>
                </w:p>
              </w:tc>
              <w:tc>
                <w:tcPr>
                  <w:tcW w:w="2143" w:type="pct"/>
                  <w:tcBorders>
                    <w:tl2br w:val="nil"/>
                    <w:tr2bl w:val="nil"/>
                  </w:tcBorders>
                  <w:vAlign w:val="center"/>
                </w:tcPr>
                <w:p w14:paraId="01F0CA16">
                  <w:pPr>
                    <w:pStyle w:val="36"/>
                    <w:bidi w:val="0"/>
                    <w:jc w:val="both"/>
                    <w:rPr>
                      <w:rFonts w:hint="eastAsia" w:ascii="Times New Roman" w:hAnsi="Times New Roman" w:eastAsia="宋体"/>
                      <w:color w:val="auto"/>
                      <w:lang w:val="en-US" w:eastAsia="zh-CN"/>
                    </w:rPr>
                  </w:pPr>
                  <w:r>
                    <w:rPr>
                      <w:rFonts w:hint="eastAsia" w:ascii="Times New Roman"/>
                      <w:color w:val="auto"/>
                      <w:lang w:val="en-US" w:eastAsia="zh-CN"/>
                    </w:rPr>
                    <w:t>2.</w:t>
                  </w:r>
                  <w:r>
                    <w:rPr>
                      <w:rFonts w:ascii="Times New Roman" w:hAnsi="Times New Roman" w:eastAsia="宋体"/>
                      <w:color w:val="auto"/>
                      <w:lang w:val="en-US" w:eastAsia="zh-CN"/>
                    </w:rPr>
                    <w:t>盐河执行《地表水环境质量标准》</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GB3838-2002</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Ⅲ类、涟中总干渠执行《地表水环境质量标准》</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GB3838-2002</w:t>
                  </w:r>
                  <w:r>
                    <w:rPr>
                      <w:rFonts w:hint="eastAsia" w:ascii="Times New Roman" w:hAnsi="Times New Roman" w:eastAsia="宋体"/>
                      <w:color w:val="auto"/>
                      <w:lang w:val="en-US" w:eastAsia="zh-CN"/>
                    </w:rPr>
                    <w:t>）</w:t>
                  </w:r>
                  <w:r>
                    <w:rPr>
                      <w:rFonts w:hint="eastAsia" w:ascii="Times New Roman"/>
                      <w:color w:val="auto"/>
                      <w:lang w:val="en-US" w:eastAsia="zh-CN"/>
                    </w:rPr>
                    <w:t>Ⅳ类</w:t>
                  </w:r>
                  <w:r>
                    <w:rPr>
                      <w:rFonts w:ascii="Times New Roman" w:hAnsi="Times New Roman" w:eastAsia="宋体"/>
                      <w:color w:val="auto"/>
                      <w:lang w:val="en-US" w:eastAsia="zh-CN"/>
                    </w:rPr>
                    <w:t>水标准；公兴河2025年按</w:t>
                  </w:r>
                  <w:r>
                    <w:rPr>
                      <w:rFonts w:hint="eastAsia" w:ascii="Times New Roman"/>
                      <w:color w:val="auto"/>
                      <w:lang w:val="en-US" w:eastAsia="zh-CN"/>
                    </w:rPr>
                    <w:t>Ⅳ类</w:t>
                  </w:r>
                  <w:r>
                    <w:rPr>
                      <w:rFonts w:ascii="Times New Roman" w:hAnsi="Times New Roman" w:eastAsia="宋体"/>
                      <w:color w:val="auto"/>
                      <w:lang w:val="en-US" w:eastAsia="zh-CN"/>
                    </w:rPr>
                    <w:t>考核</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2030年执行Ⅲ类。</w:t>
                  </w:r>
                </w:p>
              </w:tc>
              <w:tc>
                <w:tcPr>
                  <w:tcW w:w="2213" w:type="pct"/>
                  <w:tcBorders>
                    <w:tl2br w:val="nil"/>
                    <w:tr2bl w:val="nil"/>
                  </w:tcBorders>
                  <w:vAlign w:val="center"/>
                </w:tcPr>
                <w:p w14:paraId="6EA66C73">
                  <w:pPr>
                    <w:pStyle w:val="36"/>
                    <w:bidi w:val="0"/>
                    <w:jc w:val="both"/>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本项目生活污水（含食堂废水）经隔油池+化粪池处理</w:t>
                  </w:r>
                  <w:r>
                    <w:rPr>
                      <w:rFonts w:hint="eastAsia" w:ascii="Times New Roman"/>
                      <w:color w:val="auto"/>
                      <w:lang w:val="en-US" w:eastAsia="zh-CN"/>
                    </w:rPr>
                    <w:t>，</w:t>
                  </w:r>
                  <w:r>
                    <w:rPr>
                      <w:rFonts w:hint="eastAsia" w:ascii="Times New Roman" w:hAnsi="Times New Roman" w:eastAsia="宋体"/>
                      <w:color w:val="auto"/>
                      <w:lang w:val="en-US" w:eastAsia="zh-CN"/>
                    </w:rPr>
                    <w:t>生产废水（杀菌废水、乙酸雾吸收废水、设备清洗废水、地面冲洗废水）经厂区污水处理站</w:t>
                  </w:r>
                  <w:r>
                    <w:rPr>
                      <w:rFonts w:hint="eastAsia" w:ascii="Times New Roman"/>
                      <w:color w:val="auto"/>
                      <w:lang w:val="en-US" w:eastAsia="zh-CN"/>
                    </w:rPr>
                    <w:t>，</w:t>
                  </w:r>
                  <w:r>
                    <w:rPr>
                      <w:rFonts w:hint="eastAsia" w:ascii="Times New Roman" w:hAnsi="Times New Roman" w:eastAsia="宋体"/>
                      <w:color w:val="auto"/>
                      <w:lang w:val="en-US" w:eastAsia="zh-CN"/>
                    </w:rPr>
                    <w:t>处理</w:t>
                  </w:r>
                  <w:r>
                    <w:rPr>
                      <w:rFonts w:hint="eastAsia" w:ascii="Times New Roman"/>
                      <w:color w:val="auto"/>
                      <w:lang w:val="en-US" w:eastAsia="zh-CN"/>
                    </w:rPr>
                    <w:t>后生活污水（含食堂废水）、生产废水与纯水制备废水一起接管至涟水经济开发区西区污水处理厂处理</w:t>
                  </w:r>
                  <w:r>
                    <w:rPr>
                      <w:rFonts w:hint="eastAsia" w:ascii="Times New Roman" w:hAnsi="Times New Roman" w:eastAsia="宋体"/>
                      <w:color w:val="auto"/>
                      <w:lang w:val="en-US" w:eastAsia="zh-CN"/>
                    </w:rPr>
                    <w:t>，尾水经祁六沟汇入公兴河，公兴河水质按《地表水环境质量标准》（GB3838-2002）</w:t>
                  </w:r>
                  <w:r>
                    <w:rPr>
                      <w:rFonts w:hint="eastAsia" w:ascii="Times New Roman"/>
                      <w:color w:val="auto"/>
                      <w:lang w:val="en-US" w:eastAsia="zh-CN"/>
                    </w:rPr>
                    <w:t>Ⅳ类</w:t>
                  </w:r>
                  <w:r>
                    <w:rPr>
                      <w:rFonts w:hint="eastAsia" w:ascii="Times New Roman" w:hAnsi="Times New Roman" w:eastAsia="宋体"/>
                      <w:color w:val="auto"/>
                      <w:lang w:val="en-US" w:eastAsia="zh-CN"/>
                    </w:rPr>
                    <w:t>水标准考核</w:t>
                  </w:r>
                  <w:r>
                    <w:rPr>
                      <w:rFonts w:hint="eastAsia" w:ascii="Times New Roman"/>
                      <w:color w:val="auto"/>
                      <w:lang w:val="en-US" w:eastAsia="zh-CN"/>
                    </w:rPr>
                    <w:t>。</w:t>
                  </w:r>
                </w:p>
              </w:tc>
              <w:tc>
                <w:tcPr>
                  <w:tcW w:w="366" w:type="pct"/>
                  <w:vMerge w:val="continue"/>
                  <w:tcBorders>
                    <w:tl2br w:val="nil"/>
                    <w:tr2bl w:val="nil"/>
                  </w:tcBorders>
                  <w:vAlign w:val="center"/>
                </w:tcPr>
                <w:p w14:paraId="5997ED9B">
                  <w:pPr>
                    <w:pStyle w:val="36"/>
                    <w:bidi w:val="0"/>
                    <w:rPr>
                      <w:rFonts w:ascii="Times New Roman" w:hAnsi="Times New Roman" w:eastAsia="宋体"/>
                      <w:color w:val="auto"/>
                      <w:lang w:val="en-US" w:eastAsia="zh-CN"/>
                    </w:rPr>
                  </w:pPr>
                </w:p>
              </w:tc>
            </w:tr>
            <w:tr w14:paraId="7516501E">
              <w:tc>
                <w:tcPr>
                  <w:tcW w:w="137" w:type="pct"/>
                  <w:vMerge w:val="continue"/>
                  <w:tcBorders>
                    <w:tl2br w:val="nil"/>
                    <w:tr2bl w:val="nil"/>
                  </w:tcBorders>
                  <w:vAlign w:val="center"/>
                </w:tcPr>
                <w:p w14:paraId="261D0103">
                  <w:pPr>
                    <w:pStyle w:val="36"/>
                    <w:bidi w:val="0"/>
                    <w:rPr>
                      <w:rFonts w:hint="eastAsia" w:ascii="Times New Roman" w:hAnsi="Times New Roman" w:eastAsia="宋体"/>
                      <w:b w:val="0"/>
                      <w:bCs w:val="0"/>
                      <w:color w:val="auto"/>
                      <w:lang w:val="en-US" w:eastAsia="zh-CN"/>
                    </w:rPr>
                  </w:pPr>
                </w:p>
              </w:tc>
              <w:tc>
                <w:tcPr>
                  <w:tcW w:w="139" w:type="pct"/>
                  <w:vMerge w:val="continue"/>
                  <w:tcBorders>
                    <w:tl2br w:val="nil"/>
                    <w:tr2bl w:val="nil"/>
                  </w:tcBorders>
                  <w:vAlign w:val="center"/>
                </w:tcPr>
                <w:p w14:paraId="235D64A6">
                  <w:pPr>
                    <w:pStyle w:val="36"/>
                    <w:bidi w:val="0"/>
                    <w:rPr>
                      <w:rFonts w:hint="eastAsia" w:ascii="Times New Roman" w:hAnsi="Times New Roman" w:eastAsia="宋体"/>
                      <w:b w:val="0"/>
                      <w:bCs w:val="0"/>
                      <w:color w:val="auto"/>
                      <w:lang w:val="en-US" w:eastAsia="zh-CN"/>
                    </w:rPr>
                  </w:pPr>
                </w:p>
              </w:tc>
              <w:tc>
                <w:tcPr>
                  <w:tcW w:w="2143" w:type="pct"/>
                  <w:tcBorders>
                    <w:tl2br w:val="nil"/>
                    <w:tr2bl w:val="nil"/>
                  </w:tcBorders>
                  <w:vAlign w:val="center"/>
                </w:tcPr>
                <w:p w14:paraId="24A36310">
                  <w:pPr>
                    <w:pStyle w:val="36"/>
                    <w:bidi w:val="0"/>
                    <w:jc w:val="both"/>
                    <w:rPr>
                      <w:rFonts w:hint="eastAsia" w:ascii="Times New Roman" w:hAnsi="Times New Roman" w:eastAsia="宋体"/>
                      <w:color w:val="auto"/>
                      <w:lang w:val="en-US" w:eastAsia="zh-CN"/>
                    </w:rPr>
                  </w:pPr>
                  <w:r>
                    <w:rPr>
                      <w:rFonts w:hint="eastAsia" w:ascii="Times New Roman"/>
                      <w:color w:val="auto"/>
                      <w:lang w:val="en-US" w:eastAsia="zh-CN"/>
                    </w:rPr>
                    <w:t>3.</w:t>
                  </w:r>
                  <w:r>
                    <w:rPr>
                      <w:rFonts w:ascii="Times New Roman" w:hAnsi="Times New Roman" w:eastAsia="宋体"/>
                      <w:color w:val="auto"/>
                      <w:lang w:val="en-US" w:eastAsia="zh-CN"/>
                    </w:rPr>
                    <w:t>土壤建设用地满足《土壤环境质量建设用地土壤污染风险管控标准》</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GB36600-2018</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筛选值中的第一类、第二类用地标准。</w:t>
                  </w:r>
                </w:p>
              </w:tc>
              <w:tc>
                <w:tcPr>
                  <w:tcW w:w="2213" w:type="pct"/>
                  <w:tcBorders>
                    <w:tl2br w:val="nil"/>
                    <w:tr2bl w:val="nil"/>
                  </w:tcBorders>
                  <w:vAlign w:val="center"/>
                </w:tcPr>
                <w:p w14:paraId="3B3F6612">
                  <w:pPr>
                    <w:pStyle w:val="36"/>
                    <w:bidi w:val="0"/>
                    <w:jc w:val="both"/>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项目用地为工业用地</w:t>
                  </w:r>
                  <w:r>
                    <w:rPr>
                      <w:rFonts w:hint="eastAsia" w:ascii="Times New Roman"/>
                      <w:color w:val="auto"/>
                      <w:lang w:val="en-US" w:eastAsia="zh-CN"/>
                    </w:rPr>
                    <w:t>。</w:t>
                  </w:r>
                </w:p>
              </w:tc>
              <w:tc>
                <w:tcPr>
                  <w:tcW w:w="366" w:type="pct"/>
                  <w:vMerge w:val="continue"/>
                  <w:tcBorders>
                    <w:tl2br w:val="nil"/>
                    <w:tr2bl w:val="nil"/>
                  </w:tcBorders>
                  <w:vAlign w:val="center"/>
                </w:tcPr>
                <w:p w14:paraId="3B421CBF">
                  <w:pPr>
                    <w:pStyle w:val="36"/>
                    <w:bidi w:val="0"/>
                    <w:rPr>
                      <w:rFonts w:ascii="Times New Roman" w:hAnsi="Times New Roman" w:eastAsia="宋体"/>
                      <w:color w:val="auto"/>
                      <w:lang w:val="en-US" w:eastAsia="zh-CN"/>
                    </w:rPr>
                  </w:pPr>
                </w:p>
              </w:tc>
            </w:tr>
            <w:tr w14:paraId="52FE6680">
              <w:tc>
                <w:tcPr>
                  <w:tcW w:w="137" w:type="pct"/>
                  <w:vMerge w:val="continue"/>
                  <w:tcBorders>
                    <w:tl2br w:val="nil"/>
                    <w:tr2bl w:val="nil"/>
                  </w:tcBorders>
                  <w:vAlign w:val="center"/>
                </w:tcPr>
                <w:p w14:paraId="26D7839A">
                  <w:pPr>
                    <w:pStyle w:val="36"/>
                    <w:bidi w:val="0"/>
                    <w:rPr>
                      <w:rFonts w:hint="eastAsia" w:ascii="Times New Roman" w:hAnsi="Times New Roman" w:eastAsia="宋体"/>
                      <w:b w:val="0"/>
                      <w:bCs w:val="0"/>
                      <w:color w:val="auto"/>
                      <w:lang w:val="en-US" w:eastAsia="zh-CN"/>
                    </w:rPr>
                  </w:pPr>
                </w:p>
              </w:tc>
              <w:tc>
                <w:tcPr>
                  <w:tcW w:w="139" w:type="pct"/>
                  <w:vMerge w:val="restart"/>
                  <w:tcBorders>
                    <w:tl2br w:val="nil"/>
                    <w:tr2bl w:val="nil"/>
                  </w:tcBorders>
                  <w:vAlign w:val="center"/>
                </w:tcPr>
                <w:p w14:paraId="53BCBAA8">
                  <w:pPr>
                    <w:pStyle w:val="36"/>
                    <w:bidi w:val="0"/>
                    <w:rPr>
                      <w:rFonts w:hint="default" w:ascii="Times New Roman" w:hAnsi="Times New Roman" w:eastAsia="宋体"/>
                      <w:b w:val="0"/>
                      <w:bCs w:val="0"/>
                      <w:color w:val="auto"/>
                      <w:lang w:val="en-US" w:eastAsia="zh-CN"/>
                    </w:rPr>
                  </w:pPr>
                  <w:r>
                    <w:rPr>
                      <w:rFonts w:hint="eastAsia" w:ascii="Times New Roman" w:hAnsi="Times New Roman" w:eastAsia="宋体"/>
                      <w:b w:val="0"/>
                      <w:bCs w:val="0"/>
                      <w:color w:val="auto"/>
                      <w:lang w:val="en-US" w:eastAsia="zh-CN"/>
                    </w:rPr>
                    <w:t>污染物排放总量</w:t>
                  </w:r>
                </w:p>
              </w:tc>
              <w:tc>
                <w:tcPr>
                  <w:tcW w:w="2143" w:type="pct"/>
                  <w:tcBorders>
                    <w:tl2br w:val="nil"/>
                    <w:tr2bl w:val="nil"/>
                  </w:tcBorders>
                  <w:vAlign w:val="center"/>
                </w:tcPr>
                <w:p w14:paraId="68AB7B60">
                  <w:pPr>
                    <w:pStyle w:val="36"/>
                    <w:bidi w:val="0"/>
                    <w:jc w:val="both"/>
                    <w:rPr>
                      <w:rFonts w:hint="eastAsia" w:ascii="Times New Roman" w:hAnsi="Times New Roman" w:eastAsia="宋体"/>
                      <w:color w:val="auto"/>
                      <w:lang w:val="en-US" w:eastAsia="zh-CN"/>
                    </w:rPr>
                  </w:pPr>
                  <w:r>
                    <w:rPr>
                      <w:rFonts w:hint="eastAsia" w:ascii="Times New Roman"/>
                      <w:color w:val="auto"/>
                      <w:lang w:val="en-US" w:eastAsia="zh-CN"/>
                    </w:rPr>
                    <w:t>1.空气污染物</w:t>
                  </w:r>
                  <w:r>
                    <w:rPr>
                      <w:rFonts w:ascii="Times New Roman" w:hAnsi="Times New Roman" w:eastAsia="宋体"/>
                      <w:color w:val="auto"/>
                      <w:lang w:val="en-US" w:eastAsia="zh-CN"/>
                    </w:rPr>
                    <w:t>：二氧化硫61.36吨/年、二氧化氮99.65吨/年、烟粉尘58.97吨/年、挥发性有机物80.7吨/年。</w:t>
                  </w:r>
                </w:p>
              </w:tc>
              <w:tc>
                <w:tcPr>
                  <w:tcW w:w="2213" w:type="pct"/>
                  <w:tcBorders>
                    <w:tl2br w:val="nil"/>
                    <w:tr2bl w:val="nil"/>
                  </w:tcBorders>
                  <w:vAlign w:val="center"/>
                </w:tcPr>
                <w:p w14:paraId="69E5CF75">
                  <w:pPr>
                    <w:pStyle w:val="36"/>
                    <w:bidi w:val="0"/>
                    <w:jc w:val="both"/>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废气：非甲烷总烃控制总量为1.03</w:t>
                  </w:r>
                  <w:r>
                    <w:rPr>
                      <w:rFonts w:hint="eastAsia" w:ascii="Times New Roman"/>
                      <w:color w:val="auto"/>
                      <w:lang w:val="en-US" w:eastAsia="zh-CN"/>
                    </w:rPr>
                    <w:t>7</w:t>
                  </w:r>
                  <w:r>
                    <w:rPr>
                      <w:rFonts w:hint="eastAsia" w:ascii="Times New Roman" w:hAnsi="Times New Roman" w:eastAsia="宋体"/>
                      <w:color w:val="auto"/>
                      <w:lang w:val="en-US" w:eastAsia="zh-CN"/>
                    </w:rPr>
                    <w:t>t/a（有组织0.679t/a，无组织0.35</w:t>
                  </w:r>
                  <w:r>
                    <w:rPr>
                      <w:rFonts w:hint="eastAsia" w:ascii="Times New Roman"/>
                      <w:color w:val="auto"/>
                      <w:lang w:val="en-US" w:eastAsia="zh-CN"/>
                    </w:rPr>
                    <w:t>8</w:t>
                  </w:r>
                  <w:r>
                    <w:rPr>
                      <w:rFonts w:hint="eastAsia" w:ascii="Times New Roman" w:hAnsi="Times New Roman" w:eastAsia="宋体"/>
                      <w:color w:val="auto"/>
                      <w:lang w:val="en-US" w:eastAsia="zh-CN"/>
                    </w:rPr>
                    <w:t>t/a）。</w:t>
                  </w:r>
                </w:p>
              </w:tc>
              <w:tc>
                <w:tcPr>
                  <w:tcW w:w="366" w:type="pct"/>
                  <w:vMerge w:val="restart"/>
                  <w:tcBorders>
                    <w:tl2br w:val="nil"/>
                    <w:tr2bl w:val="nil"/>
                  </w:tcBorders>
                  <w:vAlign w:val="center"/>
                </w:tcPr>
                <w:p w14:paraId="0842D5BB">
                  <w:pPr>
                    <w:pStyle w:val="36"/>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符合</w:t>
                  </w:r>
                </w:p>
              </w:tc>
            </w:tr>
            <w:tr w14:paraId="6E8D8AA6">
              <w:tc>
                <w:tcPr>
                  <w:tcW w:w="137" w:type="pct"/>
                  <w:vMerge w:val="continue"/>
                  <w:tcBorders>
                    <w:tl2br w:val="nil"/>
                    <w:tr2bl w:val="nil"/>
                  </w:tcBorders>
                  <w:vAlign w:val="center"/>
                </w:tcPr>
                <w:p w14:paraId="17AD1514">
                  <w:pPr>
                    <w:pStyle w:val="36"/>
                    <w:bidi w:val="0"/>
                    <w:rPr>
                      <w:rFonts w:hint="eastAsia" w:ascii="Times New Roman" w:hAnsi="Times New Roman" w:eastAsia="宋体"/>
                      <w:b w:val="0"/>
                      <w:bCs w:val="0"/>
                      <w:color w:val="auto"/>
                      <w:lang w:val="en-US" w:eastAsia="zh-CN"/>
                    </w:rPr>
                  </w:pPr>
                </w:p>
              </w:tc>
              <w:tc>
                <w:tcPr>
                  <w:tcW w:w="139" w:type="pct"/>
                  <w:vMerge w:val="continue"/>
                  <w:tcBorders>
                    <w:tl2br w:val="nil"/>
                    <w:tr2bl w:val="nil"/>
                  </w:tcBorders>
                  <w:vAlign w:val="center"/>
                </w:tcPr>
                <w:p w14:paraId="48451AD8">
                  <w:pPr>
                    <w:pStyle w:val="36"/>
                    <w:bidi w:val="0"/>
                    <w:rPr>
                      <w:rFonts w:hint="eastAsia" w:ascii="Times New Roman" w:hAnsi="Times New Roman" w:eastAsia="宋体"/>
                      <w:b w:val="0"/>
                      <w:bCs w:val="0"/>
                      <w:color w:val="auto"/>
                      <w:lang w:val="en-US" w:eastAsia="zh-CN"/>
                    </w:rPr>
                  </w:pPr>
                </w:p>
              </w:tc>
              <w:tc>
                <w:tcPr>
                  <w:tcW w:w="2143" w:type="pct"/>
                  <w:tcBorders>
                    <w:tl2br w:val="nil"/>
                    <w:tr2bl w:val="nil"/>
                  </w:tcBorders>
                  <w:vAlign w:val="center"/>
                </w:tcPr>
                <w:p w14:paraId="0D8CE359">
                  <w:pPr>
                    <w:pStyle w:val="36"/>
                    <w:bidi w:val="0"/>
                    <w:jc w:val="both"/>
                    <w:rPr>
                      <w:rFonts w:hint="eastAsia" w:ascii="Times New Roman" w:hAnsi="Times New Roman" w:eastAsia="宋体"/>
                      <w:color w:val="auto"/>
                      <w:lang w:val="en-US" w:eastAsia="zh-CN"/>
                    </w:rPr>
                  </w:pPr>
                  <w:r>
                    <w:rPr>
                      <w:rFonts w:hint="eastAsia" w:ascii="Times New Roman"/>
                      <w:color w:val="auto"/>
                      <w:lang w:val="en-US" w:eastAsia="zh-CN"/>
                    </w:rPr>
                    <w:t>2.</w:t>
                  </w:r>
                  <w:r>
                    <w:rPr>
                      <w:rFonts w:ascii="Times New Roman" w:hAnsi="Times New Roman" w:eastAsia="宋体"/>
                      <w:color w:val="auto"/>
                      <w:lang w:val="en-US" w:eastAsia="zh-CN"/>
                    </w:rPr>
                    <w:t>废水污染物</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接管量/排放量</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废水量1480.18/1273.2万吨/年</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COD6053.89/636.6吨/年</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氨氮443.62/63.66吨/年、总磷91.5/6.37吨/年、总氮576.11/190.98吨/年</w:t>
                  </w:r>
                </w:p>
              </w:tc>
              <w:tc>
                <w:tcPr>
                  <w:tcW w:w="2213" w:type="pct"/>
                  <w:tcBorders>
                    <w:tl2br w:val="nil"/>
                    <w:tr2bl w:val="nil"/>
                  </w:tcBorders>
                  <w:vAlign w:val="center"/>
                </w:tcPr>
                <w:p w14:paraId="394C1F75">
                  <w:pPr>
                    <w:pStyle w:val="36"/>
                    <w:bidi w:val="0"/>
                    <w:jc w:val="both"/>
                    <w:rPr>
                      <w:rFonts w:hint="default" w:ascii="Times New Roman" w:hAnsi="Times New Roman" w:eastAsia="宋体"/>
                      <w:color w:val="auto"/>
                      <w:lang w:val="en-US" w:eastAsia="zh-CN"/>
                    </w:rPr>
                  </w:pPr>
                  <w:r>
                    <w:rPr>
                      <w:rFonts w:ascii="Times New Roman" w:hAnsi="Times New Roman" w:eastAsia="宋体"/>
                      <w:color w:val="auto"/>
                      <w:lang w:val="en-US" w:eastAsia="zh-CN"/>
                    </w:rPr>
                    <w:t>废水污染物</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接管量/排放量</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废水</w:t>
                  </w:r>
                  <w:r>
                    <w:rPr>
                      <w:rFonts w:hint="eastAsia" w:ascii="Times New Roman"/>
                      <w:color w:val="auto"/>
                      <w:lang w:val="en-US" w:eastAsia="zh-CN"/>
                    </w:rPr>
                    <w:t>排放</w:t>
                  </w:r>
                  <w:r>
                    <w:rPr>
                      <w:rFonts w:ascii="Times New Roman" w:hAnsi="Times New Roman" w:eastAsia="宋体"/>
                      <w:color w:val="auto"/>
                      <w:lang w:val="en-US" w:eastAsia="zh-CN"/>
                    </w:rPr>
                    <w:t>量</w:t>
                  </w:r>
                  <w:r>
                    <w:rPr>
                      <w:rFonts w:hint="eastAsia" w:ascii="Times New Roman"/>
                      <w:color w:val="auto"/>
                      <w:lang w:val="en-US" w:eastAsia="zh-CN"/>
                    </w:rPr>
                    <w:t>99480</w:t>
                  </w:r>
                  <w:r>
                    <w:rPr>
                      <w:rFonts w:ascii="Times New Roman" w:hAnsi="Times New Roman" w:eastAsia="宋体"/>
                      <w:color w:val="auto"/>
                      <w:lang w:val="en-US" w:eastAsia="zh-CN"/>
                    </w:rPr>
                    <w:t>/</w:t>
                  </w:r>
                  <w:r>
                    <w:rPr>
                      <w:rFonts w:hint="eastAsia" w:ascii="Times New Roman"/>
                      <w:color w:val="auto"/>
                      <w:lang w:val="en-US" w:eastAsia="zh-CN"/>
                    </w:rPr>
                    <w:t>99480m</w:t>
                  </w:r>
                  <w:r>
                    <w:rPr>
                      <w:rFonts w:hint="eastAsia" w:ascii="Times New Roman"/>
                      <w:color w:val="auto"/>
                      <w:vertAlign w:val="superscript"/>
                      <w:lang w:val="en-US" w:eastAsia="zh-CN"/>
                    </w:rPr>
                    <w:t>3</w:t>
                  </w:r>
                  <w:r>
                    <w:rPr>
                      <w:rFonts w:hint="eastAsia" w:ascii="Times New Roman" w:hAnsi="Times New Roman" w:eastAsia="宋体"/>
                      <w:color w:val="auto"/>
                      <w:lang w:val="en-US" w:eastAsia="zh-CN"/>
                    </w:rPr>
                    <w:t>/a</w:t>
                  </w:r>
                  <w:r>
                    <w:rPr>
                      <w:rFonts w:hint="eastAsia" w:ascii="Times New Roman"/>
                      <w:color w:val="auto"/>
                      <w:lang w:val="en-US" w:eastAsia="zh-CN"/>
                    </w:rPr>
                    <w:t>，</w:t>
                  </w:r>
                  <w:r>
                    <w:rPr>
                      <w:rFonts w:hint="eastAsia" w:ascii="Times New Roman" w:hAnsi="Times New Roman" w:eastAsia="宋体"/>
                      <w:color w:val="auto"/>
                      <w:lang w:val="en-US" w:eastAsia="zh-CN"/>
                    </w:rPr>
                    <w:t>接管量为：COD</w:t>
                  </w:r>
                  <w:r>
                    <w:rPr>
                      <w:rFonts w:hint="eastAsia" w:ascii="Times New Roman"/>
                      <w:color w:val="auto"/>
                      <w:lang w:val="en-US" w:eastAsia="zh-CN"/>
                    </w:rPr>
                    <w:t>12.954</w:t>
                  </w:r>
                  <w:r>
                    <w:rPr>
                      <w:rFonts w:hint="eastAsia" w:ascii="Times New Roman" w:hAnsi="Times New Roman" w:eastAsia="宋体"/>
                      <w:color w:val="auto"/>
                      <w:lang w:val="en-US" w:eastAsia="zh-CN"/>
                    </w:rPr>
                    <w:t>t/a、NH</w:t>
                  </w:r>
                  <w:r>
                    <w:rPr>
                      <w:rFonts w:hint="eastAsia" w:ascii="Times New Roman" w:hAnsi="Times New Roman" w:eastAsia="宋体"/>
                      <w:color w:val="auto"/>
                      <w:vertAlign w:val="subscript"/>
                      <w:lang w:val="en-US" w:eastAsia="zh-CN"/>
                    </w:rPr>
                    <w:t>3</w:t>
                  </w:r>
                  <w:r>
                    <w:rPr>
                      <w:rFonts w:hint="eastAsia" w:ascii="Times New Roman" w:hAnsi="Times New Roman" w:eastAsia="宋体"/>
                      <w:color w:val="auto"/>
                      <w:lang w:val="en-US" w:eastAsia="zh-CN"/>
                    </w:rPr>
                    <w:t>-N0.192t/a、TN0.945t/a、TP0.081t/a；环境排放量为：COD4.974t/a、NH</w:t>
                  </w:r>
                  <w:r>
                    <w:rPr>
                      <w:rFonts w:hint="eastAsia" w:ascii="Times New Roman" w:hAnsi="Times New Roman" w:eastAsia="宋体"/>
                      <w:color w:val="auto"/>
                      <w:vertAlign w:val="subscript"/>
                      <w:lang w:val="en-US" w:eastAsia="zh-CN"/>
                    </w:rPr>
                    <w:t>3</w:t>
                  </w:r>
                  <w:r>
                    <w:rPr>
                      <w:rFonts w:hint="eastAsia" w:ascii="Times New Roman" w:hAnsi="Times New Roman" w:eastAsia="宋体"/>
                      <w:color w:val="auto"/>
                      <w:lang w:val="en-US" w:eastAsia="zh-CN"/>
                    </w:rPr>
                    <w:t>-N0.192t/a、TN0.945t/a、TP0.05t/a</w:t>
                  </w:r>
                </w:p>
              </w:tc>
              <w:tc>
                <w:tcPr>
                  <w:tcW w:w="366" w:type="pct"/>
                  <w:vMerge w:val="continue"/>
                  <w:tcBorders>
                    <w:tl2br w:val="nil"/>
                    <w:tr2bl w:val="nil"/>
                  </w:tcBorders>
                  <w:vAlign w:val="center"/>
                </w:tcPr>
                <w:p w14:paraId="5B99AEA1">
                  <w:pPr>
                    <w:pStyle w:val="36"/>
                    <w:bidi w:val="0"/>
                    <w:rPr>
                      <w:rFonts w:ascii="Times New Roman" w:hAnsi="Times New Roman" w:eastAsia="宋体"/>
                      <w:color w:val="auto"/>
                      <w:lang w:val="en-US" w:eastAsia="zh-CN"/>
                    </w:rPr>
                  </w:pPr>
                </w:p>
              </w:tc>
            </w:tr>
            <w:tr w14:paraId="572BFA12">
              <w:tc>
                <w:tcPr>
                  <w:tcW w:w="137" w:type="pct"/>
                  <w:vMerge w:val="continue"/>
                  <w:tcBorders>
                    <w:tl2br w:val="nil"/>
                    <w:tr2bl w:val="nil"/>
                  </w:tcBorders>
                  <w:vAlign w:val="center"/>
                </w:tcPr>
                <w:p w14:paraId="7D56DB57">
                  <w:pPr>
                    <w:pStyle w:val="36"/>
                    <w:bidi w:val="0"/>
                    <w:rPr>
                      <w:rFonts w:hint="eastAsia" w:ascii="Times New Roman" w:hAnsi="Times New Roman" w:eastAsia="宋体"/>
                      <w:b w:val="0"/>
                      <w:bCs w:val="0"/>
                      <w:color w:val="auto"/>
                      <w:lang w:val="en-US" w:eastAsia="zh-CN"/>
                    </w:rPr>
                  </w:pPr>
                </w:p>
              </w:tc>
              <w:tc>
                <w:tcPr>
                  <w:tcW w:w="139" w:type="pct"/>
                  <w:vMerge w:val="continue"/>
                  <w:tcBorders>
                    <w:tl2br w:val="nil"/>
                    <w:tr2bl w:val="nil"/>
                  </w:tcBorders>
                  <w:vAlign w:val="center"/>
                </w:tcPr>
                <w:p w14:paraId="2073705D">
                  <w:pPr>
                    <w:pStyle w:val="36"/>
                    <w:bidi w:val="0"/>
                    <w:rPr>
                      <w:rFonts w:hint="eastAsia" w:ascii="Times New Roman" w:hAnsi="Times New Roman" w:eastAsia="宋体"/>
                      <w:b w:val="0"/>
                      <w:bCs w:val="0"/>
                      <w:color w:val="auto"/>
                      <w:lang w:val="en-US" w:eastAsia="zh-CN"/>
                    </w:rPr>
                  </w:pPr>
                </w:p>
              </w:tc>
              <w:tc>
                <w:tcPr>
                  <w:tcW w:w="2143" w:type="pct"/>
                  <w:tcBorders>
                    <w:tl2br w:val="nil"/>
                    <w:tr2bl w:val="nil"/>
                  </w:tcBorders>
                  <w:vAlign w:val="center"/>
                </w:tcPr>
                <w:p w14:paraId="7798F287">
                  <w:pPr>
                    <w:pStyle w:val="36"/>
                    <w:bidi w:val="0"/>
                    <w:jc w:val="both"/>
                    <w:rPr>
                      <w:rFonts w:hint="eastAsia" w:ascii="Times New Roman" w:hAnsi="Times New Roman" w:eastAsia="宋体"/>
                      <w:color w:val="auto"/>
                      <w:lang w:val="en-US" w:eastAsia="zh-CN"/>
                    </w:rPr>
                  </w:pPr>
                  <w:r>
                    <w:rPr>
                      <w:rFonts w:hint="eastAsia" w:ascii="Times New Roman"/>
                      <w:color w:val="auto"/>
                      <w:lang w:val="en-US" w:eastAsia="zh-CN"/>
                    </w:rPr>
                    <w:t>3.</w:t>
                  </w:r>
                  <w:r>
                    <w:rPr>
                      <w:rFonts w:ascii="Times New Roman" w:hAnsi="Times New Roman" w:eastAsia="宋体"/>
                      <w:color w:val="auto"/>
                      <w:lang w:val="en-US" w:eastAsia="zh-CN"/>
                    </w:rPr>
                    <w:t>固体废物：一般工业固废73671.16t/a、危废废物1904.15t/a。全部综合利用或者委外合法安全处置</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不外排。</w:t>
                  </w:r>
                </w:p>
              </w:tc>
              <w:tc>
                <w:tcPr>
                  <w:tcW w:w="2213" w:type="pct"/>
                  <w:tcBorders>
                    <w:tl2br w:val="nil"/>
                    <w:tr2bl w:val="nil"/>
                  </w:tcBorders>
                  <w:vAlign w:val="center"/>
                </w:tcPr>
                <w:p w14:paraId="77104ACE">
                  <w:pPr>
                    <w:pStyle w:val="36"/>
                    <w:bidi w:val="0"/>
                    <w:jc w:val="both"/>
                    <w:rPr>
                      <w:rFonts w:ascii="Times New Roman" w:hAnsi="Times New Roman" w:eastAsia="宋体"/>
                      <w:color w:val="auto"/>
                      <w:lang w:val="en-US" w:eastAsia="zh-CN"/>
                    </w:rPr>
                  </w:pPr>
                  <w:r>
                    <w:rPr>
                      <w:rFonts w:hint="eastAsia" w:ascii="Times New Roman"/>
                      <w:color w:val="auto"/>
                      <w:lang w:val="en-US" w:eastAsia="zh-CN"/>
                    </w:rPr>
                    <w:t>本项目固体废物</w:t>
                  </w:r>
                  <w:r>
                    <w:rPr>
                      <w:rFonts w:ascii="Times New Roman" w:hAnsi="Times New Roman" w:eastAsia="宋体"/>
                      <w:color w:val="auto"/>
                      <w:lang w:val="en-US" w:eastAsia="zh-CN"/>
                    </w:rPr>
                    <w:t>全部综合利用或者委外合法安全处置</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不外排。</w:t>
                  </w:r>
                </w:p>
              </w:tc>
              <w:tc>
                <w:tcPr>
                  <w:tcW w:w="366" w:type="pct"/>
                  <w:vMerge w:val="continue"/>
                  <w:tcBorders>
                    <w:tl2br w:val="nil"/>
                    <w:tr2bl w:val="nil"/>
                  </w:tcBorders>
                  <w:vAlign w:val="center"/>
                </w:tcPr>
                <w:p w14:paraId="319AC2B3">
                  <w:pPr>
                    <w:pStyle w:val="36"/>
                    <w:bidi w:val="0"/>
                    <w:rPr>
                      <w:rFonts w:ascii="Times New Roman" w:hAnsi="Times New Roman" w:eastAsia="宋体"/>
                      <w:color w:val="auto"/>
                      <w:lang w:val="en-US" w:eastAsia="zh-CN"/>
                    </w:rPr>
                  </w:pPr>
                </w:p>
              </w:tc>
            </w:tr>
            <w:tr w14:paraId="52071A57">
              <w:tc>
                <w:tcPr>
                  <w:tcW w:w="137" w:type="pct"/>
                  <w:vMerge w:val="continue"/>
                  <w:tcBorders>
                    <w:tl2br w:val="nil"/>
                    <w:tr2bl w:val="nil"/>
                  </w:tcBorders>
                  <w:vAlign w:val="center"/>
                </w:tcPr>
                <w:p w14:paraId="0DF3D9E7">
                  <w:pPr>
                    <w:pStyle w:val="36"/>
                    <w:bidi w:val="0"/>
                    <w:rPr>
                      <w:rFonts w:hint="eastAsia" w:ascii="Times New Roman" w:hAnsi="Times New Roman" w:eastAsia="宋体"/>
                      <w:b w:val="0"/>
                      <w:bCs w:val="0"/>
                      <w:color w:val="auto"/>
                      <w:lang w:val="en-US" w:eastAsia="zh-CN"/>
                    </w:rPr>
                  </w:pPr>
                </w:p>
              </w:tc>
              <w:tc>
                <w:tcPr>
                  <w:tcW w:w="139" w:type="pct"/>
                  <w:vMerge w:val="continue"/>
                  <w:tcBorders>
                    <w:tl2br w:val="nil"/>
                    <w:tr2bl w:val="nil"/>
                  </w:tcBorders>
                  <w:vAlign w:val="center"/>
                </w:tcPr>
                <w:p w14:paraId="74AD62C1">
                  <w:pPr>
                    <w:pStyle w:val="36"/>
                    <w:bidi w:val="0"/>
                    <w:rPr>
                      <w:rFonts w:hint="eastAsia" w:ascii="Times New Roman" w:hAnsi="Times New Roman" w:eastAsia="宋体"/>
                      <w:b w:val="0"/>
                      <w:bCs w:val="0"/>
                      <w:color w:val="auto"/>
                      <w:lang w:val="en-US" w:eastAsia="zh-CN"/>
                    </w:rPr>
                  </w:pPr>
                </w:p>
              </w:tc>
              <w:tc>
                <w:tcPr>
                  <w:tcW w:w="2143" w:type="pct"/>
                  <w:tcBorders>
                    <w:tl2br w:val="nil"/>
                    <w:tr2bl w:val="nil"/>
                  </w:tcBorders>
                  <w:vAlign w:val="center"/>
                </w:tcPr>
                <w:p w14:paraId="17E99C5C">
                  <w:pPr>
                    <w:pStyle w:val="36"/>
                    <w:bidi w:val="0"/>
                    <w:jc w:val="both"/>
                    <w:rPr>
                      <w:rFonts w:hint="eastAsia" w:ascii="Times New Roman" w:hAnsi="Times New Roman" w:eastAsia="宋体"/>
                      <w:color w:val="auto"/>
                      <w:lang w:val="en-US" w:eastAsia="zh-CN"/>
                    </w:rPr>
                  </w:pPr>
                  <w:r>
                    <w:rPr>
                      <w:rFonts w:hint="eastAsia" w:ascii="Times New Roman"/>
                      <w:color w:val="auto"/>
                      <w:lang w:val="en-US" w:eastAsia="zh-CN"/>
                    </w:rPr>
                    <w:t>4.</w:t>
                  </w:r>
                  <w:r>
                    <w:rPr>
                      <w:rFonts w:ascii="Times New Roman" w:hAnsi="Times New Roman" w:eastAsia="宋体"/>
                      <w:color w:val="auto"/>
                      <w:lang w:val="en-US" w:eastAsia="zh-CN"/>
                    </w:rPr>
                    <w:t>产生危险废物及一般固体废物的企事业单位</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在贮存、转移、利用固体废物</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含危险废物</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过程中</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应配套防扬散、防流失、防渗漏及其他防止污染环境的措施。</w:t>
                  </w:r>
                </w:p>
              </w:tc>
              <w:tc>
                <w:tcPr>
                  <w:tcW w:w="2213" w:type="pct"/>
                  <w:tcBorders>
                    <w:tl2br w:val="nil"/>
                    <w:tr2bl w:val="nil"/>
                  </w:tcBorders>
                  <w:vAlign w:val="center"/>
                </w:tcPr>
                <w:p w14:paraId="06EE0FD0">
                  <w:pPr>
                    <w:pStyle w:val="36"/>
                    <w:bidi w:val="0"/>
                    <w:jc w:val="both"/>
                    <w:rPr>
                      <w:rFonts w:ascii="Times New Roman" w:hAnsi="Times New Roman" w:eastAsia="宋体"/>
                      <w:color w:val="auto"/>
                      <w:lang w:val="en-US" w:eastAsia="zh-CN"/>
                    </w:rPr>
                  </w:pPr>
                  <w:r>
                    <w:rPr>
                      <w:rFonts w:hint="eastAsia" w:ascii="Times New Roman" w:hAnsi="Times New Roman" w:eastAsia="宋体"/>
                      <w:color w:val="auto"/>
                      <w:lang w:val="en-US" w:eastAsia="zh-CN"/>
                    </w:rPr>
                    <w:t>本项目设置一般固废库和</w:t>
                  </w:r>
                  <w:r>
                    <w:rPr>
                      <w:rFonts w:hint="eastAsia" w:ascii="Times New Roman"/>
                      <w:color w:val="auto"/>
                      <w:lang w:val="en-US" w:eastAsia="zh-CN"/>
                    </w:rPr>
                    <w:t>危废贮存库</w:t>
                  </w:r>
                  <w:r>
                    <w:rPr>
                      <w:rFonts w:hint="eastAsia" w:ascii="Times New Roman" w:hAnsi="Times New Roman" w:eastAsia="宋体"/>
                      <w:color w:val="auto"/>
                      <w:lang w:val="en-US" w:eastAsia="zh-CN"/>
                    </w:rPr>
                    <w:t>，固体废物全部合理处置，可以实现零排放。</w:t>
                  </w:r>
                </w:p>
              </w:tc>
              <w:tc>
                <w:tcPr>
                  <w:tcW w:w="366" w:type="pct"/>
                  <w:vMerge w:val="continue"/>
                  <w:tcBorders>
                    <w:tl2br w:val="nil"/>
                    <w:tr2bl w:val="nil"/>
                  </w:tcBorders>
                  <w:vAlign w:val="center"/>
                </w:tcPr>
                <w:p w14:paraId="3830BDC5">
                  <w:pPr>
                    <w:pStyle w:val="36"/>
                    <w:bidi w:val="0"/>
                    <w:rPr>
                      <w:rFonts w:ascii="Times New Roman" w:hAnsi="Times New Roman" w:eastAsia="宋体"/>
                      <w:color w:val="auto"/>
                      <w:lang w:val="en-US" w:eastAsia="zh-CN"/>
                    </w:rPr>
                  </w:pPr>
                </w:p>
              </w:tc>
            </w:tr>
            <w:tr w14:paraId="54CC3B0A">
              <w:tc>
                <w:tcPr>
                  <w:tcW w:w="276" w:type="pct"/>
                  <w:gridSpan w:val="2"/>
                  <w:vMerge w:val="restart"/>
                  <w:tcBorders>
                    <w:tl2br w:val="nil"/>
                    <w:tr2bl w:val="nil"/>
                  </w:tcBorders>
                  <w:vAlign w:val="center"/>
                </w:tcPr>
                <w:p w14:paraId="2E4ABD9D">
                  <w:pPr>
                    <w:pStyle w:val="36"/>
                    <w:bidi w:val="0"/>
                    <w:rPr>
                      <w:rFonts w:hint="default" w:ascii="Times New Roman" w:hAnsi="Times New Roman" w:eastAsia="宋体"/>
                      <w:b w:val="0"/>
                      <w:bCs w:val="0"/>
                      <w:color w:val="auto"/>
                      <w:lang w:val="en-US" w:eastAsia="zh-CN"/>
                    </w:rPr>
                  </w:pPr>
                  <w:r>
                    <w:rPr>
                      <w:rFonts w:hint="eastAsia" w:ascii="Times New Roman" w:hAnsi="Times New Roman" w:eastAsia="宋体"/>
                      <w:b w:val="0"/>
                      <w:bCs w:val="0"/>
                      <w:color w:val="auto"/>
                      <w:lang w:val="en-US" w:eastAsia="zh-CN"/>
                    </w:rPr>
                    <w:t>环境风险防控</w:t>
                  </w:r>
                </w:p>
              </w:tc>
              <w:tc>
                <w:tcPr>
                  <w:tcW w:w="2143" w:type="pct"/>
                  <w:tcBorders>
                    <w:tl2br w:val="nil"/>
                    <w:tr2bl w:val="nil"/>
                  </w:tcBorders>
                  <w:vAlign w:val="center"/>
                </w:tcPr>
                <w:p w14:paraId="047E4053">
                  <w:pPr>
                    <w:pStyle w:val="36"/>
                    <w:bidi w:val="0"/>
                    <w:jc w:val="both"/>
                    <w:rPr>
                      <w:rFonts w:hint="eastAsia" w:ascii="Times New Roman" w:hAnsi="Times New Roman" w:eastAsia="宋体"/>
                      <w:color w:val="auto"/>
                      <w:lang w:val="en-US" w:eastAsia="zh-CN"/>
                    </w:rPr>
                  </w:pPr>
                  <w:r>
                    <w:rPr>
                      <w:rFonts w:hint="eastAsia" w:ascii="Times New Roman"/>
                      <w:color w:val="auto"/>
                      <w:lang w:val="en-US" w:eastAsia="zh-CN"/>
                    </w:rPr>
                    <w:t>1.</w:t>
                  </w:r>
                  <w:r>
                    <w:rPr>
                      <w:rFonts w:ascii="Times New Roman" w:hAnsi="Times New Roman" w:eastAsia="宋体"/>
                      <w:color w:val="auto"/>
                      <w:lang w:val="en-US" w:eastAsia="zh-CN"/>
                    </w:rPr>
                    <w:t>开发区应定期编制环境风险评估报告和应急预案；对于涉及易导致环境风险的有毒有害和易燃易爆物质的生产、使用、排放、贮存的企业</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必须编制环境风险应急预案和风险评估报告并备案</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严格按要求完善环境风险防范措施</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定期开展演练。</w:t>
                  </w:r>
                </w:p>
              </w:tc>
              <w:tc>
                <w:tcPr>
                  <w:tcW w:w="2213" w:type="pct"/>
                  <w:tcBorders>
                    <w:tl2br w:val="nil"/>
                    <w:tr2bl w:val="nil"/>
                  </w:tcBorders>
                  <w:vAlign w:val="center"/>
                </w:tcPr>
                <w:p w14:paraId="07DD0245">
                  <w:pPr>
                    <w:pStyle w:val="36"/>
                    <w:bidi w:val="0"/>
                    <w:jc w:val="both"/>
                    <w:rPr>
                      <w:rFonts w:hint="default" w:ascii="Times New Roman" w:hAnsi="Times New Roman" w:eastAsia="宋体"/>
                      <w:color w:val="auto"/>
                      <w:lang w:val="en-US" w:eastAsia="zh-CN"/>
                    </w:rPr>
                  </w:pPr>
                  <w:r>
                    <w:rPr>
                      <w:rFonts w:ascii="Times New Roman" w:hAnsi="Times New Roman" w:eastAsia="宋体"/>
                      <w:color w:val="auto"/>
                      <w:lang w:val="en-US" w:eastAsia="zh-CN"/>
                    </w:rPr>
                    <w:t>本项目将制定环境风险应急预案</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建立完善的环境应急措施</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并将应急装备和储备物资纳入储备体系</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积极响应市、县、乡突发环境事件应急响应体系</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并积极参加定期组织的演练</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从而提高应急处置能力。</w:t>
                  </w:r>
                </w:p>
              </w:tc>
              <w:tc>
                <w:tcPr>
                  <w:tcW w:w="366" w:type="pct"/>
                  <w:vMerge w:val="restart"/>
                  <w:tcBorders>
                    <w:tl2br w:val="nil"/>
                    <w:tr2bl w:val="nil"/>
                  </w:tcBorders>
                  <w:vAlign w:val="center"/>
                </w:tcPr>
                <w:p w14:paraId="6CB28077">
                  <w:pPr>
                    <w:pStyle w:val="36"/>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符合</w:t>
                  </w:r>
                </w:p>
              </w:tc>
            </w:tr>
            <w:tr w14:paraId="5A2A7911">
              <w:tc>
                <w:tcPr>
                  <w:tcW w:w="276" w:type="pct"/>
                  <w:gridSpan w:val="2"/>
                  <w:vMerge w:val="continue"/>
                  <w:tcBorders>
                    <w:tl2br w:val="nil"/>
                    <w:tr2bl w:val="nil"/>
                  </w:tcBorders>
                  <w:vAlign w:val="center"/>
                </w:tcPr>
                <w:p w14:paraId="3C11D146">
                  <w:pPr>
                    <w:pStyle w:val="36"/>
                    <w:bidi w:val="0"/>
                    <w:rPr>
                      <w:rFonts w:hint="eastAsia" w:ascii="Times New Roman" w:hAnsi="Times New Roman" w:eastAsia="宋体"/>
                      <w:b w:val="0"/>
                      <w:bCs w:val="0"/>
                      <w:color w:val="auto"/>
                      <w:lang w:val="en-US" w:eastAsia="zh-CN"/>
                    </w:rPr>
                  </w:pPr>
                </w:p>
              </w:tc>
              <w:tc>
                <w:tcPr>
                  <w:tcW w:w="2143" w:type="pct"/>
                  <w:tcBorders>
                    <w:tl2br w:val="nil"/>
                    <w:tr2bl w:val="nil"/>
                  </w:tcBorders>
                  <w:vAlign w:val="center"/>
                </w:tcPr>
                <w:p w14:paraId="32BCA531">
                  <w:pPr>
                    <w:pStyle w:val="36"/>
                    <w:bidi w:val="0"/>
                    <w:jc w:val="both"/>
                    <w:rPr>
                      <w:rFonts w:hint="eastAsia" w:ascii="Times New Roman" w:hAnsi="Times New Roman" w:eastAsia="宋体"/>
                      <w:color w:val="auto"/>
                      <w:lang w:val="en-US" w:eastAsia="zh-CN"/>
                    </w:rPr>
                  </w:pPr>
                  <w:r>
                    <w:rPr>
                      <w:rFonts w:hint="eastAsia" w:ascii="Times New Roman"/>
                      <w:color w:val="auto"/>
                      <w:lang w:val="en-US" w:eastAsia="zh-CN"/>
                    </w:rPr>
                    <w:t>2.</w:t>
                  </w:r>
                  <w:r>
                    <w:rPr>
                      <w:rFonts w:ascii="Times New Roman" w:hAnsi="Times New Roman" w:eastAsia="宋体"/>
                      <w:color w:val="auto"/>
                      <w:lang w:val="en-US" w:eastAsia="zh-CN"/>
                    </w:rPr>
                    <w:t>企业事业单位拆除设施、设备或者建筑物、构筑物的</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应当采取相应的土壤污染防治措施。土壤污染重点监管单位拆除设施、设备或者建筑物、构筑物的</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应当制定包括应急措施在内的土壤污染防治工作方案</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报地方人民政府生态环境、工业和信息化主管部门备案并实施。</w:t>
                  </w:r>
                </w:p>
              </w:tc>
              <w:tc>
                <w:tcPr>
                  <w:tcW w:w="2213" w:type="pct"/>
                  <w:tcBorders>
                    <w:tl2br w:val="nil"/>
                    <w:tr2bl w:val="nil"/>
                  </w:tcBorders>
                  <w:vAlign w:val="center"/>
                </w:tcPr>
                <w:p w14:paraId="04906A0C">
                  <w:pPr>
                    <w:pStyle w:val="36"/>
                    <w:bidi w:val="0"/>
                    <w:jc w:val="both"/>
                    <w:rPr>
                      <w:rFonts w:ascii="Times New Roman" w:hAnsi="Times New Roman" w:eastAsia="宋体"/>
                      <w:color w:val="auto"/>
                      <w:lang w:val="en-US" w:eastAsia="zh-CN"/>
                    </w:rPr>
                  </w:pPr>
                  <w:r>
                    <w:rPr>
                      <w:rFonts w:hint="eastAsia" w:ascii="Times New Roman" w:hAnsi="Times New Roman" w:eastAsia="宋体"/>
                      <w:color w:val="auto"/>
                      <w:lang w:val="en-US" w:eastAsia="zh-CN"/>
                    </w:rPr>
                    <w:t>本项目不涉及拆除工程。</w:t>
                  </w:r>
                </w:p>
              </w:tc>
              <w:tc>
                <w:tcPr>
                  <w:tcW w:w="366" w:type="pct"/>
                  <w:vMerge w:val="continue"/>
                  <w:tcBorders>
                    <w:tl2br w:val="nil"/>
                    <w:tr2bl w:val="nil"/>
                  </w:tcBorders>
                  <w:vAlign w:val="center"/>
                </w:tcPr>
                <w:p w14:paraId="578307D4">
                  <w:pPr>
                    <w:pStyle w:val="36"/>
                    <w:bidi w:val="0"/>
                    <w:rPr>
                      <w:rFonts w:ascii="Times New Roman" w:hAnsi="Times New Roman" w:eastAsia="宋体"/>
                      <w:color w:val="auto"/>
                      <w:lang w:val="en-US" w:eastAsia="zh-CN"/>
                    </w:rPr>
                  </w:pPr>
                </w:p>
              </w:tc>
            </w:tr>
            <w:tr w14:paraId="7A83927A">
              <w:tc>
                <w:tcPr>
                  <w:tcW w:w="276" w:type="pct"/>
                  <w:gridSpan w:val="2"/>
                  <w:vMerge w:val="restart"/>
                  <w:tcBorders>
                    <w:tl2br w:val="nil"/>
                    <w:tr2bl w:val="nil"/>
                  </w:tcBorders>
                  <w:vAlign w:val="center"/>
                </w:tcPr>
                <w:p w14:paraId="0CBD22F4">
                  <w:pPr>
                    <w:pStyle w:val="36"/>
                    <w:bidi w:val="0"/>
                    <w:rPr>
                      <w:rFonts w:hint="default" w:ascii="Times New Roman" w:hAnsi="Times New Roman" w:eastAsia="宋体"/>
                      <w:b w:val="0"/>
                      <w:bCs w:val="0"/>
                      <w:color w:val="auto"/>
                      <w:lang w:val="en-US" w:eastAsia="zh-CN"/>
                    </w:rPr>
                  </w:pPr>
                  <w:r>
                    <w:rPr>
                      <w:rFonts w:hint="eastAsia" w:ascii="Times New Roman" w:hAnsi="Times New Roman" w:eastAsia="宋体"/>
                      <w:b w:val="0"/>
                      <w:bCs w:val="0"/>
                      <w:color w:val="auto"/>
                      <w:lang w:val="en-US" w:eastAsia="zh-CN"/>
                    </w:rPr>
                    <w:t>资源开发利用</w:t>
                  </w:r>
                </w:p>
              </w:tc>
              <w:tc>
                <w:tcPr>
                  <w:tcW w:w="2143" w:type="pct"/>
                  <w:tcBorders>
                    <w:tl2br w:val="nil"/>
                    <w:tr2bl w:val="nil"/>
                  </w:tcBorders>
                  <w:vAlign w:val="center"/>
                </w:tcPr>
                <w:p w14:paraId="56C21120">
                  <w:pPr>
                    <w:pStyle w:val="36"/>
                    <w:bidi w:val="0"/>
                    <w:jc w:val="both"/>
                    <w:rPr>
                      <w:rFonts w:hint="eastAsia" w:ascii="Times New Roman" w:hAnsi="Times New Roman" w:eastAsia="宋体"/>
                      <w:color w:val="auto"/>
                      <w:lang w:val="en-US" w:eastAsia="zh-CN"/>
                    </w:rPr>
                  </w:pPr>
                  <w:r>
                    <w:rPr>
                      <w:rFonts w:hint="eastAsia" w:ascii="Times New Roman"/>
                      <w:color w:val="auto"/>
                      <w:lang w:val="en-US" w:eastAsia="zh-CN"/>
                    </w:rPr>
                    <w:t>1.</w:t>
                  </w:r>
                  <w:r>
                    <w:rPr>
                      <w:rFonts w:ascii="Times New Roman" w:hAnsi="Times New Roman" w:eastAsia="宋体"/>
                      <w:color w:val="auto"/>
                      <w:lang w:val="en-US" w:eastAsia="zh-CN"/>
                    </w:rPr>
                    <w:t>到2035年</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建设用地上限≤1387.44公顷；工业用地上限≤638.81公顷。</w:t>
                  </w:r>
                </w:p>
              </w:tc>
              <w:tc>
                <w:tcPr>
                  <w:tcW w:w="2213" w:type="pct"/>
                  <w:tcBorders>
                    <w:tl2br w:val="nil"/>
                    <w:tr2bl w:val="nil"/>
                  </w:tcBorders>
                  <w:vAlign w:val="center"/>
                </w:tcPr>
                <w:p w14:paraId="46D0F3BA">
                  <w:pPr>
                    <w:pStyle w:val="36"/>
                    <w:bidi w:val="0"/>
                    <w:jc w:val="both"/>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本项目</w:t>
                  </w:r>
                  <w:r>
                    <w:rPr>
                      <w:rFonts w:hint="eastAsia" w:ascii="Times New Roman"/>
                      <w:color w:val="auto"/>
                      <w:lang w:val="en-US" w:eastAsia="zh-CN"/>
                    </w:rPr>
                    <w:t>属于江苏</w:t>
                  </w:r>
                  <w:r>
                    <w:rPr>
                      <w:rFonts w:hint="eastAsia" w:ascii="Times New Roman" w:hAnsi="Times New Roman" w:eastAsia="宋体"/>
                      <w:color w:val="auto"/>
                      <w:lang w:val="en-US" w:eastAsia="zh-CN"/>
                    </w:rPr>
                    <w:t>涟水经济开发区</w:t>
                  </w:r>
                  <w:r>
                    <w:rPr>
                      <w:rFonts w:hint="eastAsia" w:ascii="Times New Roman"/>
                      <w:color w:val="auto"/>
                      <w:lang w:val="en-US" w:eastAsia="zh-CN"/>
                    </w:rPr>
                    <w:t>内工业用地。</w:t>
                  </w:r>
                </w:p>
              </w:tc>
              <w:tc>
                <w:tcPr>
                  <w:tcW w:w="366" w:type="pct"/>
                  <w:vMerge w:val="restart"/>
                  <w:tcBorders>
                    <w:tl2br w:val="nil"/>
                    <w:tr2bl w:val="nil"/>
                  </w:tcBorders>
                  <w:vAlign w:val="center"/>
                </w:tcPr>
                <w:p w14:paraId="1E38861C">
                  <w:pPr>
                    <w:pStyle w:val="36"/>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符合</w:t>
                  </w:r>
                </w:p>
              </w:tc>
            </w:tr>
            <w:tr w14:paraId="75906054">
              <w:tc>
                <w:tcPr>
                  <w:tcW w:w="276" w:type="pct"/>
                  <w:gridSpan w:val="2"/>
                  <w:vMerge w:val="continue"/>
                  <w:tcBorders>
                    <w:tl2br w:val="nil"/>
                    <w:tr2bl w:val="nil"/>
                  </w:tcBorders>
                  <w:vAlign w:val="center"/>
                </w:tcPr>
                <w:p w14:paraId="090E6C38">
                  <w:pPr>
                    <w:pStyle w:val="36"/>
                    <w:bidi w:val="0"/>
                    <w:rPr>
                      <w:rFonts w:hint="eastAsia" w:ascii="Times New Roman" w:hAnsi="Times New Roman" w:eastAsia="宋体"/>
                      <w:color w:val="auto"/>
                      <w:lang w:val="en-US" w:eastAsia="zh-CN"/>
                    </w:rPr>
                  </w:pPr>
                </w:p>
              </w:tc>
              <w:tc>
                <w:tcPr>
                  <w:tcW w:w="2143" w:type="pct"/>
                  <w:tcBorders>
                    <w:tl2br w:val="nil"/>
                    <w:tr2bl w:val="nil"/>
                  </w:tcBorders>
                  <w:vAlign w:val="center"/>
                </w:tcPr>
                <w:p w14:paraId="3E2021E8">
                  <w:pPr>
                    <w:pStyle w:val="36"/>
                    <w:bidi w:val="0"/>
                    <w:jc w:val="both"/>
                    <w:rPr>
                      <w:rFonts w:hint="eastAsia" w:ascii="Times New Roman" w:hAnsi="Times New Roman" w:eastAsia="宋体"/>
                      <w:color w:val="auto"/>
                      <w:lang w:val="en-US" w:eastAsia="zh-CN"/>
                    </w:rPr>
                  </w:pPr>
                  <w:r>
                    <w:rPr>
                      <w:rFonts w:hint="eastAsia" w:ascii="Times New Roman"/>
                      <w:color w:val="auto"/>
                      <w:lang w:val="en-US" w:eastAsia="zh-CN"/>
                    </w:rPr>
                    <w:t>2.</w:t>
                  </w:r>
                  <w:r>
                    <w:rPr>
                      <w:rFonts w:ascii="Times New Roman" w:hAnsi="Times New Roman" w:eastAsia="宋体"/>
                      <w:color w:val="auto"/>
                      <w:lang w:val="en-US" w:eastAsia="zh-CN"/>
                    </w:rPr>
                    <w:t>到2035年</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单位工业增加值新鲜水耗≤3.0吨/万元。禁止开采利用地下水。</w:t>
                  </w:r>
                </w:p>
              </w:tc>
              <w:tc>
                <w:tcPr>
                  <w:tcW w:w="2213" w:type="pct"/>
                  <w:tcBorders>
                    <w:tl2br w:val="nil"/>
                    <w:tr2bl w:val="nil"/>
                  </w:tcBorders>
                  <w:vAlign w:val="center"/>
                </w:tcPr>
                <w:p w14:paraId="38F8633F">
                  <w:pPr>
                    <w:pStyle w:val="36"/>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本项目</w:t>
                  </w:r>
                  <w:r>
                    <w:rPr>
                      <w:rFonts w:ascii="Times New Roman" w:hAnsi="Times New Roman" w:eastAsia="宋体"/>
                      <w:color w:val="auto"/>
                      <w:lang w:val="en-US" w:eastAsia="zh-CN"/>
                    </w:rPr>
                    <w:t>单位工业增加值新鲜水耗</w:t>
                  </w:r>
                  <w:r>
                    <w:rPr>
                      <w:rFonts w:hint="eastAsia" w:ascii="Times New Roman"/>
                      <w:color w:val="auto"/>
                      <w:lang w:val="en-US" w:eastAsia="zh-CN"/>
                    </w:rPr>
                    <w:t>约为0.12</w:t>
                  </w:r>
                  <w:r>
                    <w:rPr>
                      <w:rFonts w:ascii="Times New Roman" w:hAnsi="Times New Roman" w:eastAsia="宋体"/>
                      <w:color w:val="auto"/>
                      <w:lang w:val="en-US" w:eastAsia="zh-CN"/>
                    </w:rPr>
                    <w:t>吨/万元</w:t>
                  </w:r>
                  <w:r>
                    <w:rPr>
                      <w:rFonts w:hint="eastAsia" w:ascii="Times New Roman"/>
                      <w:color w:val="auto"/>
                      <w:lang w:val="en-US" w:eastAsia="zh-CN"/>
                    </w:rPr>
                    <w:t>，不涉及地下水开采。</w:t>
                  </w:r>
                </w:p>
              </w:tc>
              <w:tc>
                <w:tcPr>
                  <w:tcW w:w="366" w:type="pct"/>
                  <w:vMerge w:val="continue"/>
                  <w:tcBorders>
                    <w:tl2br w:val="nil"/>
                    <w:tr2bl w:val="nil"/>
                  </w:tcBorders>
                  <w:vAlign w:val="center"/>
                </w:tcPr>
                <w:p w14:paraId="099487EB">
                  <w:pPr>
                    <w:pStyle w:val="36"/>
                    <w:bidi w:val="0"/>
                    <w:rPr>
                      <w:rFonts w:ascii="Times New Roman" w:hAnsi="Times New Roman" w:eastAsia="宋体"/>
                      <w:color w:val="auto"/>
                      <w:lang w:val="en-US" w:eastAsia="zh-CN"/>
                    </w:rPr>
                  </w:pPr>
                </w:p>
              </w:tc>
            </w:tr>
            <w:tr w14:paraId="50B80D08">
              <w:tc>
                <w:tcPr>
                  <w:tcW w:w="276" w:type="pct"/>
                  <w:gridSpan w:val="2"/>
                  <w:vMerge w:val="continue"/>
                  <w:tcBorders>
                    <w:tl2br w:val="nil"/>
                    <w:tr2bl w:val="nil"/>
                  </w:tcBorders>
                  <w:vAlign w:val="center"/>
                </w:tcPr>
                <w:p w14:paraId="630DE77A">
                  <w:pPr>
                    <w:pStyle w:val="36"/>
                    <w:bidi w:val="0"/>
                    <w:rPr>
                      <w:rFonts w:hint="eastAsia" w:ascii="Times New Roman" w:hAnsi="Times New Roman" w:eastAsia="宋体"/>
                      <w:color w:val="auto"/>
                      <w:lang w:val="en-US" w:eastAsia="zh-CN"/>
                    </w:rPr>
                  </w:pPr>
                </w:p>
              </w:tc>
              <w:tc>
                <w:tcPr>
                  <w:tcW w:w="2143" w:type="pct"/>
                  <w:tcBorders>
                    <w:tl2br w:val="nil"/>
                    <w:tr2bl w:val="nil"/>
                  </w:tcBorders>
                  <w:vAlign w:val="center"/>
                </w:tcPr>
                <w:p w14:paraId="70559E98">
                  <w:pPr>
                    <w:pStyle w:val="36"/>
                    <w:bidi w:val="0"/>
                    <w:jc w:val="both"/>
                    <w:rPr>
                      <w:rFonts w:hint="eastAsia" w:ascii="Times New Roman" w:hAnsi="Times New Roman" w:eastAsia="宋体"/>
                      <w:color w:val="auto"/>
                      <w:lang w:val="en-US" w:eastAsia="zh-CN"/>
                    </w:rPr>
                  </w:pPr>
                  <w:r>
                    <w:rPr>
                      <w:rFonts w:hint="eastAsia" w:ascii="Times New Roman"/>
                      <w:color w:val="auto"/>
                      <w:lang w:val="en-US" w:eastAsia="zh-CN"/>
                    </w:rPr>
                    <w:t>3.</w:t>
                  </w:r>
                  <w:r>
                    <w:rPr>
                      <w:rFonts w:ascii="Times New Roman" w:hAnsi="Times New Roman" w:eastAsia="宋体"/>
                      <w:color w:val="auto"/>
                      <w:lang w:val="en-US" w:eastAsia="zh-CN"/>
                    </w:rPr>
                    <w:t>加强再生水回用工程建设</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西区污水处理厂回用率不低于25%。</w:t>
                  </w:r>
                </w:p>
              </w:tc>
              <w:tc>
                <w:tcPr>
                  <w:tcW w:w="2213" w:type="pct"/>
                  <w:tcBorders>
                    <w:tl2br w:val="nil"/>
                    <w:tr2bl w:val="nil"/>
                  </w:tcBorders>
                  <w:vAlign w:val="center"/>
                </w:tcPr>
                <w:p w14:paraId="2825BB82">
                  <w:pPr>
                    <w:pStyle w:val="36"/>
                    <w:bidi w:val="0"/>
                    <w:rPr>
                      <w:rFonts w:hint="default" w:ascii="Times New Roman" w:hAnsi="Times New Roman" w:eastAsia="宋体"/>
                      <w:color w:val="auto"/>
                      <w:lang w:val="en-US" w:eastAsia="zh-CN"/>
                    </w:rPr>
                  </w:pPr>
                  <w:r>
                    <w:rPr>
                      <w:rFonts w:hint="eastAsia" w:ascii="Times New Roman"/>
                      <w:color w:val="auto"/>
                      <w:lang w:val="en-US" w:eastAsia="zh-CN"/>
                    </w:rPr>
                    <w:t>本项目不涉及</w:t>
                  </w:r>
                  <w:r>
                    <w:rPr>
                      <w:rFonts w:hint="eastAsia" w:ascii="Times New Roman" w:hAnsi="Times New Roman" w:eastAsia="宋体"/>
                      <w:color w:val="auto"/>
                      <w:lang w:val="en-US" w:eastAsia="zh-CN"/>
                    </w:rPr>
                    <w:t>再生水回用工程建设</w:t>
                  </w:r>
                  <w:r>
                    <w:rPr>
                      <w:rFonts w:hint="eastAsia" w:ascii="Times New Roman"/>
                      <w:color w:val="auto"/>
                      <w:lang w:val="en-US" w:eastAsia="zh-CN"/>
                    </w:rPr>
                    <w:t>。</w:t>
                  </w:r>
                </w:p>
              </w:tc>
              <w:tc>
                <w:tcPr>
                  <w:tcW w:w="366" w:type="pct"/>
                  <w:vMerge w:val="continue"/>
                  <w:tcBorders>
                    <w:tl2br w:val="nil"/>
                    <w:tr2bl w:val="nil"/>
                  </w:tcBorders>
                  <w:vAlign w:val="center"/>
                </w:tcPr>
                <w:p w14:paraId="7151D928">
                  <w:pPr>
                    <w:pStyle w:val="36"/>
                    <w:bidi w:val="0"/>
                    <w:rPr>
                      <w:rFonts w:ascii="Times New Roman" w:hAnsi="Times New Roman" w:eastAsia="宋体"/>
                      <w:color w:val="auto"/>
                      <w:lang w:val="en-US" w:eastAsia="zh-CN"/>
                    </w:rPr>
                  </w:pPr>
                </w:p>
              </w:tc>
            </w:tr>
            <w:tr w14:paraId="7A48A653">
              <w:tc>
                <w:tcPr>
                  <w:tcW w:w="276" w:type="pct"/>
                  <w:gridSpan w:val="2"/>
                  <w:vMerge w:val="continue"/>
                  <w:tcBorders>
                    <w:tl2br w:val="nil"/>
                    <w:tr2bl w:val="nil"/>
                  </w:tcBorders>
                  <w:vAlign w:val="center"/>
                </w:tcPr>
                <w:p w14:paraId="1A3AEADA">
                  <w:pPr>
                    <w:pStyle w:val="36"/>
                    <w:bidi w:val="0"/>
                    <w:rPr>
                      <w:rFonts w:hint="eastAsia" w:ascii="Times New Roman" w:hAnsi="Times New Roman" w:eastAsia="宋体"/>
                      <w:color w:val="auto"/>
                      <w:lang w:val="en-US" w:eastAsia="zh-CN"/>
                    </w:rPr>
                  </w:pPr>
                </w:p>
              </w:tc>
              <w:tc>
                <w:tcPr>
                  <w:tcW w:w="2143" w:type="pct"/>
                  <w:tcBorders>
                    <w:tl2br w:val="nil"/>
                    <w:tr2bl w:val="nil"/>
                  </w:tcBorders>
                  <w:vAlign w:val="center"/>
                </w:tcPr>
                <w:p w14:paraId="004474F6">
                  <w:pPr>
                    <w:pStyle w:val="36"/>
                    <w:bidi w:val="0"/>
                    <w:jc w:val="both"/>
                    <w:rPr>
                      <w:rFonts w:hint="eastAsia" w:ascii="Times New Roman" w:hAnsi="Times New Roman" w:eastAsia="宋体"/>
                      <w:color w:val="auto"/>
                      <w:lang w:val="en-US" w:eastAsia="zh-CN"/>
                    </w:rPr>
                  </w:pPr>
                  <w:r>
                    <w:rPr>
                      <w:rFonts w:hint="eastAsia" w:ascii="Times New Roman"/>
                      <w:color w:val="auto"/>
                      <w:lang w:val="en-US" w:eastAsia="zh-CN"/>
                    </w:rPr>
                    <w:t>4.</w:t>
                  </w:r>
                  <w:r>
                    <w:rPr>
                      <w:rFonts w:ascii="Times New Roman" w:hAnsi="Times New Roman" w:eastAsia="宋体"/>
                      <w:color w:val="auto"/>
                      <w:lang w:val="en-US" w:eastAsia="zh-CN"/>
                    </w:rPr>
                    <w:t>到2035年</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单位工业增加值综合能耗≤0.24吨标煤/万元。禁止建设使用燃煤、重油等重污染燃料的项目。</w:t>
                  </w:r>
                </w:p>
              </w:tc>
              <w:tc>
                <w:tcPr>
                  <w:tcW w:w="2213" w:type="pct"/>
                  <w:tcBorders>
                    <w:tl2br w:val="nil"/>
                    <w:tr2bl w:val="nil"/>
                  </w:tcBorders>
                  <w:vAlign w:val="center"/>
                </w:tcPr>
                <w:p w14:paraId="5BF41CF5">
                  <w:pPr>
                    <w:pStyle w:val="36"/>
                    <w:bidi w:val="0"/>
                    <w:rPr>
                      <w:rFonts w:hint="default" w:ascii="Times New Roman" w:hAnsi="Times New Roman" w:eastAsia="宋体"/>
                      <w:color w:val="auto"/>
                      <w:lang w:val="en-US" w:eastAsia="zh-CN"/>
                    </w:rPr>
                  </w:pPr>
                  <w:r>
                    <w:rPr>
                      <w:rFonts w:hint="eastAsia" w:ascii="Times New Roman"/>
                      <w:color w:val="auto"/>
                      <w:lang w:val="en-US" w:eastAsia="zh-CN"/>
                    </w:rPr>
                    <w:t>本项目不涉及地下水开采，使用电能。</w:t>
                  </w:r>
                </w:p>
              </w:tc>
              <w:tc>
                <w:tcPr>
                  <w:tcW w:w="366" w:type="pct"/>
                  <w:vMerge w:val="continue"/>
                  <w:tcBorders>
                    <w:tl2br w:val="nil"/>
                    <w:tr2bl w:val="nil"/>
                  </w:tcBorders>
                  <w:vAlign w:val="center"/>
                </w:tcPr>
                <w:p w14:paraId="07D7023F">
                  <w:pPr>
                    <w:pStyle w:val="36"/>
                    <w:bidi w:val="0"/>
                    <w:rPr>
                      <w:rFonts w:ascii="Times New Roman" w:hAnsi="Times New Roman" w:eastAsia="宋体"/>
                      <w:color w:val="auto"/>
                      <w:lang w:val="en-US" w:eastAsia="zh-CN"/>
                    </w:rPr>
                  </w:pPr>
                </w:p>
              </w:tc>
            </w:tr>
            <w:tr w14:paraId="7ADD6B3D">
              <w:tc>
                <w:tcPr>
                  <w:tcW w:w="276" w:type="pct"/>
                  <w:gridSpan w:val="2"/>
                  <w:vMerge w:val="continue"/>
                  <w:tcBorders>
                    <w:tl2br w:val="nil"/>
                    <w:tr2bl w:val="nil"/>
                  </w:tcBorders>
                  <w:vAlign w:val="center"/>
                </w:tcPr>
                <w:p w14:paraId="30CBFA0F">
                  <w:pPr>
                    <w:pStyle w:val="36"/>
                    <w:bidi w:val="0"/>
                    <w:rPr>
                      <w:rFonts w:hint="eastAsia" w:ascii="Times New Roman" w:hAnsi="Times New Roman" w:eastAsia="宋体"/>
                      <w:color w:val="auto"/>
                      <w:lang w:val="en-US" w:eastAsia="zh-CN"/>
                    </w:rPr>
                  </w:pPr>
                </w:p>
              </w:tc>
              <w:tc>
                <w:tcPr>
                  <w:tcW w:w="2143" w:type="pct"/>
                  <w:tcBorders>
                    <w:tl2br w:val="nil"/>
                    <w:tr2bl w:val="nil"/>
                  </w:tcBorders>
                  <w:vAlign w:val="center"/>
                </w:tcPr>
                <w:p w14:paraId="06F9839A">
                  <w:pPr>
                    <w:pStyle w:val="36"/>
                    <w:bidi w:val="0"/>
                    <w:jc w:val="both"/>
                    <w:rPr>
                      <w:rFonts w:hint="eastAsia" w:ascii="Times New Roman" w:hAnsi="Times New Roman" w:eastAsia="宋体"/>
                      <w:color w:val="auto"/>
                      <w:lang w:val="en-US" w:eastAsia="zh-CN"/>
                    </w:rPr>
                  </w:pPr>
                  <w:r>
                    <w:rPr>
                      <w:rFonts w:hint="eastAsia" w:ascii="Times New Roman"/>
                      <w:color w:val="auto"/>
                      <w:lang w:val="en-US" w:eastAsia="zh-CN"/>
                    </w:rPr>
                    <w:t>5.</w:t>
                  </w:r>
                  <w:r>
                    <w:rPr>
                      <w:rFonts w:ascii="Times New Roman" w:hAnsi="Times New Roman" w:eastAsia="宋体"/>
                      <w:color w:val="auto"/>
                      <w:lang w:val="en-US" w:eastAsia="zh-CN"/>
                    </w:rPr>
                    <w:t>规划占用一般农用地128.47公顷</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一般农用地转为建设用地</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须依法办理相关审批手续后方可开发利用。</w:t>
                  </w:r>
                </w:p>
              </w:tc>
              <w:tc>
                <w:tcPr>
                  <w:tcW w:w="2213" w:type="pct"/>
                  <w:tcBorders>
                    <w:tl2br w:val="nil"/>
                    <w:tr2bl w:val="nil"/>
                  </w:tcBorders>
                  <w:vAlign w:val="center"/>
                </w:tcPr>
                <w:p w14:paraId="415CC9A8">
                  <w:pPr>
                    <w:pStyle w:val="36"/>
                    <w:bidi w:val="0"/>
                    <w:rPr>
                      <w:rFonts w:hint="default" w:ascii="Times New Roman" w:hAnsi="Times New Roman" w:eastAsia="宋体"/>
                      <w:color w:val="auto"/>
                      <w:lang w:val="en-US" w:eastAsia="zh-CN"/>
                    </w:rPr>
                  </w:pPr>
                  <w:r>
                    <w:rPr>
                      <w:rFonts w:hint="eastAsia" w:ascii="Times New Roman"/>
                      <w:color w:val="auto"/>
                      <w:lang w:val="en-US" w:eastAsia="zh-CN"/>
                    </w:rPr>
                    <w:t>本项目用地性质为工业用地。</w:t>
                  </w:r>
                </w:p>
              </w:tc>
              <w:tc>
                <w:tcPr>
                  <w:tcW w:w="366" w:type="pct"/>
                  <w:vMerge w:val="continue"/>
                  <w:tcBorders>
                    <w:tl2br w:val="nil"/>
                    <w:tr2bl w:val="nil"/>
                  </w:tcBorders>
                  <w:vAlign w:val="center"/>
                </w:tcPr>
                <w:p w14:paraId="4BB98DC6">
                  <w:pPr>
                    <w:pStyle w:val="36"/>
                    <w:bidi w:val="0"/>
                    <w:rPr>
                      <w:rFonts w:ascii="Times New Roman" w:hAnsi="Times New Roman" w:eastAsia="宋体"/>
                      <w:color w:val="auto"/>
                      <w:lang w:val="en-US" w:eastAsia="zh-CN"/>
                    </w:rPr>
                  </w:pPr>
                </w:p>
              </w:tc>
            </w:tr>
            <w:tr w14:paraId="139564FE">
              <w:tc>
                <w:tcPr>
                  <w:tcW w:w="276" w:type="pct"/>
                  <w:gridSpan w:val="2"/>
                  <w:vMerge w:val="continue"/>
                  <w:tcBorders>
                    <w:tl2br w:val="nil"/>
                    <w:tr2bl w:val="nil"/>
                  </w:tcBorders>
                  <w:vAlign w:val="center"/>
                </w:tcPr>
                <w:p w14:paraId="3442C236">
                  <w:pPr>
                    <w:pStyle w:val="36"/>
                    <w:bidi w:val="0"/>
                    <w:rPr>
                      <w:rFonts w:hint="eastAsia" w:ascii="Times New Roman" w:hAnsi="Times New Roman" w:eastAsia="宋体"/>
                      <w:color w:val="auto"/>
                      <w:lang w:val="en-US" w:eastAsia="zh-CN"/>
                    </w:rPr>
                  </w:pPr>
                </w:p>
              </w:tc>
              <w:tc>
                <w:tcPr>
                  <w:tcW w:w="2143" w:type="pct"/>
                  <w:tcBorders>
                    <w:tl2br w:val="nil"/>
                    <w:tr2bl w:val="nil"/>
                  </w:tcBorders>
                  <w:vAlign w:val="center"/>
                </w:tcPr>
                <w:p w14:paraId="36EB0076">
                  <w:pPr>
                    <w:pStyle w:val="36"/>
                    <w:bidi w:val="0"/>
                    <w:jc w:val="both"/>
                    <w:rPr>
                      <w:rFonts w:hint="eastAsia" w:ascii="Times New Roman" w:hAnsi="Times New Roman" w:eastAsia="宋体"/>
                      <w:color w:val="auto"/>
                      <w:lang w:val="en-US" w:eastAsia="zh-CN"/>
                    </w:rPr>
                  </w:pPr>
                  <w:r>
                    <w:rPr>
                      <w:rFonts w:hint="eastAsia" w:ascii="Times New Roman"/>
                      <w:color w:val="auto"/>
                      <w:lang w:val="en-US" w:eastAsia="zh-CN"/>
                    </w:rPr>
                    <w:t>6.</w:t>
                  </w:r>
                  <w:r>
                    <w:rPr>
                      <w:rFonts w:ascii="Times New Roman" w:hAnsi="Times New Roman" w:eastAsia="宋体"/>
                      <w:color w:val="auto"/>
                      <w:lang w:val="en-US" w:eastAsia="zh-CN"/>
                    </w:rPr>
                    <w:t>新建高耗能项目单位产品</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产值</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能耗要达到国际先进水平。</w:t>
                  </w:r>
                </w:p>
              </w:tc>
              <w:tc>
                <w:tcPr>
                  <w:tcW w:w="2213" w:type="pct"/>
                  <w:tcBorders>
                    <w:tl2br w:val="nil"/>
                    <w:tr2bl w:val="nil"/>
                  </w:tcBorders>
                  <w:vAlign w:val="center"/>
                </w:tcPr>
                <w:p w14:paraId="136D2186">
                  <w:pPr>
                    <w:pStyle w:val="36"/>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本项目不属于高耗能项目</w:t>
                  </w:r>
                  <w:r>
                    <w:rPr>
                      <w:rFonts w:hint="eastAsia" w:ascii="Times New Roman"/>
                      <w:color w:val="auto"/>
                      <w:lang w:val="en-US" w:eastAsia="zh-CN"/>
                    </w:rPr>
                    <w:t>。</w:t>
                  </w:r>
                </w:p>
              </w:tc>
              <w:tc>
                <w:tcPr>
                  <w:tcW w:w="366" w:type="pct"/>
                  <w:vMerge w:val="continue"/>
                  <w:tcBorders>
                    <w:tl2br w:val="nil"/>
                    <w:tr2bl w:val="nil"/>
                  </w:tcBorders>
                  <w:vAlign w:val="center"/>
                </w:tcPr>
                <w:p w14:paraId="604DB049">
                  <w:pPr>
                    <w:pStyle w:val="36"/>
                    <w:bidi w:val="0"/>
                    <w:rPr>
                      <w:rFonts w:ascii="Times New Roman" w:hAnsi="Times New Roman" w:eastAsia="宋体"/>
                      <w:color w:val="auto"/>
                      <w:lang w:val="en-US" w:eastAsia="zh-CN"/>
                    </w:rPr>
                  </w:pPr>
                </w:p>
              </w:tc>
            </w:tr>
          </w:tbl>
          <w:p w14:paraId="5889B1A8">
            <w:pPr>
              <w:keepNext w:val="0"/>
              <w:keepLines w:val="0"/>
              <w:pageBreakBefore w:val="0"/>
              <w:widowControl w:val="0"/>
              <w:kinsoku/>
              <w:wordWrap/>
              <w:overflowPunct/>
              <w:topLinePunct w:val="0"/>
              <w:bidi w:val="0"/>
              <w:spacing w:line="360" w:lineRule="auto"/>
              <w:ind w:firstLine="480" w:firstLineChars="200"/>
              <w:textAlignment w:val="auto"/>
              <w:rPr>
                <w:color w:val="auto"/>
                <w:sz w:val="24"/>
              </w:rPr>
            </w:pPr>
            <w:r>
              <w:rPr>
                <w:color w:val="auto"/>
                <w:sz w:val="24"/>
              </w:rPr>
              <w:t>综上所述，本项目符合</w:t>
            </w:r>
            <w:r>
              <w:rPr>
                <w:rFonts w:hint="eastAsia"/>
                <w:color w:val="auto"/>
                <w:sz w:val="24"/>
              </w:rPr>
              <w:t>“</w:t>
            </w:r>
            <w:r>
              <w:rPr>
                <w:color w:val="auto"/>
                <w:sz w:val="24"/>
              </w:rPr>
              <w:t>三线一单</w:t>
            </w:r>
            <w:r>
              <w:rPr>
                <w:rFonts w:hint="eastAsia"/>
                <w:color w:val="auto"/>
                <w:sz w:val="24"/>
              </w:rPr>
              <w:t>”</w:t>
            </w:r>
            <w:r>
              <w:rPr>
                <w:color w:val="auto"/>
                <w:sz w:val="24"/>
              </w:rPr>
              <w:t>要求。</w:t>
            </w:r>
          </w:p>
          <w:p w14:paraId="24ED777F">
            <w:pPr>
              <w:keepNext w:val="0"/>
              <w:keepLines w:val="0"/>
              <w:pageBreakBefore w:val="0"/>
              <w:widowControl w:val="0"/>
              <w:kinsoku/>
              <w:wordWrap/>
              <w:overflowPunct/>
              <w:topLinePunct w:val="0"/>
              <w:bidi w:val="0"/>
              <w:spacing w:line="360" w:lineRule="auto"/>
              <w:ind w:firstLine="482" w:firstLineChars="200"/>
              <w:textAlignment w:val="auto"/>
              <w:rPr>
                <w:b/>
                <w:bCs/>
                <w:color w:val="auto"/>
                <w:sz w:val="24"/>
              </w:rPr>
            </w:pPr>
            <w:r>
              <w:rPr>
                <w:rFonts w:hint="eastAsia"/>
                <w:b/>
                <w:bCs/>
                <w:color w:val="auto"/>
                <w:sz w:val="24"/>
                <w:lang w:eastAsia="zh-CN"/>
              </w:rPr>
              <w:t>2.</w:t>
            </w:r>
            <w:r>
              <w:rPr>
                <w:b/>
                <w:bCs/>
                <w:color w:val="auto"/>
                <w:sz w:val="24"/>
              </w:rPr>
              <w:t>产业政策</w:t>
            </w:r>
            <w:r>
              <w:rPr>
                <w:rFonts w:hint="eastAsia"/>
                <w:b/>
                <w:bCs/>
                <w:color w:val="auto"/>
                <w:sz w:val="24"/>
              </w:rPr>
              <w:t>相符性</w:t>
            </w:r>
            <w:r>
              <w:rPr>
                <w:b/>
                <w:bCs/>
                <w:color w:val="auto"/>
                <w:sz w:val="24"/>
              </w:rPr>
              <w:t>分析</w:t>
            </w:r>
          </w:p>
          <w:p w14:paraId="0E808E13">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color w:val="auto"/>
                <w:sz w:val="24"/>
              </w:rPr>
            </w:pPr>
            <w:r>
              <w:rPr>
                <w:color w:val="auto"/>
                <w:sz w:val="24"/>
              </w:rPr>
              <w:t>本项目为</w:t>
            </w:r>
            <w:r>
              <w:rPr>
                <w:rFonts w:hint="eastAsia"/>
                <w:color w:val="auto"/>
                <w:sz w:val="24"/>
                <w:lang w:val="en-US" w:eastAsia="zh-CN"/>
              </w:rPr>
              <w:t>淮安挑战者饮料有限公司饮料生产项目（不含碳酸饮料和酒）</w:t>
            </w:r>
            <w:r>
              <w:rPr>
                <w:color w:val="auto"/>
                <w:sz w:val="24"/>
              </w:rPr>
              <w:t>，</w:t>
            </w:r>
            <w:r>
              <w:rPr>
                <w:rFonts w:hint="eastAsia"/>
                <w:color w:val="auto"/>
                <w:sz w:val="24"/>
              </w:rPr>
              <w:t>本</w:t>
            </w:r>
            <w:r>
              <w:rPr>
                <w:color w:val="auto"/>
                <w:sz w:val="24"/>
              </w:rPr>
              <w:t>项目属于</w:t>
            </w:r>
            <w:r>
              <w:rPr>
                <w:rFonts w:hint="eastAsia"/>
                <w:color w:val="auto"/>
                <w:sz w:val="24"/>
                <w:lang w:val="en-US" w:eastAsia="zh-CN"/>
              </w:rPr>
              <w:t>C1523 果菜汁及果菜汁饮料制造、C1524 含乳饮料和植物蛋白饮料制造、C1529 茶饮料及其他饮料制造、C2926 塑料包装箱及容器制造</w:t>
            </w:r>
            <w:r>
              <w:rPr>
                <w:color w:val="auto"/>
                <w:sz w:val="24"/>
              </w:rPr>
              <w:t>，</w:t>
            </w:r>
            <w:r>
              <w:rPr>
                <w:rFonts w:hint="eastAsia" w:ascii="Times New Roman" w:hAnsi="Times New Roman"/>
                <w:color w:val="auto"/>
                <w:sz w:val="24"/>
                <w:szCs w:val="24"/>
                <w:lang w:val="en-US" w:eastAsia="zh-CN"/>
              </w:rPr>
              <w:t>年</w:t>
            </w:r>
            <w:r>
              <w:rPr>
                <w:rFonts w:hint="eastAsia"/>
                <w:color w:val="auto"/>
                <w:sz w:val="24"/>
                <w:szCs w:val="24"/>
                <w:lang w:val="en-US" w:eastAsia="zh-CN"/>
              </w:rPr>
              <w:t>产</w:t>
            </w:r>
            <w:r>
              <w:rPr>
                <w:rFonts w:hint="eastAsia" w:ascii="Times New Roman" w:hAnsi="Times New Roman"/>
                <w:color w:val="auto"/>
                <w:sz w:val="24"/>
                <w:szCs w:val="24"/>
                <w:lang w:val="en-US" w:eastAsia="zh-CN"/>
              </w:rPr>
              <w:t>复合果汁饮料、风味饮料、椰子汁、茶饮料、咖啡饮料、功能饮料等各类饮料</w:t>
            </w:r>
            <w:r>
              <w:rPr>
                <w:rFonts w:hint="eastAsia"/>
                <w:color w:val="auto"/>
                <w:sz w:val="24"/>
                <w:szCs w:val="24"/>
                <w:lang w:val="en-US" w:eastAsia="zh-CN"/>
              </w:rPr>
              <w:t>（</w:t>
            </w:r>
            <w:r>
              <w:rPr>
                <w:rFonts w:hint="eastAsia" w:ascii="Times New Roman" w:hAnsi="Times New Roman"/>
                <w:color w:val="auto"/>
                <w:sz w:val="24"/>
                <w:szCs w:val="24"/>
                <w:lang w:val="en-US" w:eastAsia="zh-CN"/>
              </w:rPr>
              <w:t>不含碳酸饮料和酒</w:t>
            </w:r>
            <w:r>
              <w:rPr>
                <w:rFonts w:hint="eastAsia"/>
                <w:color w:val="auto"/>
                <w:sz w:val="24"/>
                <w:szCs w:val="24"/>
                <w:lang w:val="en-US" w:eastAsia="zh-CN"/>
              </w:rPr>
              <w:t>）</w:t>
            </w:r>
            <w:r>
              <w:rPr>
                <w:rFonts w:hint="eastAsia" w:ascii="Times New Roman" w:hAnsi="Times New Roman"/>
                <w:color w:val="auto"/>
                <w:sz w:val="24"/>
                <w:szCs w:val="24"/>
                <w:lang w:val="en-US" w:eastAsia="zh-CN"/>
              </w:rPr>
              <w:t>10万吨</w:t>
            </w:r>
            <w:r>
              <w:rPr>
                <w:rFonts w:hint="eastAsia"/>
                <w:color w:val="auto"/>
                <w:sz w:val="24"/>
              </w:rPr>
              <w:t>。本项目不属于</w:t>
            </w:r>
            <w:r>
              <w:rPr>
                <w:color w:val="auto"/>
                <w:sz w:val="24"/>
              </w:rPr>
              <w:t>《产业结构调整指导目录》（20</w:t>
            </w:r>
            <w:r>
              <w:rPr>
                <w:rFonts w:hint="eastAsia"/>
                <w:color w:val="auto"/>
                <w:sz w:val="24"/>
                <w:lang w:val="en-US" w:eastAsia="zh-CN"/>
              </w:rPr>
              <w:t>24</w:t>
            </w:r>
            <w:r>
              <w:rPr>
                <w:color w:val="auto"/>
                <w:sz w:val="24"/>
              </w:rPr>
              <w:t>年本</w:t>
            </w:r>
            <w:r>
              <w:rPr>
                <w:rFonts w:hint="eastAsia"/>
                <w:color w:val="auto"/>
                <w:sz w:val="24"/>
              </w:rPr>
              <w:t>）中限制类、淘汰类项目，属于允许类项目；不属于《江苏省产业结构调整限制、淘汰和禁止目录》（苏办发</w:t>
            </w:r>
            <w:r>
              <w:rPr>
                <w:rFonts w:hint="eastAsia"/>
                <w:color w:val="auto"/>
                <w:sz w:val="24"/>
                <w:lang w:eastAsia="zh-CN"/>
              </w:rPr>
              <w:t>〔2018〕32号</w:t>
            </w:r>
            <w:r>
              <w:rPr>
                <w:rFonts w:hint="eastAsia"/>
                <w:color w:val="auto"/>
                <w:sz w:val="24"/>
              </w:rPr>
              <w:t>附件3中限制类、淘汰类和禁止类项目</w:t>
            </w:r>
            <w:r>
              <w:rPr>
                <w:color w:val="auto"/>
                <w:sz w:val="24"/>
              </w:rPr>
              <w:t>，且项目已取得</w:t>
            </w:r>
            <w:r>
              <w:rPr>
                <w:rFonts w:hint="eastAsia"/>
                <w:color w:val="auto"/>
                <w:sz w:val="24"/>
                <w:lang w:val="en-US" w:eastAsia="zh-CN"/>
              </w:rPr>
              <w:t>江苏涟水经济开发区管理委员会</w:t>
            </w:r>
            <w:r>
              <w:rPr>
                <w:rFonts w:hint="eastAsia"/>
                <w:color w:val="auto"/>
                <w:sz w:val="24"/>
              </w:rPr>
              <w:t>关于本项目的备案登记，备案证号为</w:t>
            </w:r>
            <w:r>
              <w:rPr>
                <w:rFonts w:hint="eastAsia"/>
                <w:bCs/>
                <w:color w:val="auto"/>
                <w:sz w:val="24"/>
                <w:lang w:val="en-US" w:eastAsia="zh-CN"/>
              </w:rPr>
              <w:t>涟区开发备〔2025〕109号</w:t>
            </w:r>
            <w:r>
              <w:rPr>
                <w:rFonts w:hint="eastAsia"/>
                <w:bCs/>
                <w:color w:val="auto"/>
                <w:sz w:val="24"/>
              </w:rPr>
              <w:t>，</w:t>
            </w:r>
            <w:r>
              <w:rPr>
                <w:color w:val="auto"/>
                <w:sz w:val="24"/>
              </w:rPr>
              <w:t>项目代码：</w:t>
            </w:r>
            <w:r>
              <w:rPr>
                <w:rFonts w:hint="eastAsia"/>
                <w:color w:val="auto"/>
                <w:sz w:val="24"/>
                <w:lang w:eastAsia="zh-CN"/>
              </w:rPr>
              <w:t>2504-320860-89-01-701696。</w:t>
            </w:r>
            <w:r>
              <w:rPr>
                <w:rFonts w:hint="eastAsia"/>
                <w:color w:val="auto"/>
                <w:sz w:val="24"/>
              </w:rPr>
              <w:t>因此，本</w:t>
            </w:r>
            <w:r>
              <w:rPr>
                <w:color w:val="auto"/>
                <w:sz w:val="24"/>
              </w:rPr>
              <w:t>项目</w:t>
            </w:r>
            <w:r>
              <w:rPr>
                <w:rFonts w:hint="eastAsia"/>
                <w:color w:val="auto"/>
                <w:sz w:val="24"/>
              </w:rPr>
              <w:t>的</w:t>
            </w:r>
            <w:r>
              <w:rPr>
                <w:color w:val="auto"/>
                <w:sz w:val="24"/>
              </w:rPr>
              <w:t>建设符合国家和江苏省产业政策</w:t>
            </w:r>
            <w:r>
              <w:rPr>
                <w:rFonts w:hint="eastAsia"/>
                <w:color w:val="auto"/>
                <w:sz w:val="24"/>
              </w:rPr>
              <w:t>要求</w:t>
            </w:r>
            <w:r>
              <w:rPr>
                <w:color w:val="auto"/>
                <w:sz w:val="24"/>
              </w:rPr>
              <w:t>。</w:t>
            </w:r>
          </w:p>
          <w:p w14:paraId="54E738B1">
            <w:pPr>
              <w:keepNext w:val="0"/>
              <w:keepLines w:val="0"/>
              <w:pageBreakBefore w:val="0"/>
              <w:widowControl w:val="0"/>
              <w:tabs>
                <w:tab w:val="center" w:pos="4818"/>
              </w:tabs>
              <w:kinsoku/>
              <w:wordWrap/>
              <w:overflowPunct/>
              <w:topLinePunct w:val="0"/>
              <w:bidi w:val="0"/>
              <w:snapToGrid/>
              <w:spacing w:line="360" w:lineRule="auto"/>
              <w:ind w:left="420" w:leftChars="200"/>
              <w:textAlignment w:val="auto"/>
              <w:rPr>
                <w:b/>
                <w:bCs/>
                <w:color w:val="auto"/>
                <w:sz w:val="24"/>
              </w:rPr>
            </w:pPr>
            <w:r>
              <w:rPr>
                <w:rFonts w:hint="eastAsia"/>
                <w:b/>
                <w:bCs/>
                <w:color w:val="auto"/>
                <w:sz w:val="24"/>
                <w:lang w:eastAsia="zh-CN"/>
              </w:rPr>
              <w:t>3.</w:t>
            </w:r>
            <w:r>
              <w:rPr>
                <w:rFonts w:hint="eastAsia"/>
                <w:b/>
                <w:bCs/>
                <w:color w:val="auto"/>
                <w:sz w:val="24"/>
              </w:rPr>
              <w:t>与相关法律法规相符性分析</w:t>
            </w:r>
          </w:p>
          <w:p w14:paraId="33C84A74">
            <w:pPr>
              <w:pStyle w:val="17"/>
              <w:keepNext w:val="0"/>
              <w:keepLines w:val="0"/>
              <w:pageBreakBefore w:val="0"/>
              <w:widowControl w:val="0"/>
              <w:kinsoku/>
              <w:wordWrap/>
              <w:overflowPunct/>
              <w:topLinePunct w:val="0"/>
              <w:bidi w:val="0"/>
              <w:snapToGrid/>
              <w:spacing w:line="360" w:lineRule="auto"/>
              <w:ind w:firstLine="480" w:firstLineChars="200"/>
              <w:jc w:val="both"/>
              <w:textAlignment w:val="auto"/>
              <w:rPr>
                <w:rFonts w:ascii="Times New Roman" w:hAnsi="Times New Roman"/>
                <w:b w:val="0"/>
                <w:bCs w:val="0"/>
                <w:color w:val="auto"/>
              </w:rPr>
            </w:pPr>
            <w:r>
              <w:rPr>
                <w:rFonts w:hint="eastAsia" w:ascii="Times New Roman" w:hAnsi="Times New Roman"/>
                <w:b w:val="0"/>
                <w:bCs w:val="0"/>
                <w:color w:val="auto"/>
              </w:rPr>
              <w:t>项目与江苏省挥发性有机废气规定相符性分析情况见</w:t>
            </w:r>
            <w:r>
              <w:rPr>
                <w:rFonts w:hint="eastAsia" w:ascii="Times New Roman" w:hAnsi="Times New Roman"/>
                <w:b w:val="0"/>
                <w:bCs w:val="0"/>
                <w:color w:val="auto"/>
                <w:lang w:val="en-US" w:eastAsia="zh-CN"/>
              </w:rPr>
              <w:t>下表</w:t>
            </w:r>
            <w:r>
              <w:rPr>
                <w:rFonts w:hint="eastAsia" w:ascii="Times New Roman" w:hAnsi="Times New Roman"/>
                <w:b w:val="0"/>
                <w:bCs w:val="0"/>
                <w:color w:val="auto"/>
              </w:rPr>
              <w:t>。</w:t>
            </w:r>
          </w:p>
          <w:p w14:paraId="54FFDDEF">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auto"/>
                <w:sz w:val="21"/>
                <w:szCs w:val="21"/>
              </w:rPr>
            </w:pPr>
          </w:p>
          <w:p w14:paraId="3832EDA1">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auto"/>
                <w:sz w:val="21"/>
                <w:szCs w:val="21"/>
              </w:rPr>
            </w:pPr>
          </w:p>
          <w:p w14:paraId="581816EC">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auto"/>
                <w:sz w:val="21"/>
                <w:szCs w:val="21"/>
              </w:rPr>
            </w:pPr>
          </w:p>
          <w:p w14:paraId="1E6CEB9E">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auto"/>
                <w:sz w:val="21"/>
                <w:szCs w:val="21"/>
              </w:rPr>
            </w:pPr>
          </w:p>
          <w:p w14:paraId="4DD3B9BB">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auto"/>
                <w:sz w:val="21"/>
                <w:szCs w:val="21"/>
              </w:rPr>
            </w:pPr>
          </w:p>
          <w:p w14:paraId="1E960DAA">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auto"/>
                <w:sz w:val="21"/>
                <w:szCs w:val="21"/>
              </w:rPr>
            </w:pPr>
          </w:p>
          <w:p w14:paraId="4C3A75EA">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b/>
                <w:bCs/>
                <w:color w:val="auto"/>
                <w:sz w:val="21"/>
                <w:szCs w:val="21"/>
              </w:rPr>
            </w:pPr>
            <w:r>
              <w:rPr>
                <w:rFonts w:hint="eastAsia"/>
                <w:b/>
                <w:bCs/>
                <w:color w:val="auto"/>
                <w:sz w:val="21"/>
                <w:szCs w:val="21"/>
              </w:rPr>
              <w:t>表1-1</w:t>
            </w:r>
            <w:r>
              <w:rPr>
                <w:rFonts w:hint="eastAsia"/>
                <w:b/>
                <w:bCs/>
                <w:color w:val="auto"/>
                <w:sz w:val="21"/>
                <w:szCs w:val="21"/>
                <w:lang w:val="en-US" w:eastAsia="zh-CN"/>
              </w:rPr>
              <w:t xml:space="preserve">1  </w:t>
            </w:r>
            <w:r>
              <w:rPr>
                <w:rFonts w:hint="eastAsia"/>
                <w:b/>
                <w:bCs/>
                <w:color w:val="auto"/>
                <w:sz w:val="21"/>
                <w:szCs w:val="21"/>
              </w:rPr>
              <w:t>建设项目与江苏省挥发性有机废气规定相符性分析</w:t>
            </w:r>
          </w:p>
          <w:tbl>
            <w:tblPr>
              <w:tblStyle w:val="21"/>
              <w:tblW w:w="771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3"/>
              <w:gridCol w:w="1020"/>
              <w:gridCol w:w="3167"/>
              <w:gridCol w:w="2203"/>
              <w:gridCol w:w="884"/>
            </w:tblGrid>
            <w:tr w14:paraId="7D1197C8">
              <w:trPr>
                <w:trHeight w:val="287" w:hRule="atLeast"/>
              </w:trPr>
              <w:tc>
                <w:tcPr>
                  <w:tcW w:w="443" w:type="dxa"/>
                  <w:noWrap w:val="0"/>
                  <w:vAlign w:val="center"/>
                </w:tcPr>
                <w:p w14:paraId="2A69D464">
                  <w:pPr>
                    <w:pStyle w:val="17"/>
                    <w:spacing w:line="280" w:lineRule="exact"/>
                    <w:ind w:left="0" w:leftChars="0" w:firstLine="0" w:firstLineChars="0"/>
                    <w:jc w:val="center"/>
                    <w:rPr>
                      <w:rFonts w:ascii="Times New Roman" w:hAnsi="Times New Roman"/>
                      <w:b w:val="0"/>
                      <w:bCs/>
                      <w:color w:val="auto"/>
                      <w:sz w:val="21"/>
                    </w:rPr>
                  </w:pPr>
                  <w:r>
                    <w:rPr>
                      <w:rFonts w:hint="eastAsia" w:ascii="Times New Roman" w:hAnsi="Times New Roman"/>
                      <w:b w:val="0"/>
                      <w:bCs/>
                      <w:color w:val="auto"/>
                      <w:sz w:val="21"/>
                    </w:rPr>
                    <w:t>序号</w:t>
                  </w:r>
                </w:p>
              </w:tc>
              <w:tc>
                <w:tcPr>
                  <w:tcW w:w="1020" w:type="dxa"/>
                  <w:noWrap w:val="0"/>
                  <w:vAlign w:val="center"/>
                </w:tcPr>
                <w:p w14:paraId="61661E57">
                  <w:pPr>
                    <w:pStyle w:val="17"/>
                    <w:spacing w:line="280" w:lineRule="exact"/>
                    <w:ind w:left="0" w:leftChars="0" w:firstLine="0" w:firstLineChars="0"/>
                    <w:jc w:val="center"/>
                    <w:rPr>
                      <w:rFonts w:ascii="Times New Roman" w:hAnsi="Times New Roman"/>
                      <w:b w:val="0"/>
                      <w:bCs/>
                      <w:color w:val="auto"/>
                      <w:sz w:val="21"/>
                    </w:rPr>
                  </w:pPr>
                  <w:r>
                    <w:rPr>
                      <w:rFonts w:hint="eastAsia" w:ascii="Times New Roman" w:hAnsi="Times New Roman"/>
                      <w:b w:val="0"/>
                      <w:bCs/>
                      <w:color w:val="auto"/>
                      <w:sz w:val="21"/>
                    </w:rPr>
                    <w:t>文件名称</w:t>
                  </w:r>
                </w:p>
              </w:tc>
              <w:tc>
                <w:tcPr>
                  <w:tcW w:w="3167" w:type="dxa"/>
                  <w:noWrap w:val="0"/>
                  <w:vAlign w:val="center"/>
                </w:tcPr>
                <w:p w14:paraId="442DF5C6">
                  <w:pPr>
                    <w:pStyle w:val="17"/>
                    <w:spacing w:line="280" w:lineRule="exact"/>
                    <w:ind w:left="0" w:leftChars="0" w:firstLine="0" w:firstLineChars="0"/>
                    <w:jc w:val="center"/>
                    <w:rPr>
                      <w:rFonts w:ascii="Times New Roman" w:hAnsi="Times New Roman"/>
                      <w:b w:val="0"/>
                      <w:bCs/>
                      <w:color w:val="auto"/>
                      <w:sz w:val="21"/>
                    </w:rPr>
                  </w:pPr>
                  <w:r>
                    <w:rPr>
                      <w:rFonts w:hint="eastAsia" w:ascii="Times New Roman" w:hAnsi="Times New Roman"/>
                      <w:b w:val="0"/>
                      <w:bCs/>
                      <w:color w:val="auto"/>
                      <w:sz w:val="21"/>
                    </w:rPr>
                    <w:t>要求</w:t>
                  </w:r>
                </w:p>
              </w:tc>
              <w:tc>
                <w:tcPr>
                  <w:tcW w:w="2203" w:type="dxa"/>
                  <w:noWrap w:val="0"/>
                  <w:vAlign w:val="center"/>
                </w:tcPr>
                <w:p w14:paraId="40C3060F">
                  <w:pPr>
                    <w:pStyle w:val="17"/>
                    <w:spacing w:line="280" w:lineRule="exact"/>
                    <w:ind w:left="0" w:leftChars="0" w:firstLine="0" w:firstLineChars="0"/>
                    <w:jc w:val="center"/>
                    <w:rPr>
                      <w:rFonts w:ascii="Times New Roman" w:hAnsi="Times New Roman"/>
                      <w:b w:val="0"/>
                      <w:bCs/>
                      <w:color w:val="auto"/>
                      <w:sz w:val="21"/>
                    </w:rPr>
                  </w:pPr>
                  <w:r>
                    <w:rPr>
                      <w:rFonts w:hint="eastAsia" w:ascii="Times New Roman" w:hAnsi="Times New Roman"/>
                      <w:b w:val="0"/>
                      <w:bCs/>
                      <w:color w:val="auto"/>
                      <w:sz w:val="21"/>
                    </w:rPr>
                    <w:t>项目情况</w:t>
                  </w:r>
                </w:p>
              </w:tc>
              <w:tc>
                <w:tcPr>
                  <w:tcW w:w="884" w:type="dxa"/>
                  <w:noWrap w:val="0"/>
                  <w:vAlign w:val="center"/>
                </w:tcPr>
                <w:p w14:paraId="474B8525">
                  <w:pPr>
                    <w:pStyle w:val="17"/>
                    <w:spacing w:line="280" w:lineRule="exact"/>
                    <w:ind w:left="0" w:leftChars="0" w:firstLine="0" w:firstLineChars="0"/>
                    <w:jc w:val="center"/>
                    <w:rPr>
                      <w:rFonts w:ascii="Times New Roman" w:hAnsi="Times New Roman"/>
                      <w:b w:val="0"/>
                      <w:bCs/>
                      <w:color w:val="auto"/>
                      <w:sz w:val="21"/>
                    </w:rPr>
                  </w:pPr>
                  <w:r>
                    <w:rPr>
                      <w:rFonts w:hint="eastAsia" w:ascii="Times New Roman" w:hAnsi="Times New Roman"/>
                      <w:b w:val="0"/>
                      <w:bCs/>
                      <w:color w:val="auto"/>
                      <w:sz w:val="21"/>
                    </w:rPr>
                    <w:t>相符性分析</w:t>
                  </w:r>
                </w:p>
              </w:tc>
            </w:tr>
            <w:tr w14:paraId="6BA0252A">
              <w:trPr>
                <w:trHeight w:val="287" w:hRule="atLeast"/>
              </w:trPr>
              <w:tc>
                <w:tcPr>
                  <w:tcW w:w="443" w:type="dxa"/>
                  <w:vMerge w:val="restart"/>
                  <w:noWrap w:val="0"/>
                  <w:vAlign w:val="center"/>
                </w:tcPr>
                <w:p w14:paraId="219E4361">
                  <w:pPr>
                    <w:pStyle w:val="17"/>
                    <w:numPr>
                      <w:ilvl w:val="0"/>
                      <w:numId w:val="3"/>
                    </w:numPr>
                    <w:spacing w:line="280" w:lineRule="exact"/>
                    <w:ind w:left="0" w:leftChars="0" w:firstLine="0" w:firstLineChars="0"/>
                    <w:jc w:val="center"/>
                    <w:rPr>
                      <w:rFonts w:ascii="Times New Roman" w:hAnsi="Times New Roman"/>
                      <w:b w:val="0"/>
                      <w:bCs/>
                      <w:color w:val="auto"/>
                      <w:sz w:val="21"/>
                    </w:rPr>
                  </w:pPr>
                </w:p>
              </w:tc>
              <w:tc>
                <w:tcPr>
                  <w:tcW w:w="1020" w:type="dxa"/>
                  <w:vMerge w:val="restart"/>
                  <w:noWrap w:val="0"/>
                  <w:vAlign w:val="center"/>
                </w:tcPr>
                <w:p w14:paraId="37B6DC69">
                  <w:pPr>
                    <w:pStyle w:val="17"/>
                    <w:spacing w:line="280" w:lineRule="exact"/>
                    <w:ind w:left="0" w:leftChars="0" w:firstLine="0" w:firstLineChars="0"/>
                    <w:jc w:val="center"/>
                    <w:rPr>
                      <w:rFonts w:ascii="Times New Roman" w:hAnsi="Times New Roman"/>
                      <w:b w:val="0"/>
                      <w:bCs/>
                      <w:color w:val="auto"/>
                      <w:sz w:val="21"/>
                    </w:rPr>
                  </w:pPr>
                  <w:r>
                    <w:rPr>
                      <w:rFonts w:ascii="Times New Roman" w:hAnsi="Times New Roman"/>
                      <w:b w:val="0"/>
                      <w:bCs/>
                      <w:color w:val="auto"/>
                      <w:sz w:val="21"/>
                    </w:rPr>
                    <w:t>《挥发性有机物无组织排放控制标准》（GB37822-2019）</w:t>
                  </w:r>
                </w:p>
              </w:tc>
              <w:tc>
                <w:tcPr>
                  <w:tcW w:w="3167" w:type="dxa"/>
                  <w:noWrap w:val="0"/>
                  <w:vAlign w:val="center"/>
                </w:tcPr>
                <w:p w14:paraId="21DF04F6">
                  <w:pPr>
                    <w:pStyle w:val="17"/>
                    <w:spacing w:line="280" w:lineRule="exact"/>
                    <w:ind w:left="0" w:leftChars="0" w:firstLine="0" w:firstLineChars="0"/>
                    <w:jc w:val="both"/>
                    <w:rPr>
                      <w:rFonts w:ascii="Times New Roman" w:hAnsi="Times New Roman"/>
                      <w:b w:val="0"/>
                      <w:bCs/>
                      <w:color w:val="auto"/>
                      <w:sz w:val="21"/>
                    </w:rPr>
                  </w:pPr>
                  <w:r>
                    <w:rPr>
                      <w:rFonts w:ascii="Times New Roman" w:hAnsi="Times New Roman"/>
                      <w:b w:val="0"/>
                      <w:bCs/>
                      <w:color w:val="auto"/>
                      <w:sz w:val="21"/>
                    </w:rPr>
                    <w:t>企业应考虑生产工艺、操作方式、废气性质、处理方法等，对VOCs废气进行分类收集。</w:t>
                  </w:r>
                </w:p>
              </w:tc>
              <w:tc>
                <w:tcPr>
                  <w:tcW w:w="2203" w:type="dxa"/>
                  <w:noWrap w:val="0"/>
                  <w:vAlign w:val="center"/>
                </w:tcPr>
                <w:p w14:paraId="7299253A">
                  <w:pPr>
                    <w:pStyle w:val="17"/>
                    <w:spacing w:line="280" w:lineRule="exact"/>
                    <w:ind w:left="0" w:leftChars="0" w:firstLine="0" w:firstLineChars="0"/>
                    <w:jc w:val="both"/>
                    <w:rPr>
                      <w:rFonts w:hint="eastAsia" w:ascii="Times New Roman" w:hAnsi="Times New Roman" w:eastAsia="宋体"/>
                      <w:b w:val="0"/>
                      <w:bCs/>
                      <w:color w:val="auto"/>
                      <w:sz w:val="21"/>
                      <w:lang w:eastAsia="zh-CN"/>
                    </w:rPr>
                  </w:pPr>
                  <w:r>
                    <w:rPr>
                      <w:rFonts w:hint="eastAsia" w:ascii="Times New Roman" w:hAnsi="Times New Roman"/>
                      <w:b w:val="0"/>
                      <w:bCs/>
                      <w:color w:val="auto"/>
                      <w:sz w:val="21"/>
                    </w:rPr>
                    <w:t>本项目吹瓶工序产生的非甲烷总烃、消毒工序产生的非甲烷总烃均采用密闭收集。</w:t>
                  </w:r>
                </w:p>
              </w:tc>
              <w:tc>
                <w:tcPr>
                  <w:tcW w:w="884" w:type="dxa"/>
                  <w:noWrap w:val="0"/>
                  <w:vAlign w:val="center"/>
                </w:tcPr>
                <w:p w14:paraId="1094E473">
                  <w:pPr>
                    <w:pStyle w:val="17"/>
                    <w:spacing w:line="280" w:lineRule="exact"/>
                    <w:ind w:left="0" w:leftChars="0" w:firstLine="0" w:firstLineChars="0"/>
                    <w:jc w:val="center"/>
                    <w:rPr>
                      <w:rFonts w:ascii="Times New Roman" w:hAnsi="Times New Roman"/>
                      <w:b w:val="0"/>
                      <w:bCs/>
                      <w:color w:val="auto"/>
                      <w:sz w:val="21"/>
                    </w:rPr>
                  </w:pPr>
                  <w:r>
                    <w:rPr>
                      <w:rFonts w:hint="eastAsia" w:ascii="Times New Roman" w:hAnsi="Times New Roman"/>
                      <w:b w:val="0"/>
                      <w:bCs/>
                      <w:color w:val="auto"/>
                      <w:sz w:val="21"/>
                    </w:rPr>
                    <w:t>符合</w:t>
                  </w:r>
                </w:p>
              </w:tc>
            </w:tr>
            <w:tr w14:paraId="41D60F22">
              <w:trPr>
                <w:trHeight w:val="287" w:hRule="atLeast"/>
              </w:trPr>
              <w:tc>
                <w:tcPr>
                  <w:tcW w:w="443" w:type="dxa"/>
                  <w:vMerge w:val="continue"/>
                  <w:noWrap w:val="0"/>
                  <w:vAlign w:val="center"/>
                </w:tcPr>
                <w:p w14:paraId="69318F54">
                  <w:pPr>
                    <w:pStyle w:val="17"/>
                    <w:spacing w:line="280" w:lineRule="exact"/>
                    <w:ind w:firstLineChars="0"/>
                    <w:jc w:val="center"/>
                    <w:outlineLvl w:val="9"/>
                    <w:rPr>
                      <w:rFonts w:ascii="Times New Roman" w:hAnsi="Times New Roman"/>
                      <w:b w:val="0"/>
                      <w:bCs/>
                      <w:color w:val="auto"/>
                      <w:sz w:val="21"/>
                    </w:rPr>
                  </w:pPr>
                </w:p>
              </w:tc>
              <w:tc>
                <w:tcPr>
                  <w:tcW w:w="1020" w:type="dxa"/>
                  <w:vMerge w:val="continue"/>
                  <w:noWrap w:val="0"/>
                  <w:vAlign w:val="center"/>
                </w:tcPr>
                <w:p w14:paraId="2ED4E42E">
                  <w:pPr>
                    <w:pStyle w:val="17"/>
                    <w:spacing w:line="280" w:lineRule="exact"/>
                    <w:jc w:val="center"/>
                    <w:outlineLvl w:val="9"/>
                    <w:rPr>
                      <w:rFonts w:ascii="Times New Roman" w:hAnsi="Times New Roman"/>
                      <w:b w:val="0"/>
                      <w:bCs/>
                      <w:color w:val="auto"/>
                      <w:sz w:val="21"/>
                    </w:rPr>
                  </w:pPr>
                </w:p>
              </w:tc>
              <w:tc>
                <w:tcPr>
                  <w:tcW w:w="3167" w:type="dxa"/>
                  <w:noWrap w:val="0"/>
                  <w:vAlign w:val="center"/>
                </w:tcPr>
                <w:p w14:paraId="48EE318D">
                  <w:pPr>
                    <w:pStyle w:val="17"/>
                    <w:spacing w:line="280" w:lineRule="exact"/>
                    <w:ind w:left="0" w:leftChars="0" w:firstLine="0" w:firstLineChars="0"/>
                    <w:jc w:val="both"/>
                    <w:rPr>
                      <w:rFonts w:ascii="Times New Roman" w:hAnsi="Times New Roman"/>
                      <w:b w:val="0"/>
                      <w:bCs/>
                      <w:color w:val="auto"/>
                      <w:sz w:val="21"/>
                    </w:rPr>
                  </w:pPr>
                  <w:r>
                    <w:rPr>
                      <w:rFonts w:ascii="Times New Roman" w:hAnsi="Times New Roman"/>
                      <w:b w:val="0"/>
                      <w:bCs/>
                      <w:color w:val="auto"/>
                      <w:sz w:val="21"/>
                    </w:rPr>
                    <w:t>废气收集系统的输送管道应密闭。</w:t>
                  </w:r>
                </w:p>
              </w:tc>
              <w:tc>
                <w:tcPr>
                  <w:tcW w:w="2203" w:type="dxa"/>
                  <w:noWrap w:val="0"/>
                  <w:vAlign w:val="center"/>
                </w:tcPr>
                <w:p w14:paraId="3DEEBAE8">
                  <w:pPr>
                    <w:pStyle w:val="17"/>
                    <w:spacing w:line="280" w:lineRule="exact"/>
                    <w:ind w:left="0" w:leftChars="0" w:firstLine="0" w:firstLineChars="0"/>
                    <w:jc w:val="center"/>
                    <w:rPr>
                      <w:rFonts w:hint="eastAsia" w:ascii="Times New Roman" w:hAnsi="Times New Roman" w:eastAsia="宋体"/>
                      <w:b w:val="0"/>
                      <w:bCs/>
                      <w:color w:val="auto"/>
                      <w:sz w:val="21"/>
                      <w:lang w:eastAsia="zh-CN"/>
                    </w:rPr>
                  </w:pPr>
                  <w:r>
                    <w:rPr>
                      <w:rFonts w:ascii="Times New Roman" w:hAnsi="Times New Roman"/>
                      <w:b w:val="0"/>
                      <w:bCs/>
                      <w:color w:val="auto"/>
                      <w:sz w:val="21"/>
                    </w:rPr>
                    <w:t>项目废气收集系统的输送管道密闭</w:t>
                  </w:r>
                  <w:r>
                    <w:rPr>
                      <w:rFonts w:hint="eastAsia" w:ascii="Times New Roman" w:hAnsi="Times New Roman"/>
                      <w:b w:val="0"/>
                      <w:bCs/>
                      <w:color w:val="auto"/>
                      <w:sz w:val="21"/>
                      <w:lang w:eastAsia="zh-CN"/>
                    </w:rPr>
                    <w:t>。</w:t>
                  </w:r>
                </w:p>
              </w:tc>
              <w:tc>
                <w:tcPr>
                  <w:tcW w:w="884" w:type="dxa"/>
                  <w:noWrap w:val="0"/>
                  <w:vAlign w:val="center"/>
                </w:tcPr>
                <w:p w14:paraId="4F4C045F">
                  <w:pPr>
                    <w:pStyle w:val="17"/>
                    <w:spacing w:line="280" w:lineRule="exact"/>
                    <w:ind w:left="0" w:leftChars="0" w:firstLine="0" w:firstLineChars="0"/>
                    <w:jc w:val="center"/>
                    <w:rPr>
                      <w:rFonts w:ascii="Times New Roman" w:hAnsi="Times New Roman"/>
                      <w:b w:val="0"/>
                      <w:bCs/>
                      <w:color w:val="auto"/>
                      <w:sz w:val="21"/>
                    </w:rPr>
                  </w:pPr>
                  <w:r>
                    <w:rPr>
                      <w:rFonts w:hint="eastAsia" w:ascii="Times New Roman" w:hAnsi="Times New Roman"/>
                      <w:b w:val="0"/>
                      <w:bCs/>
                      <w:color w:val="auto"/>
                      <w:sz w:val="21"/>
                    </w:rPr>
                    <w:t>符合</w:t>
                  </w:r>
                </w:p>
              </w:tc>
            </w:tr>
            <w:tr w14:paraId="527E9775">
              <w:trPr>
                <w:trHeight w:val="297" w:hRule="atLeast"/>
              </w:trPr>
              <w:tc>
                <w:tcPr>
                  <w:tcW w:w="443" w:type="dxa"/>
                  <w:vMerge w:val="continue"/>
                  <w:noWrap w:val="0"/>
                  <w:vAlign w:val="center"/>
                </w:tcPr>
                <w:p w14:paraId="026648DD">
                  <w:pPr>
                    <w:pStyle w:val="17"/>
                    <w:spacing w:line="280" w:lineRule="exact"/>
                    <w:ind w:firstLineChars="0"/>
                    <w:jc w:val="center"/>
                    <w:outlineLvl w:val="9"/>
                    <w:rPr>
                      <w:rFonts w:ascii="Times New Roman" w:hAnsi="Times New Roman"/>
                      <w:b w:val="0"/>
                      <w:bCs/>
                      <w:color w:val="auto"/>
                      <w:sz w:val="21"/>
                    </w:rPr>
                  </w:pPr>
                </w:p>
              </w:tc>
              <w:tc>
                <w:tcPr>
                  <w:tcW w:w="1020" w:type="dxa"/>
                  <w:vMerge w:val="continue"/>
                  <w:noWrap w:val="0"/>
                  <w:vAlign w:val="center"/>
                </w:tcPr>
                <w:p w14:paraId="6CFB7137">
                  <w:pPr>
                    <w:pStyle w:val="17"/>
                    <w:spacing w:line="280" w:lineRule="exact"/>
                    <w:jc w:val="center"/>
                    <w:outlineLvl w:val="9"/>
                    <w:rPr>
                      <w:rFonts w:ascii="Times New Roman" w:hAnsi="Times New Roman"/>
                      <w:b w:val="0"/>
                      <w:bCs/>
                      <w:color w:val="auto"/>
                      <w:sz w:val="21"/>
                    </w:rPr>
                  </w:pPr>
                </w:p>
              </w:tc>
              <w:tc>
                <w:tcPr>
                  <w:tcW w:w="3167" w:type="dxa"/>
                  <w:noWrap w:val="0"/>
                  <w:vAlign w:val="center"/>
                </w:tcPr>
                <w:p w14:paraId="1CB5E92A">
                  <w:pPr>
                    <w:pStyle w:val="17"/>
                    <w:spacing w:line="280" w:lineRule="exact"/>
                    <w:ind w:left="0" w:leftChars="0" w:firstLine="0" w:firstLineChars="0"/>
                    <w:jc w:val="both"/>
                    <w:rPr>
                      <w:rFonts w:hint="eastAsia" w:ascii="Times New Roman" w:hAnsi="Times New Roman" w:eastAsia="宋体"/>
                      <w:b w:val="0"/>
                      <w:bCs/>
                      <w:color w:val="auto"/>
                      <w:sz w:val="21"/>
                      <w:lang w:eastAsia="zh-CN"/>
                    </w:rPr>
                  </w:pPr>
                  <w:r>
                    <w:rPr>
                      <w:rFonts w:ascii="Times New Roman" w:hAnsi="Times New Roman"/>
                      <w:b w:val="0"/>
                      <w:bCs/>
                      <w:color w:val="auto"/>
                      <w:sz w:val="21"/>
                    </w:rPr>
                    <w:t>收集的废气中NMHC初始排放速率建设项目位于重点地区，NMHC初始≥3kg/h时，应配置VOCs处理设施，处理效率不应低于80%；对于重点地区，收集的废气NMHC初始排放速率≥2kg/h时，应配置VOCs处理设施，处理效率不应低于80%；采用的原辅材料符合国家有关低VOCs含量产品规定的除外</w:t>
                  </w:r>
                  <w:r>
                    <w:rPr>
                      <w:rFonts w:hint="eastAsia" w:ascii="Times New Roman" w:hAnsi="Times New Roman"/>
                      <w:b w:val="0"/>
                      <w:bCs/>
                      <w:color w:val="auto"/>
                      <w:sz w:val="21"/>
                      <w:lang w:eastAsia="zh-CN"/>
                    </w:rPr>
                    <w:t>。</w:t>
                  </w:r>
                </w:p>
              </w:tc>
              <w:tc>
                <w:tcPr>
                  <w:tcW w:w="2203" w:type="dxa"/>
                  <w:noWrap w:val="0"/>
                  <w:vAlign w:val="center"/>
                </w:tcPr>
                <w:p w14:paraId="21979AF1">
                  <w:pPr>
                    <w:pStyle w:val="17"/>
                    <w:spacing w:line="280" w:lineRule="exact"/>
                    <w:ind w:left="0" w:leftChars="0" w:firstLine="0" w:firstLineChars="0"/>
                    <w:jc w:val="both"/>
                    <w:rPr>
                      <w:rFonts w:hint="eastAsia" w:ascii="Times New Roman" w:hAnsi="Times New Roman" w:eastAsia="宋体"/>
                      <w:b w:val="0"/>
                      <w:bCs/>
                      <w:color w:val="auto"/>
                      <w:sz w:val="21"/>
                      <w:lang w:eastAsia="zh-CN"/>
                    </w:rPr>
                  </w:pPr>
                  <w:r>
                    <w:rPr>
                      <w:rFonts w:hint="eastAsia" w:ascii="Times New Roman" w:hAnsi="Times New Roman"/>
                      <w:b w:val="0"/>
                      <w:bCs/>
                      <w:color w:val="auto"/>
                      <w:sz w:val="21"/>
                    </w:rPr>
                    <w:t>本项目吹瓶工序产生的非甲烷总烃经密闭收集后经二级活性炭吸附装置处理，满足《合成树脂工业污染物排放标准》（GB 31572-2015，含2024年修改单）表5中限值要求；消毒工序产生的非甲烷总烃经密闭收集后经碱喷淋装置处理，满足江苏省地方标准《大气污染物综合排放标准》（DB32/4041-2021）表1中限值要求。</w:t>
                  </w:r>
                </w:p>
              </w:tc>
              <w:tc>
                <w:tcPr>
                  <w:tcW w:w="884" w:type="dxa"/>
                  <w:noWrap w:val="0"/>
                  <w:vAlign w:val="center"/>
                </w:tcPr>
                <w:p w14:paraId="07056564">
                  <w:pPr>
                    <w:pStyle w:val="17"/>
                    <w:spacing w:line="280" w:lineRule="exact"/>
                    <w:ind w:left="0" w:leftChars="0" w:firstLine="0" w:firstLineChars="0"/>
                    <w:jc w:val="center"/>
                    <w:rPr>
                      <w:rFonts w:ascii="Times New Roman" w:hAnsi="Times New Roman"/>
                      <w:b w:val="0"/>
                      <w:bCs/>
                      <w:color w:val="auto"/>
                      <w:sz w:val="21"/>
                    </w:rPr>
                  </w:pPr>
                  <w:r>
                    <w:rPr>
                      <w:rFonts w:hint="eastAsia" w:ascii="Times New Roman" w:hAnsi="Times New Roman"/>
                      <w:b w:val="0"/>
                      <w:bCs/>
                      <w:color w:val="auto"/>
                      <w:sz w:val="21"/>
                    </w:rPr>
                    <w:t>符合</w:t>
                  </w:r>
                </w:p>
              </w:tc>
            </w:tr>
            <w:tr w14:paraId="1667A510">
              <w:trPr>
                <w:trHeight w:val="297" w:hRule="atLeast"/>
              </w:trPr>
              <w:tc>
                <w:tcPr>
                  <w:tcW w:w="443" w:type="dxa"/>
                  <w:vMerge w:val="continue"/>
                  <w:noWrap w:val="0"/>
                  <w:vAlign w:val="center"/>
                </w:tcPr>
                <w:p w14:paraId="21BF64DF">
                  <w:pPr>
                    <w:pStyle w:val="17"/>
                    <w:spacing w:line="280" w:lineRule="exact"/>
                    <w:ind w:firstLineChars="0"/>
                    <w:jc w:val="center"/>
                    <w:outlineLvl w:val="9"/>
                    <w:rPr>
                      <w:rFonts w:ascii="Times New Roman" w:hAnsi="Times New Roman"/>
                      <w:b w:val="0"/>
                      <w:bCs/>
                      <w:color w:val="auto"/>
                      <w:sz w:val="21"/>
                    </w:rPr>
                  </w:pPr>
                </w:p>
              </w:tc>
              <w:tc>
                <w:tcPr>
                  <w:tcW w:w="1020" w:type="dxa"/>
                  <w:vMerge w:val="continue"/>
                  <w:noWrap w:val="0"/>
                  <w:vAlign w:val="center"/>
                </w:tcPr>
                <w:p w14:paraId="782EF65A">
                  <w:pPr>
                    <w:pStyle w:val="17"/>
                    <w:spacing w:line="280" w:lineRule="exact"/>
                    <w:jc w:val="center"/>
                    <w:outlineLvl w:val="9"/>
                    <w:rPr>
                      <w:rFonts w:ascii="Times New Roman" w:hAnsi="Times New Roman"/>
                      <w:b w:val="0"/>
                      <w:bCs/>
                      <w:color w:val="auto"/>
                      <w:sz w:val="21"/>
                    </w:rPr>
                  </w:pPr>
                </w:p>
              </w:tc>
              <w:tc>
                <w:tcPr>
                  <w:tcW w:w="3167" w:type="dxa"/>
                  <w:noWrap w:val="0"/>
                  <w:vAlign w:val="center"/>
                </w:tcPr>
                <w:p w14:paraId="6081AC61">
                  <w:pPr>
                    <w:pStyle w:val="17"/>
                    <w:spacing w:line="280" w:lineRule="exact"/>
                    <w:ind w:left="0" w:leftChars="0" w:firstLine="0" w:firstLineChars="0"/>
                    <w:jc w:val="both"/>
                    <w:rPr>
                      <w:rFonts w:ascii="Times New Roman" w:hAnsi="Times New Roman"/>
                      <w:b w:val="0"/>
                      <w:bCs/>
                      <w:color w:val="auto"/>
                      <w:sz w:val="21"/>
                    </w:rPr>
                  </w:pPr>
                  <w:r>
                    <w:rPr>
                      <w:rFonts w:ascii="Times New Roman" w:hAnsi="Times New Roman"/>
                      <w:b w:val="0"/>
                      <w:bCs/>
                      <w:color w:val="auto"/>
                      <w:sz w:val="21"/>
                    </w:rPr>
                    <w:t>排气筒高度不低于15m（因安全考虑或有特殊工艺要求的除外），具体高度以及与周围建筑物的相对高度关系应根据环境影响评价文件确定。</w:t>
                  </w:r>
                </w:p>
              </w:tc>
              <w:tc>
                <w:tcPr>
                  <w:tcW w:w="2203" w:type="dxa"/>
                  <w:noWrap w:val="0"/>
                  <w:vAlign w:val="center"/>
                </w:tcPr>
                <w:p w14:paraId="40C2C04A">
                  <w:pPr>
                    <w:pStyle w:val="17"/>
                    <w:spacing w:line="280" w:lineRule="exact"/>
                    <w:ind w:left="0" w:leftChars="0" w:firstLine="0" w:firstLineChars="0"/>
                    <w:jc w:val="center"/>
                    <w:rPr>
                      <w:rFonts w:hint="default" w:ascii="Times New Roman" w:hAnsi="Times New Roman" w:eastAsia="宋体"/>
                      <w:b w:val="0"/>
                      <w:bCs/>
                      <w:color w:val="auto"/>
                      <w:sz w:val="21"/>
                      <w:lang w:val="en-US" w:eastAsia="zh-CN"/>
                    </w:rPr>
                  </w:pPr>
                  <w:r>
                    <w:rPr>
                      <w:rFonts w:hint="eastAsia" w:ascii="Times New Roman" w:hAnsi="Times New Roman"/>
                      <w:b w:val="0"/>
                      <w:bCs/>
                      <w:color w:val="auto"/>
                      <w:sz w:val="21"/>
                    </w:rPr>
                    <w:t>本项目排气筒高度为</w:t>
                  </w:r>
                  <w:r>
                    <w:rPr>
                      <w:rFonts w:hint="eastAsia" w:ascii="Times New Roman" w:hAnsi="Times New Roman"/>
                      <w:b w:val="0"/>
                      <w:bCs/>
                      <w:color w:val="auto"/>
                      <w:sz w:val="21"/>
                      <w:lang w:val="en-US" w:eastAsia="zh-CN"/>
                    </w:rPr>
                    <w:t>15</w:t>
                  </w:r>
                  <w:r>
                    <w:rPr>
                      <w:rFonts w:ascii="Times New Roman" w:hAnsi="Times New Roman"/>
                      <w:b w:val="0"/>
                      <w:bCs/>
                      <w:color w:val="auto"/>
                      <w:sz w:val="21"/>
                    </w:rPr>
                    <w:t>m</w:t>
                  </w:r>
                  <w:r>
                    <w:rPr>
                      <w:rFonts w:hint="eastAsia" w:ascii="Times New Roman" w:hAnsi="Times New Roman"/>
                      <w:b w:val="0"/>
                      <w:bCs/>
                      <w:color w:val="auto"/>
                      <w:sz w:val="21"/>
                      <w:lang w:val="en-US" w:eastAsia="zh-CN"/>
                    </w:rPr>
                    <w:t>。</w:t>
                  </w:r>
                </w:p>
              </w:tc>
              <w:tc>
                <w:tcPr>
                  <w:tcW w:w="884" w:type="dxa"/>
                  <w:noWrap w:val="0"/>
                  <w:vAlign w:val="center"/>
                </w:tcPr>
                <w:p w14:paraId="1EFFCC99">
                  <w:pPr>
                    <w:pStyle w:val="17"/>
                    <w:spacing w:line="280" w:lineRule="exact"/>
                    <w:ind w:left="0" w:leftChars="0" w:firstLine="0" w:firstLineChars="0"/>
                    <w:jc w:val="center"/>
                    <w:rPr>
                      <w:rFonts w:ascii="Times New Roman" w:hAnsi="Times New Roman"/>
                      <w:b w:val="0"/>
                      <w:bCs/>
                      <w:color w:val="auto"/>
                      <w:sz w:val="21"/>
                    </w:rPr>
                  </w:pPr>
                  <w:r>
                    <w:rPr>
                      <w:rFonts w:hint="eastAsia" w:ascii="Times New Roman" w:hAnsi="Times New Roman"/>
                      <w:b w:val="0"/>
                      <w:bCs/>
                      <w:color w:val="auto"/>
                      <w:sz w:val="21"/>
                    </w:rPr>
                    <w:t>符合</w:t>
                  </w:r>
                </w:p>
              </w:tc>
            </w:tr>
            <w:tr w14:paraId="4AC4A1D4">
              <w:trPr>
                <w:trHeight w:val="297" w:hRule="atLeast"/>
              </w:trPr>
              <w:tc>
                <w:tcPr>
                  <w:tcW w:w="443" w:type="dxa"/>
                  <w:noWrap w:val="0"/>
                  <w:vAlign w:val="center"/>
                </w:tcPr>
                <w:p w14:paraId="01C23842">
                  <w:pPr>
                    <w:pStyle w:val="17"/>
                    <w:numPr>
                      <w:ilvl w:val="0"/>
                      <w:numId w:val="3"/>
                    </w:numPr>
                    <w:spacing w:line="280" w:lineRule="exact"/>
                    <w:ind w:left="0" w:leftChars="0" w:firstLine="0" w:firstLineChars="0"/>
                    <w:jc w:val="center"/>
                    <w:rPr>
                      <w:rFonts w:ascii="Times New Roman" w:hAnsi="Times New Roman"/>
                      <w:b w:val="0"/>
                      <w:bCs/>
                      <w:color w:val="auto"/>
                      <w:sz w:val="21"/>
                    </w:rPr>
                  </w:pPr>
                </w:p>
              </w:tc>
              <w:tc>
                <w:tcPr>
                  <w:tcW w:w="1020" w:type="dxa"/>
                  <w:noWrap w:val="0"/>
                  <w:vAlign w:val="center"/>
                </w:tcPr>
                <w:p w14:paraId="75881F18">
                  <w:pPr>
                    <w:pStyle w:val="17"/>
                    <w:spacing w:line="280" w:lineRule="exact"/>
                    <w:ind w:left="0" w:leftChars="0" w:firstLine="0" w:firstLineChars="0"/>
                    <w:jc w:val="center"/>
                    <w:rPr>
                      <w:rFonts w:hint="eastAsia" w:ascii="Times New Roman" w:hAnsi="Times New Roman" w:eastAsia="宋体"/>
                      <w:b w:val="0"/>
                      <w:bCs/>
                      <w:color w:val="auto"/>
                      <w:sz w:val="21"/>
                      <w:lang w:eastAsia="zh-CN"/>
                    </w:rPr>
                  </w:pPr>
                  <w:r>
                    <w:rPr>
                      <w:rFonts w:ascii="Times New Roman" w:hAnsi="Times New Roman"/>
                      <w:b w:val="0"/>
                      <w:bCs/>
                      <w:color w:val="auto"/>
                      <w:sz w:val="21"/>
                    </w:rPr>
                    <w:t>《江苏省挥发性有机物污染防治管理办法》</w:t>
                  </w:r>
                  <w:r>
                    <w:rPr>
                      <w:rFonts w:hint="eastAsia" w:ascii="Times New Roman" w:hAnsi="Times New Roman"/>
                      <w:b w:val="0"/>
                      <w:bCs/>
                      <w:color w:val="auto"/>
                      <w:sz w:val="21"/>
                      <w:lang w:eastAsia="zh-CN"/>
                    </w:rPr>
                    <w:t>（</w:t>
                  </w:r>
                  <w:r>
                    <w:rPr>
                      <w:rFonts w:ascii="Times New Roman" w:hAnsi="Times New Roman"/>
                      <w:b w:val="0"/>
                      <w:bCs/>
                      <w:color w:val="auto"/>
                      <w:sz w:val="21"/>
                    </w:rPr>
                    <w:t>省政府令119号</w:t>
                  </w:r>
                  <w:r>
                    <w:rPr>
                      <w:rFonts w:hint="eastAsia" w:ascii="Times New Roman" w:hAnsi="Times New Roman"/>
                      <w:b w:val="0"/>
                      <w:bCs/>
                      <w:color w:val="auto"/>
                      <w:sz w:val="21"/>
                      <w:lang w:eastAsia="zh-CN"/>
                    </w:rPr>
                    <w:t>）</w:t>
                  </w:r>
                </w:p>
              </w:tc>
              <w:tc>
                <w:tcPr>
                  <w:tcW w:w="3167" w:type="dxa"/>
                  <w:noWrap w:val="0"/>
                  <w:vAlign w:val="center"/>
                </w:tcPr>
                <w:p w14:paraId="195B5791">
                  <w:pPr>
                    <w:pStyle w:val="17"/>
                    <w:spacing w:line="280" w:lineRule="exact"/>
                    <w:ind w:left="0" w:leftChars="0" w:firstLine="0" w:firstLineChars="0"/>
                    <w:jc w:val="both"/>
                    <w:rPr>
                      <w:rFonts w:ascii="Times New Roman" w:hAnsi="Times New Roman"/>
                      <w:b w:val="0"/>
                      <w:bCs/>
                      <w:color w:val="auto"/>
                      <w:sz w:val="21"/>
                    </w:rPr>
                  </w:pPr>
                  <w:r>
                    <w:rPr>
                      <w:rFonts w:ascii="Times New Roman" w:hAnsi="Times New Roman"/>
                      <w:b w:val="0"/>
                      <w:bCs/>
                      <w:color w:val="auto"/>
                      <w:sz w:val="21"/>
                    </w:rPr>
                    <w:t>产生挥发性有机物废气的生产经营活动应当在密闭空间或者密闭设备中进行。生产场所、生产设备应当按照环境保护和安全生产等要求设计、安装和有效运行挥发性有机物回收或净化设施；固体废物、废水、废气处理系统产生的废气应当收集和处理；含有挥发性有机物的物料应当密闭储存、运输、装卸、禁止敞口和露天放置。无法在密闭空间进行的生产经营活动应当采取有效措施，减少挥发性有机物排放量。</w:t>
                  </w:r>
                </w:p>
              </w:tc>
              <w:tc>
                <w:tcPr>
                  <w:tcW w:w="2203" w:type="dxa"/>
                  <w:noWrap w:val="0"/>
                  <w:vAlign w:val="center"/>
                </w:tcPr>
                <w:p w14:paraId="4B800CDD">
                  <w:pPr>
                    <w:pStyle w:val="17"/>
                    <w:spacing w:line="280" w:lineRule="exact"/>
                    <w:ind w:left="0" w:leftChars="0" w:firstLine="0" w:firstLineChars="0"/>
                    <w:jc w:val="both"/>
                    <w:rPr>
                      <w:rFonts w:hint="default" w:ascii="Times New Roman" w:hAnsi="Times New Roman" w:eastAsia="宋体"/>
                      <w:b w:val="0"/>
                      <w:bCs/>
                      <w:color w:val="auto"/>
                      <w:sz w:val="21"/>
                      <w:lang w:val="en-US" w:eastAsia="zh-CN"/>
                    </w:rPr>
                  </w:pPr>
                  <w:r>
                    <w:rPr>
                      <w:rFonts w:hint="eastAsia" w:ascii="Times New Roman" w:hAnsi="Times New Roman"/>
                      <w:b w:val="0"/>
                      <w:bCs/>
                      <w:color w:val="auto"/>
                      <w:sz w:val="21"/>
                      <w:lang w:val="en-US" w:eastAsia="zh-CN"/>
                    </w:rPr>
                    <w:t>本项目产生有机废气的环节均在密闭的设备中进行。吹瓶工序产生的非甲烷总烃经密闭收集后经二级活性炭吸附装置处理，消毒工序产生的非甲烷总烃经密闭收集后经碱喷淋装置处理。</w:t>
                  </w:r>
                </w:p>
              </w:tc>
              <w:tc>
                <w:tcPr>
                  <w:tcW w:w="884" w:type="dxa"/>
                  <w:noWrap w:val="0"/>
                  <w:vAlign w:val="center"/>
                </w:tcPr>
                <w:p w14:paraId="63427A33">
                  <w:pPr>
                    <w:pStyle w:val="17"/>
                    <w:spacing w:line="280" w:lineRule="exact"/>
                    <w:ind w:left="0" w:leftChars="0" w:firstLine="0" w:firstLineChars="0"/>
                    <w:jc w:val="center"/>
                    <w:rPr>
                      <w:rFonts w:ascii="Times New Roman" w:hAnsi="Times New Roman"/>
                      <w:b w:val="0"/>
                      <w:bCs/>
                      <w:color w:val="auto"/>
                      <w:sz w:val="21"/>
                    </w:rPr>
                  </w:pPr>
                  <w:r>
                    <w:rPr>
                      <w:rFonts w:hint="eastAsia" w:ascii="Times New Roman" w:hAnsi="Times New Roman"/>
                      <w:b w:val="0"/>
                      <w:bCs/>
                      <w:color w:val="auto"/>
                      <w:sz w:val="21"/>
                    </w:rPr>
                    <w:t>符合</w:t>
                  </w:r>
                </w:p>
              </w:tc>
            </w:tr>
            <w:tr w14:paraId="6154CA74">
              <w:trPr>
                <w:trHeight w:val="297" w:hRule="atLeast"/>
              </w:trPr>
              <w:tc>
                <w:tcPr>
                  <w:tcW w:w="443" w:type="dxa"/>
                  <w:noWrap w:val="0"/>
                  <w:vAlign w:val="center"/>
                </w:tcPr>
                <w:p w14:paraId="40087572">
                  <w:pPr>
                    <w:pStyle w:val="17"/>
                    <w:numPr>
                      <w:ilvl w:val="0"/>
                      <w:numId w:val="3"/>
                    </w:numPr>
                    <w:spacing w:line="280" w:lineRule="exact"/>
                    <w:ind w:left="0" w:leftChars="0" w:firstLine="0" w:firstLineChars="0"/>
                    <w:jc w:val="center"/>
                    <w:rPr>
                      <w:rFonts w:ascii="Times New Roman" w:hAnsi="Times New Roman"/>
                      <w:b w:val="0"/>
                      <w:bCs/>
                      <w:color w:val="auto"/>
                      <w:sz w:val="21"/>
                    </w:rPr>
                  </w:pPr>
                </w:p>
              </w:tc>
              <w:tc>
                <w:tcPr>
                  <w:tcW w:w="1020" w:type="dxa"/>
                  <w:noWrap w:val="0"/>
                  <w:vAlign w:val="center"/>
                </w:tcPr>
                <w:p w14:paraId="4C0ADA36">
                  <w:pPr>
                    <w:pStyle w:val="17"/>
                    <w:spacing w:line="280" w:lineRule="exact"/>
                    <w:ind w:left="0" w:leftChars="0" w:firstLine="0" w:firstLineChars="0"/>
                    <w:jc w:val="center"/>
                    <w:rPr>
                      <w:rFonts w:ascii="Times New Roman" w:hAnsi="Times New Roman"/>
                      <w:b w:val="0"/>
                      <w:bCs/>
                      <w:color w:val="auto"/>
                      <w:sz w:val="21"/>
                    </w:rPr>
                  </w:pPr>
                  <w:r>
                    <w:rPr>
                      <w:rFonts w:ascii="Times New Roman" w:hAnsi="Times New Roman"/>
                      <w:b w:val="0"/>
                      <w:bCs/>
                      <w:color w:val="auto"/>
                      <w:sz w:val="21"/>
                    </w:rPr>
                    <w:t>《江苏省大气污染防治条例》</w:t>
                  </w:r>
                </w:p>
              </w:tc>
              <w:tc>
                <w:tcPr>
                  <w:tcW w:w="3167" w:type="dxa"/>
                  <w:noWrap w:val="0"/>
                  <w:vAlign w:val="center"/>
                </w:tcPr>
                <w:p w14:paraId="0991CD5D">
                  <w:pPr>
                    <w:pStyle w:val="17"/>
                    <w:spacing w:line="280" w:lineRule="exact"/>
                    <w:ind w:left="0" w:leftChars="0" w:firstLine="0" w:firstLineChars="0"/>
                    <w:jc w:val="both"/>
                    <w:rPr>
                      <w:rFonts w:ascii="Times New Roman" w:hAnsi="Times New Roman"/>
                      <w:b w:val="0"/>
                      <w:bCs/>
                      <w:color w:val="auto"/>
                      <w:sz w:val="21"/>
                    </w:rPr>
                  </w:pPr>
                  <w:r>
                    <w:rPr>
                      <w:rFonts w:ascii="Times New Roman" w:hAnsi="Times New Roman"/>
                      <w:b w:val="0"/>
                      <w:bCs/>
                      <w:color w:val="auto"/>
                      <w:sz w:val="21"/>
                    </w:rPr>
                    <w:t>严格控制新建、改建、扩建钢铁、建材、石化、有色、化工等行业中的大气重污染工业项目。新建、改建、扩建的大气重污染工业项目生产过程中排放烟粉尘、硫化物和氮氧化物等大气污染物的，应当配套建设和使用除尘、脱硫、脱硝等减排装置，或者采取其他控制大气污染物排放的措施。</w:t>
                  </w:r>
                </w:p>
              </w:tc>
              <w:tc>
                <w:tcPr>
                  <w:tcW w:w="2203" w:type="dxa"/>
                  <w:noWrap w:val="0"/>
                  <w:vAlign w:val="center"/>
                </w:tcPr>
                <w:p w14:paraId="1E3BE7E2">
                  <w:pPr>
                    <w:pStyle w:val="17"/>
                    <w:spacing w:line="280" w:lineRule="exact"/>
                    <w:ind w:left="0" w:leftChars="0" w:firstLine="0" w:firstLineChars="0"/>
                    <w:jc w:val="both"/>
                    <w:rPr>
                      <w:rFonts w:hint="eastAsia" w:ascii="Times New Roman" w:hAnsi="Times New Roman" w:eastAsia="宋体"/>
                      <w:b w:val="0"/>
                      <w:bCs/>
                      <w:color w:val="auto"/>
                      <w:sz w:val="21"/>
                      <w:lang w:eastAsia="zh-CN"/>
                    </w:rPr>
                  </w:pPr>
                  <w:r>
                    <w:rPr>
                      <w:rFonts w:hint="eastAsia" w:ascii="Times New Roman" w:hAnsi="Times New Roman"/>
                      <w:b w:val="0"/>
                      <w:bCs/>
                      <w:color w:val="auto"/>
                      <w:sz w:val="21"/>
                    </w:rPr>
                    <w:t>本项目为</w:t>
                  </w:r>
                  <w:r>
                    <w:rPr>
                      <w:rFonts w:hint="eastAsia" w:ascii="Times New Roman" w:hAnsi="Times New Roman"/>
                      <w:b w:val="0"/>
                      <w:bCs/>
                      <w:color w:val="auto"/>
                      <w:sz w:val="21"/>
                      <w:lang w:val="en-US" w:eastAsia="zh-CN"/>
                    </w:rPr>
                    <w:t>淮安挑战者饮料有限公司饮料生产项目（不含碳酸饮料和酒）</w:t>
                  </w:r>
                  <w:r>
                    <w:rPr>
                      <w:rFonts w:hint="eastAsia" w:ascii="Times New Roman" w:hAnsi="Times New Roman"/>
                      <w:b w:val="0"/>
                      <w:bCs/>
                      <w:color w:val="auto"/>
                      <w:sz w:val="21"/>
                    </w:rPr>
                    <w:t>，不属于条例中的大气重污染工业项目</w:t>
                  </w:r>
                  <w:r>
                    <w:rPr>
                      <w:rFonts w:hint="eastAsia" w:ascii="Times New Roman" w:hAnsi="Times New Roman"/>
                      <w:b w:val="0"/>
                      <w:bCs/>
                      <w:color w:val="auto"/>
                      <w:sz w:val="21"/>
                      <w:lang w:eastAsia="zh-CN"/>
                    </w:rPr>
                    <w:t>。</w:t>
                  </w:r>
                </w:p>
              </w:tc>
              <w:tc>
                <w:tcPr>
                  <w:tcW w:w="884" w:type="dxa"/>
                  <w:noWrap w:val="0"/>
                  <w:vAlign w:val="center"/>
                </w:tcPr>
                <w:p w14:paraId="39248316">
                  <w:pPr>
                    <w:pStyle w:val="17"/>
                    <w:spacing w:line="280" w:lineRule="exact"/>
                    <w:ind w:left="0" w:leftChars="0" w:firstLine="0" w:firstLineChars="0"/>
                    <w:jc w:val="center"/>
                    <w:rPr>
                      <w:rFonts w:ascii="Times New Roman" w:hAnsi="Times New Roman"/>
                      <w:b w:val="0"/>
                      <w:bCs/>
                      <w:color w:val="auto"/>
                      <w:sz w:val="21"/>
                    </w:rPr>
                  </w:pPr>
                  <w:r>
                    <w:rPr>
                      <w:rFonts w:hint="eastAsia" w:ascii="Times New Roman" w:hAnsi="Times New Roman"/>
                      <w:b w:val="0"/>
                      <w:bCs/>
                      <w:color w:val="auto"/>
                      <w:sz w:val="21"/>
                    </w:rPr>
                    <w:t>符合</w:t>
                  </w:r>
                </w:p>
              </w:tc>
            </w:tr>
            <w:tr w14:paraId="3CD68580">
              <w:trPr>
                <w:trHeight w:val="297" w:hRule="atLeast"/>
              </w:trPr>
              <w:tc>
                <w:tcPr>
                  <w:tcW w:w="443" w:type="dxa"/>
                  <w:noWrap w:val="0"/>
                  <w:vAlign w:val="center"/>
                </w:tcPr>
                <w:p w14:paraId="3A1E8509">
                  <w:pPr>
                    <w:pStyle w:val="36"/>
                    <w:numPr>
                      <w:ilvl w:val="0"/>
                      <w:numId w:val="3"/>
                    </w:numPr>
                    <w:bidi w:val="0"/>
                    <w:ind w:left="0" w:leftChars="0" w:firstLine="0" w:firstLineChars="0"/>
                    <w:rPr>
                      <w:rFonts w:hint="default" w:ascii="Times New Roman" w:hAnsi="Times New Roman" w:cs="Times New Roman"/>
                      <w:b w:val="0"/>
                      <w:bCs/>
                      <w:color w:val="auto"/>
                      <w:sz w:val="21"/>
                    </w:rPr>
                  </w:pPr>
                </w:p>
              </w:tc>
              <w:tc>
                <w:tcPr>
                  <w:tcW w:w="1020" w:type="dxa"/>
                  <w:noWrap w:val="0"/>
                  <w:vAlign w:val="center"/>
                </w:tcPr>
                <w:p w14:paraId="7CBF13F8">
                  <w:pPr>
                    <w:pStyle w:val="36"/>
                    <w:bidi w:val="0"/>
                    <w:rPr>
                      <w:rFonts w:hint="default" w:ascii="Times New Roman" w:hAnsi="Times New Roman" w:cs="Times New Roman"/>
                      <w:b w:val="0"/>
                      <w:bCs/>
                      <w:color w:val="auto"/>
                      <w:sz w:val="21"/>
                    </w:rPr>
                  </w:pPr>
                  <w:r>
                    <w:rPr>
                      <w:rFonts w:hint="default" w:ascii="Times New Roman" w:hAnsi="Times New Roman" w:cs="Times New Roman"/>
                      <w:color w:val="auto"/>
                    </w:rPr>
                    <w:t>《2020年挥发性有机物治理攻坚方案》（环大气</w:t>
                  </w:r>
                  <w:r>
                    <w:rPr>
                      <w:rFonts w:hint="eastAsia" w:ascii="Times New Roman" w:cs="Times New Roman"/>
                      <w:color w:val="auto"/>
                      <w:lang w:eastAsia="zh-CN"/>
                    </w:rPr>
                    <w:t>〔2020〕33号</w:t>
                  </w:r>
                  <w:r>
                    <w:rPr>
                      <w:rFonts w:hint="default" w:ascii="Times New Roman" w:hAnsi="Times New Roman" w:cs="Times New Roman"/>
                      <w:color w:val="auto"/>
                    </w:rPr>
                    <w:t>）</w:t>
                  </w:r>
                </w:p>
              </w:tc>
              <w:tc>
                <w:tcPr>
                  <w:tcW w:w="3167" w:type="dxa"/>
                  <w:noWrap w:val="0"/>
                  <w:vAlign w:val="center"/>
                </w:tcPr>
                <w:p w14:paraId="28E1E361">
                  <w:pPr>
                    <w:pStyle w:val="36"/>
                    <w:bidi w:val="0"/>
                    <w:jc w:val="both"/>
                    <w:rPr>
                      <w:rFonts w:hint="default" w:ascii="Times New Roman" w:hAnsi="Times New Roman" w:cs="Times New Roman"/>
                      <w:b w:val="0"/>
                      <w:bCs/>
                      <w:color w:val="auto"/>
                      <w:sz w:val="21"/>
                    </w:rPr>
                  </w:pPr>
                  <w:r>
                    <w:rPr>
                      <w:rFonts w:hint="default" w:ascii="Times New Roman" w:hAnsi="Times New Roman" w:cs="Times New Roman"/>
                      <w:color w:val="auto"/>
                    </w:rPr>
                    <w:t>按照“应收尽收”的原则提升废气收集率。优先采用密闭设备、在密闭空间中操作或采用全密闭集气罩收集方式；对于采用局部集气罩的，应根据废气排放特点合理选择收集点位，距集气罩开口面最远处的VOCs无组织排放位置，控制风速不低于0.3米/秒</w:t>
                  </w:r>
                  <w:r>
                    <w:rPr>
                      <w:rFonts w:hint="default" w:ascii="Times New Roman" w:hAnsi="Times New Roman" w:cs="Times New Roman"/>
                      <w:color w:val="auto"/>
                      <w:lang w:eastAsia="zh-CN"/>
                    </w:rPr>
                    <w:t>。</w:t>
                  </w:r>
                </w:p>
              </w:tc>
              <w:tc>
                <w:tcPr>
                  <w:tcW w:w="2203" w:type="dxa"/>
                  <w:noWrap w:val="0"/>
                  <w:vAlign w:val="center"/>
                </w:tcPr>
                <w:p w14:paraId="12F67CE2">
                  <w:pPr>
                    <w:pStyle w:val="36"/>
                    <w:bidi w:val="0"/>
                    <w:jc w:val="both"/>
                    <w:rPr>
                      <w:rFonts w:hint="default" w:ascii="Times New Roman" w:hAnsi="Times New Roman" w:cs="Times New Roman"/>
                      <w:b w:val="0"/>
                      <w:bCs/>
                      <w:color w:val="auto"/>
                      <w:sz w:val="21"/>
                      <w:lang w:val="en-US"/>
                    </w:rPr>
                  </w:pPr>
                  <w:r>
                    <w:rPr>
                      <w:rFonts w:hint="default" w:ascii="Times New Roman" w:hAnsi="Times New Roman" w:cs="Times New Roman"/>
                      <w:color w:val="auto"/>
                      <w:lang w:val="en-US" w:eastAsia="zh-CN"/>
                    </w:rPr>
                    <w:t>本项目产生的有机废气环节均在密闭的设备中进行。吹瓶工序产生的非甲烷总烃经密闭收集后经二级活性炭吸附装置处理，消毒工序产生的非甲烷总烃经密闭收集后经碱喷淋装置处理。</w:t>
                  </w:r>
                </w:p>
              </w:tc>
              <w:tc>
                <w:tcPr>
                  <w:tcW w:w="884" w:type="dxa"/>
                  <w:noWrap w:val="0"/>
                  <w:vAlign w:val="center"/>
                </w:tcPr>
                <w:p w14:paraId="05A575AF">
                  <w:pPr>
                    <w:pStyle w:val="36"/>
                    <w:bidi w:val="0"/>
                    <w:rPr>
                      <w:rFonts w:hint="eastAsia" w:ascii="Times New Roman" w:hAnsi="Times New Roman"/>
                      <w:b w:val="0"/>
                      <w:bCs/>
                      <w:color w:val="auto"/>
                      <w:sz w:val="21"/>
                    </w:rPr>
                  </w:pPr>
                  <w:r>
                    <w:rPr>
                      <w:rFonts w:hint="eastAsia"/>
                      <w:color w:val="auto"/>
                      <w:lang w:val="en-US" w:eastAsia="zh-CN"/>
                    </w:rPr>
                    <w:t>符合</w:t>
                  </w:r>
                </w:p>
              </w:tc>
            </w:tr>
          </w:tbl>
          <w:p w14:paraId="61204D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eastAsia="宋体"/>
                <w:color w:val="auto"/>
                <w:lang w:val="en-US" w:eastAsia="zh-CN"/>
              </w:rPr>
            </w:pPr>
            <w:r>
              <w:rPr>
                <w:color w:val="auto"/>
                <w:sz w:val="24"/>
              </w:rPr>
              <w:t>《食品安全国家标准 食品生产通用卫生规范》（GB14881-2013）和《食品安全国家标准饮料生产卫生规范》（GB12695-2016）对饮料厂选址做出相关要求。</w:t>
            </w:r>
            <w:r>
              <w:rPr>
                <w:rFonts w:hint="eastAsia"/>
                <w:color w:val="auto"/>
                <w:sz w:val="24"/>
                <w:lang w:eastAsia="zh-CN"/>
              </w:rPr>
              <w:t>本项目</w:t>
            </w:r>
            <w:r>
              <w:rPr>
                <w:color w:val="auto"/>
                <w:sz w:val="24"/>
              </w:rPr>
              <w:t>与上述标准中要求对比情况见下表</w:t>
            </w:r>
            <w:r>
              <w:rPr>
                <w:rFonts w:hint="eastAsia"/>
                <w:color w:val="auto"/>
                <w:lang w:val="en-US" w:eastAsia="zh-CN"/>
              </w:rPr>
              <w:t>。</w:t>
            </w:r>
          </w:p>
          <w:p w14:paraId="3E838175">
            <w:pPr>
              <w:pStyle w:val="56"/>
              <w:keepNext w:val="0"/>
              <w:keepLines w:val="0"/>
              <w:suppressLineNumbers w:val="0"/>
              <w:bidi w:val="0"/>
              <w:spacing w:after="0"/>
              <w:ind w:left="0" w:right="0"/>
              <w:rPr>
                <w:color w:val="auto"/>
              </w:rPr>
            </w:pPr>
            <w:bookmarkStart w:id="0" w:name="_Toc32665"/>
            <w:r>
              <w:rPr>
                <w:rFonts w:hint="eastAsia"/>
                <w:color w:val="auto"/>
              </w:rPr>
              <w:t>表1-1</w:t>
            </w:r>
            <w:r>
              <w:rPr>
                <w:rFonts w:hint="eastAsia"/>
                <w:color w:val="auto"/>
                <w:lang w:val="en-US" w:eastAsia="zh-CN"/>
              </w:rPr>
              <w:t xml:space="preserve">2 </w:t>
            </w:r>
            <w:bookmarkEnd w:id="0"/>
            <w:r>
              <w:rPr>
                <w:rFonts w:hint="eastAsia"/>
                <w:color w:val="auto"/>
                <w:lang w:val="en-US" w:eastAsia="zh-CN"/>
              </w:rPr>
              <w:t xml:space="preserve"> </w:t>
            </w:r>
            <w:r>
              <w:rPr>
                <w:rFonts w:hint="eastAsia"/>
                <w:color w:val="auto"/>
              </w:rPr>
              <w:t>项目选址与相关规范的符合性分析一览表</w:t>
            </w:r>
          </w:p>
          <w:tbl>
            <w:tblPr>
              <w:tblStyle w:val="2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58"/>
              <w:gridCol w:w="4034"/>
              <w:gridCol w:w="942"/>
            </w:tblGrid>
            <w:tr w14:paraId="12CAC770">
              <w:trPr>
                <w:trHeight w:val="287" w:hRule="atLeast"/>
              </w:trPr>
              <w:tc>
                <w:tcPr>
                  <w:tcW w:w="1824" w:type="pct"/>
                  <w:noWrap w:val="0"/>
                  <w:vAlign w:val="center"/>
                </w:tcPr>
                <w:p w14:paraId="447BED75">
                  <w:pPr>
                    <w:pStyle w:val="36"/>
                    <w:keepNext w:val="0"/>
                    <w:keepLines w:val="0"/>
                    <w:suppressLineNumbers w:val="0"/>
                    <w:bidi w:val="0"/>
                    <w:spacing w:before="0" w:beforeAutospacing="0" w:after="0" w:afterAutospacing="0"/>
                    <w:ind w:left="0" w:right="0"/>
                    <w:rPr>
                      <w:color w:val="auto"/>
                    </w:rPr>
                  </w:pPr>
                  <w:r>
                    <w:rPr>
                      <w:color w:val="auto"/>
                    </w:rPr>
                    <w:t>要求</w:t>
                  </w:r>
                </w:p>
              </w:tc>
              <w:tc>
                <w:tcPr>
                  <w:tcW w:w="2574" w:type="pct"/>
                  <w:noWrap w:val="0"/>
                  <w:vAlign w:val="center"/>
                </w:tcPr>
                <w:p w14:paraId="27FCCB73">
                  <w:pPr>
                    <w:pStyle w:val="36"/>
                    <w:keepNext w:val="0"/>
                    <w:keepLines w:val="0"/>
                    <w:suppressLineNumbers w:val="0"/>
                    <w:bidi w:val="0"/>
                    <w:spacing w:before="0" w:beforeAutospacing="0" w:after="0" w:afterAutospacing="0"/>
                    <w:ind w:left="0" w:right="0"/>
                    <w:rPr>
                      <w:color w:val="auto"/>
                    </w:rPr>
                  </w:pPr>
                  <w:r>
                    <w:rPr>
                      <w:color w:val="auto"/>
                    </w:rPr>
                    <w:t>项目情况</w:t>
                  </w:r>
                </w:p>
              </w:tc>
              <w:tc>
                <w:tcPr>
                  <w:tcW w:w="601" w:type="pct"/>
                  <w:noWrap w:val="0"/>
                  <w:vAlign w:val="center"/>
                </w:tcPr>
                <w:p w14:paraId="1F995237">
                  <w:pPr>
                    <w:pStyle w:val="36"/>
                    <w:keepNext w:val="0"/>
                    <w:keepLines w:val="0"/>
                    <w:suppressLineNumbers w:val="0"/>
                    <w:bidi w:val="0"/>
                    <w:spacing w:before="0" w:beforeAutospacing="0" w:after="0" w:afterAutospacing="0"/>
                    <w:ind w:left="0" w:right="0"/>
                    <w:rPr>
                      <w:color w:val="auto"/>
                    </w:rPr>
                  </w:pPr>
                  <w:r>
                    <w:rPr>
                      <w:color w:val="auto"/>
                    </w:rPr>
                    <w:t>相符性分析</w:t>
                  </w:r>
                </w:p>
              </w:tc>
            </w:tr>
            <w:tr w14:paraId="62595AEC">
              <w:trPr>
                <w:trHeight w:val="287" w:hRule="atLeast"/>
              </w:trPr>
              <w:tc>
                <w:tcPr>
                  <w:tcW w:w="1824" w:type="pct"/>
                  <w:noWrap w:val="0"/>
                  <w:vAlign w:val="center"/>
                </w:tcPr>
                <w:p w14:paraId="397B52BC">
                  <w:pPr>
                    <w:pStyle w:val="36"/>
                    <w:keepNext w:val="0"/>
                    <w:keepLines w:val="0"/>
                    <w:suppressLineNumbers w:val="0"/>
                    <w:bidi w:val="0"/>
                    <w:spacing w:before="0" w:beforeAutospacing="0" w:after="0" w:afterAutospacing="0"/>
                    <w:ind w:left="0" w:right="0"/>
                    <w:rPr>
                      <w:color w:val="auto"/>
                    </w:rPr>
                  </w:pPr>
                  <w:r>
                    <w:rPr>
                      <w:color w:val="auto"/>
                    </w:rPr>
                    <w:t>厂区不应选择对食品有显著污染的区域。如某地对食品安全和食品宜食用性存在明显的不利影响，且无法通过采取措施加以改善，应避免在该地址建厂</w:t>
                  </w:r>
                </w:p>
              </w:tc>
              <w:tc>
                <w:tcPr>
                  <w:tcW w:w="2574" w:type="pct"/>
                  <w:noWrap w:val="0"/>
                  <w:vAlign w:val="center"/>
                </w:tcPr>
                <w:p w14:paraId="630ECAEA">
                  <w:pPr>
                    <w:pStyle w:val="36"/>
                    <w:keepNext w:val="0"/>
                    <w:keepLines w:val="0"/>
                    <w:suppressLineNumbers w:val="0"/>
                    <w:bidi w:val="0"/>
                    <w:spacing w:before="0" w:beforeAutospacing="0" w:after="0" w:afterAutospacing="0"/>
                    <w:ind w:left="0" w:right="0"/>
                    <w:rPr>
                      <w:rFonts w:hint="eastAsia" w:eastAsia="宋体"/>
                      <w:color w:val="auto"/>
                      <w:lang w:eastAsia="zh-CN"/>
                    </w:rPr>
                  </w:pPr>
                  <w:r>
                    <w:rPr>
                      <w:rFonts w:hint="default" w:ascii="Times New Roman" w:hAnsi="Times New Roman" w:cs="Times New Roman"/>
                      <w:color w:val="auto"/>
                    </w:rPr>
                    <w:t>项目位于江苏涟水经济开发区兴旺路28号，周围无高污染生产企业，对食品安全和食品宜食用性不存在明显的不利影响</w:t>
                  </w:r>
                  <w:r>
                    <w:rPr>
                      <w:rFonts w:hint="default" w:ascii="Times New Roman" w:hAnsi="Times New Roman" w:cs="Times New Roman"/>
                      <w:color w:val="auto"/>
                      <w:lang w:eastAsia="zh-CN"/>
                    </w:rPr>
                    <w:t>。</w:t>
                  </w:r>
                </w:p>
              </w:tc>
              <w:tc>
                <w:tcPr>
                  <w:tcW w:w="601" w:type="pct"/>
                  <w:noWrap w:val="0"/>
                  <w:vAlign w:val="center"/>
                </w:tcPr>
                <w:p w14:paraId="051679A9">
                  <w:pPr>
                    <w:pStyle w:val="36"/>
                    <w:keepNext w:val="0"/>
                    <w:keepLines w:val="0"/>
                    <w:suppressLineNumbers w:val="0"/>
                    <w:bidi w:val="0"/>
                    <w:spacing w:before="0" w:beforeAutospacing="0" w:after="0" w:afterAutospacing="0"/>
                    <w:ind w:left="0" w:right="0"/>
                    <w:rPr>
                      <w:color w:val="auto"/>
                    </w:rPr>
                  </w:pPr>
                  <w:r>
                    <w:rPr>
                      <w:color w:val="auto"/>
                    </w:rPr>
                    <w:t>符合</w:t>
                  </w:r>
                </w:p>
              </w:tc>
            </w:tr>
            <w:tr w14:paraId="2DD9813E">
              <w:trPr>
                <w:trHeight w:val="287" w:hRule="atLeast"/>
              </w:trPr>
              <w:tc>
                <w:tcPr>
                  <w:tcW w:w="1824" w:type="pct"/>
                  <w:noWrap w:val="0"/>
                  <w:vAlign w:val="center"/>
                </w:tcPr>
                <w:p w14:paraId="226BD727">
                  <w:pPr>
                    <w:pStyle w:val="36"/>
                    <w:keepNext w:val="0"/>
                    <w:keepLines w:val="0"/>
                    <w:suppressLineNumbers w:val="0"/>
                    <w:bidi w:val="0"/>
                    <w:spacing w:before="0" w:beforeAutospacing="0" w:after="0" w:afterAutospacing="0"/>
                    <w:ind w:left="0" w:right="0"/>
                    <w:rPr>
                      <w:color w:val="auto"/>
                    </w:rPr>
                  </w:pPr>
                  <w:r>
                    <w:rPr>
                      <w:color w:val="auto"/>
                    </w:rPr>
                    <w:t>厂区不应选择有害废弃物以及粉尘、有害气体、放射性物质和其他扩散性污染源不能有效清除的地址</w:t>
                  </w:r>
                </w:p>
              </w:tc>
              <w:tc>
                <w:tcPr>
                  <w:tcW w:w="2574" w:type="pct"/>
                  <w:noWrap w:val="0"/>
                  <w:vAlign w:val="center"/>
                </w:tcPr>
                <w:p w14:paraId="408439FC">
                  <w:pPr>
                    <w:pStyle w:val="36"/>
                    <w:keepNext w:val="0"/>
                    <w:keepLines w:val="0"/>
                    <w:suppressLineNumbers w:val="0"/>
                    <w:bidi w:val="0"/>
                    <w:spacing w:before="0" w:beforeAutospacing="0" w:after="0" w:afterAutospacing="0"/>
                    <w:ind w:left="0" w:right="0"/>
                    <w:jc w:val="both"/>
                    <w:rPr>
                      <w:rFonts w:hint="eastAsia" w:eastAsia="宋体"/>
                      <w:color w:val="auto"/>
                      <w:lang w:val="en-US" w:eastAsia="zh-CN"/>
                    </w:rPr>
                  </w:pPr>
                  <w:r>
                    <w:rPr>
                      <w:rFonts w:hint="eastAsia"/>
                      <w:color w:val="auto"/>
                      <w:lang w:val="en-US" w:eastAsia="zh-CN"/>
                    </w:rPr>
                    <w:t>根据现场调查，本项目厂区选址</w:t>
                  </w:r>
                  <w:r>
                    <w:rPr>
                      <w:color w:val="auto"/>
                    </w:rPr>
                    <w:t>外环境无有害废弃物以及粉尘、有害气体、放射性物质和其他扩散性污染源不能有效清除的地址，生产区建筑物与外缘道路有一定的距离并有绿化带隔开</w:t>
                  </w:r>
                  <w:r>
                    <w:rPr>
                      <w:rFonts w:hint="eastAsia"/>
                      <w:color w:val="auto"/>
                      <w:lang w:eastAsia="zh-CN"/>
                    </w:rPr>
                    <w:t>。</w:t>
                  </w:r>
                </w:p>
              </w:tc>
              <w:tc>
                <w:tcPr>
                  <w:tcW w:w="601" w:type="pct"/>
                  <w:noWrap w:val="0"/>
                  <w:vAlign w:val="center"/>
                </w:tcPr>
                <w:p w14:paraId="3FD318D7">
                  <w:pPr>
                    <w:pStyle w:val="36"/>
                    <w:keepNext w:val="0"/>
                    <w:keepLines w:val="0"/>
                    <w:suppressLineNumbers w:val="0"/>
                    <w:bidi w:val="0"/>
                    <w:spacing w:before="0" w:beforeAutospacing="0" w:after="0" w:afterAutospacing="0"/>
                    <w:ind w:left="0" w:right="0"/>
                    <w:rPr>
                      <w:color w:val="auto"/>
                    </w:rPr>
                  </w:pPr>
                  <w:r>
                    <w:rPr>
                      <w:color w:val="auto"/>
                    </w:rPr>
                    <w:t>符合</w:t>
                  </w:r>
                </w:p>
              </w:tc>
            </w:tr>
            <w:tr w14:paraId="58AFFAB1">
              <w:trPr>
                <w:trHeight w:val="287" w:hRule="atLeast"/>
              </w:trPr>
              <w:tc>
                <w:tcPr>
                  <w:tcW w:w="1824" w:type="pct"/>
                  <w:noWrap w:val="0"/>
                  <w:vAlign w:val="center"/>
                </w:tcPr>
                <w:p w14:paraId="71531367">
                  <w:pPr>
                    <w:pStyle w:val="36"/>
                    <w:keepNext w:val="0"/>
                    <w:keepLines w:val="0"/>
                    <w:suppressLineNumbers w:val="0"/>
                    <w:bidi w:val="0"/>
                    <w:spacing w:before="0" w:beforeAutospacing="0" w:after="0" w:afterAutospacing="0"/>
                    <w:ind w:left="0" w:right="0"/>
                    <w:rPr>
                      <w:color w:val="auto"/>
                    </w:rPr>
                  </w:pPr>
                  <w:r>
                    <w:rPr>
                      <w:color w:val="auto"/>
                    </w:rPr>
                    <w:t>厂区不宜择易发生洪涝灾害的地区，难以避开时应设计必要的防范措施</w:t>
                  </w:r>
                </w:p>
              </w:tc>
              <w:tc>
                <w:tcPr>
                  <w:tcW w:w="2574" w:type="pct"/>
                  <w:noWrap w:val="0"/>
                  <w:vAlign w:val="center"/>
                </w:tcPr>
                <w:p w14:paraId="3A189CB4">
                  <w:pPr>
                    <w:pStyle w:val="36"/>
                    <w:keepNext w:val="0"/>
                    <w:keepLines w:val="0"/>
                    <w:suppressLineNumbers w:val="0"/>
                    <w:bidi w:val="0"/>
                    <w:spacing w:before="0" w:beforeAutospacing="0" w:after="0" w:afterAutospacing="0"/>
                    <w:ind w:left="0" w:right="0"/>
                    <w:rPr>
                      <w:color w:val="auto"/>
                    </w:rPr>
                  </w:pPr>
                  <w:r>
                    <w:rPr>
                      <w:color w:val="auto"/>
                    </w:rPr>
                    <w:t>项目选址于涟水经济开发区，园区建设之初考虑附近水体水位情况，不易发生洪涝灾害</w:t>
                  </w:r>
                </w:p>
              </w:tc>
              <w:tc>
                <w:tcPr>
                  <w:tcW w:w="601" w:type="pct"/>
                  <w:noWrap w:val="0"/>
                  <w:vAlign w:val="center"/>
                </w:tcPr>
                <w:p w14:paraId="502CABC5">
                  <w:pPr>
                    <w:pStyle w:val="36"/>
                    <w:keepNext w:val="0"/>
                    <w:keepLines w:val="0"/>
                    <w:suppressLineNumbers w:val="0"/>
                    <w:bidi w:val="0"/>
                    <w:spacing w:before="0" w:beforeAutospacing="0" w:after="0" w:afterAutospacing="0"/>
                    <w:ind w:left="0" w:right="0"/>
                    <w:rPr>
                      <w:color w:val="auto"/>
                    </w:rPr>
                  </w:pPr>
                  <w:r>
                    <w:rPr>
                      <w:color w:val="auto"/>
                    </w:rPr>
                    <w:t>符合</w:t>
                  </w:r>
                </w:p>
              </w:tc>
            </w:tr>
            <w:tr w14:paraId="125B06C1">
              <w:trPr>
                <w:trHeight w:val="297" w:hRule="atLeast"/>
              </w:trPr>
              <w:tc>
                <w:tcPr>
                  <w:tcW w:w="1824" w:type="pct"/>
                  <w:noWrap w:val="0"/>
                  <w:vAlign w:val="center"/>
                </w:tcPr>
                <w:p w14:paraId="1FDAF570">
                  <w:pPr>
                    <w:pStyle w:val="36"/>
                    <w:keepNext w:val="0"/>
                    <w:keepLines w:val="0"/>
                    <w:suppressLineNumbers w:val="0"/>
                    <w:bidi w:val="0"/>
                    <w:spacing w:before="0" w:beforeAutospacing="0" w:after="0" w:afterAutospacing="0"/>
                    <w:ind w:left="0" w:right="0"/>
                    <w:rPr>
                      <w:color w:val="auto"/>
                    </w:rPr>
                  </w:pPr>
                  <w:r>
                    <w:rPr>
                      <w:color w:val="auto"/>
                    </w:rPr>
                    <w:t>厂区周围不宜有虫害大量</w:t>
                  </w:r>
                  <w:r>
                    <w:rPr>
                      <w:rFonts w:hint="eastAsia"/>
                      <w:color w:val="auto"/>
                      <w:lang w:eastAsia="zh-CN"/>
                    </w:rPr>
                    <w:t>滋生</w:t>
                  </w:r>
                  <w:r>
                    <w:rPr>
                      <w:color w:val="auto"/>
                    </w:rPr>
                    <w:t>的潜在场所，难以避开时应设计必要的防范措施</w:t>
                  </w:r>
                </w:p>
              </w:tc>
              <w:tc>
                <w:tcPr>
                  <w:tcW w:w="2574" w:type="pct"/>
                  <w:noWrap w:val="0"/>
                  <w:vAlign w:val="center"/>
                </w:tcPr>
                <w:p w14:paraId="1B053908">
                  <w:pPr>
                    <w:pStyle w:val="36"/>
                    <w:keepNext w:val="0"/>
                    <w:keepLines w:val="0"/>
                    <w:suppressLineNumbers w:val="0"/>
                    <w:bidi w:val="0"/>
                    <w:spacing w:before="0" w:beforeAutospacing="0" w:after="0" w:afterAutospacing="0"/>
                    <w:ind w:left="0" w:right="0"/>
                    <w:rPr>
                      <w:rFonts w:hint="eastAsia" w:eastAsia="宋体"/>
                      <w:color w:val="auto"/>
                      <w:lang w:eastAsia="zh-CN"/>
                    </w:rPr>
                  </w:pPr>
                  <w:r>
                    <w:rPr>
                      <w:color w:val="auto"/>
                    </w:rPr>
                    <w:t>根据现场调查，</w:t>
                  </w:r>
                  <w:r>
                    <w:rPr>
                      <w:rFonts w:hint="eastAsia"/>
                      <w:color w:val="auto"/>
                      <w:lang w:eastAsia="zh-CN"/>
                    </w:rPr>
                    <w:t>本项目</w:t>
                  </w:r>
                  <w:r>
                    <w:rPr>
                      <w:color w:val="auto"/>
                    </w:rPr>
                    <w:t>周围无虫害大量滋生的潜在场所，厂区拟建设相应的防虫害措施，避免其进入厂区</w:t>
                  </w:r>
                  <w:r>
                    <w:rPr>
                      <w:rFonts w:hint="eastAsia"/>
                      <w:color w:val="auto"/>
                      <w:lang w:eastAsia="zh-CN"/>
                    </w:rPr>
                    <w:t>。</w:t>
                  </w:r>
                </w:p>
              </w:tc>
              <w:tc>
                <w:tcPr>
                  <w:tcW w:w="601" w:type="pct"/>
                  <w:noWrap w:val="0"/>
                  <w:vAlign w:val="center"/>
                </w:tcPr>
                <w:p w14:paraId="394D5CF1">
                  <w:pPr>
                    <w:pStyle w:val="36"/>
                    <w:keepNext w:val="0"/>
                    <w:keepLines w:val="0"/>
                    <w:suppressLineNumbers w:val="0"/>
                    <w:bidi w:val="0"/>
                    <w:spacing w:before="0" w:beforeAutospacing="0" w:after="0" w:afterAutospacing="0"/>
                    <w:ind w:left="0" w:right="0"/>
                    <w:rPr>
                      <w:color w:val="auto"/>
                    </w:rPr>
                  </w:pPr>
                  <w:r>
                    <w:rPr>
                      <w:color w:val="auto"/>
                    </w:rPr>
                    <w:t>符合</w:t>
                  </w:r>
                </w:p>
              </w:tc>
            </w:tr>
          </w:tbl>
          <w:p w14:paraId="3E97BD2E">
            <w:pPr>
              <w:keepNext w:val="0"/>
              <w:keepLines w:val="0"/>
              <w:pageBreakBefore w:val="0"/>
              <w:tabs>
                <w:tab w:val="center" w:pos="4818"/>
              </w:tabs>
              <w:kinsoku/>
              <w:wordWrap/>
              <w:overflowPunct/>
              <w:topLinePunct w:val="0"/>
              <w:bidi w:val="0"/>
              <w:spacing w:line="360" w:lineRule="auto"/>
              <w:ind w:firstLine="480" w:firstLineChars="200"/>
              <w:textAlignment w:val="auto"/>
              <w:rPr>
                <w:b w:val="0"/>
                <w:bCs w:val="0"/>
                <w:color w:val="auto"/>
                <w:sz w:val="24"/>
              </w:rPr>
            </w:pPr>
            <w:r>
              <w:rPr>
                <w:rFonts w:hint="eastAsia"/>
                <w:b w:val="0"/>
                <w:bCs w:val="0"/>
                <w:color w:val="auto"/>
                <w:sz w:val="24"/>
                <w:lang w:val="en-US" w:eastAsia="zh-CN"/>
              </w:rPr>
              <w:t>4.</w:t>
            </w:r>
            <w:r>
              <w:rPr>
                <w:rFonts w:hint="eastAsia"/>
                <w:b w:val="0"/>
                <w:bCs w:val="0"/>
                <w:color w:val="auto"/>
                <w:sz w:val="24"/>
              </w:rPr>
              <w:t>项目</w:t>
            </w:r>
            <w:r>
              <w:rPr>
                <w:b w:val="0"/>
                <w:bCs w:val="0"/>
                <w:color w:val="auto"/>
                <w:sz w:val="24"/>
              </w:rPr>
              <w:t>选址</w:t>
            </w:r>
            <w:r>
              <w:rPr>
                <w:rFonts w:hint="eastAsia"/>
                <w:b w:val="0"/>
                <w:bCs w:val="0"/>
                <w:color w:val="auto"/>
                <w:sz w:val="24"/>
              </w:rPr>
              <w:t>合理性</w:t>
            </w:r>
            <w:r>
              <w:rPr>
                <w:b w:val="0"/>
                <w:bCs w:val="0"/>
                <w:color w:val="auto"/>
                <w:sz w:val="24"/>
              </w:rPr>
              <w:t>分析</w:t>
            </w:r>
          </w:p>
          <w:p w14:paraId="1892FABA">
            <w:pPr>
              <w:keepNext w:val="0"/>
              <w:keepLines w:val="0"/>
              <w:pageBreakBefore w:val="0"/>
              <w:widowControl/>
              <w:kinsoku/>
              <w:wordWrap/>
              <w:overflowPunct/>
              <w:topLinePunct w:val="0"/>
              <w:bidi w:val="0"/>
              <w:spacing w:line="360" w:lineRule="auto"/>
              <w:ind w:firstLine="480" w:firstLineChars="200"/>
              <w:jc w:val="left"/>
              <w:textAlignment w:val="auto"/>
              <w:rPr>
                <w:color w:val="auto"/>
                <w:sz w:val="24"/>
              </w:rPr>
            </w:pPr>
            <w:r>
              <w:rPr>
                <w:rFonts w:hint="eastAsia"/>
                <w:color w:val="auto"/>
                <w:sz w:val="24"/>
              </w:rPr>
              <w:t>本</w:t>
            </w:r>
            <w:r>
              <w:rPr>
                <w:color w:val="auto"/>
                <w:sz w:val="24"/>
              </w:rPr>
              <w:t>项目位于</w:t>
            </w:r>
            <w:r>
              <w:rPr>
                <w:rFonts w:hint="eastAsia"/>
                <w:color w:val="auto"/>
                <w:sz w:val="24"/>
              </w:rPr>
              <w:t>淮安市</w:t>
            </w:r>
            <w:r>
              <w:rPr>
                <w:rFonts w:hint="eastAsia"/>
                <w:color w:val="auto"/>
                <w:sz w:val="24"/>
                <w:lang w:eastAsia="zh-CN"/>
              </w:rPr>
              <w:t>涟水县经济开发区</w:t>
            </w:r>
            <w:r>
              <w:rPr>
                <w:rFonts w:hint="eastAsia"/>
                <w:color w:val="auto"/>
                <w:sz w:val="24"/>
                <w:lang w:val="en-US" w:eastAsia="zh-CN"/>
              </w:rPr>
              <w:t>内</w:t>
            </w:r>
            <w:r>
              <w:rPr>
                <w:color w:val="auto"/>
                <w:sz w:val="24"/>
              </w:rPr>
              <w:t>，为</w:t>
            </w:r>
            <w:r>
              <w:rPr>
                <w:rFonts w:hint="eastAsia"/>
                <w:color w:val="auto"/>
                <w:sz w:val="24"/>
                <w:lang w:eastAsia="zh-CN"/>
              </w:rPr>
              <w:t>淮安挑战者饮料有限公司饮料生产项目（不含碳酸饮料和酒）</w:t>
            </w:r>
            <w:r>
              <w:rPr>
                <w:color w:val="auto"/>
                <w:sz w:val="24"/>
              </w:rPr>
              <w:t>，</w:t>
            </w:r>
            <w:r>
              <w:rPr>
                <w:rFonts w:hint="eastAsia"/>
                <w:color w:val="auto"/>
                <w:sz w:val="24"/>
              </w:rPr>
              <w:t>本</w:t>
            </w:r>
            <w:r>
              <w:rPr>
                <w:color w:val="auto"/>
                <w:sz w:val="24"/>
              </w:rPr>
              <w:t>项目用地属于</w:t>
            </w:r>
            <w:r>
              <w:rPr>
                <w:rFonts w:hint="eastAsia"/>
                <w:color w:val="auto"/>
                <w:sz w:val="24"/>
                <w:lang w:val="en-US" w:eastAsia="zh-CN"/>
              </w:rPr>
              <w:t>工业</w:t>
            </w:r>
            <w:r>
              <w:rPr>
                <w:color w:val="auto"/>
                <w:sz w:val="24"/>
              </w:rPr>
              <w:t>用地，</w:t>
            </w:r>
            <w:r>
              <w:rPr>
                <w:rFonts w:hint="eastAsia"/>
                <w:color w:val="auto"/>
                <w:sz w:val="24"/>
              </w:rPr>
              <w:t>对照国家《自然资源要素支撑产业高质量发展指导目录（2024年本）》及《江苏省限制用地项目目录（2013年本）》和《江苏省禁止用地项目目录（2013年本）》相关名录</w:t>
            </w:r>
            <w:r>
              <w:rPr>
                <w:color w:val="auto"/>
                <w:sz w:val="24"/>
              </w:rPr>
              <w:t>，本项目不属于其规定的限制用地和禁止用地项目范畴。</w:t>
            </w:r>
          </w:p>
          <w:p w14:paraId="5265270F">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hint="eastAsia" w:cs="宋体"/>
                <w:color w:val="auto"/>
                <w:kern w:val="0"/>
                <w:sz w:val="24"/>
                <w:szCs w:val="21"/>
              </w:rPr>
            </w:pPr>
            <w:r>
              <w:rPr>
                <w:rFonts w:hint="eastAsia"/>
                <w:color w:val="auto"/>
                <w:sz w:val="24"/>
              </w:rPr>
              <w:t>综上所述</w:t>
            </w:r>
            <w:r>
              <w:rPr>
                <w:color w:val="auto"/>
                <w:sz w:val="24"/>
              </w:rPr>
              <w:t>，</w:t>
            </w:r>
            <w:r>
              <w:rPr>
                <w:rFonts w:hint="eastAsia"/>
                <w:color w:val="auto"/>
                <w:sz w:val="24"/>
              </w:rPr>
              <w:t>本</w:t>
            </w:r>
            <w:r>
              <w:rPr>
                <w:color w:val="auto"/>
                <w:sz w:val="24"/>
              </w:rPr>
              <w:t>项目选址</w:t>
            </w:r>
            <w:r>
              <w:rPr>
                <w:rFonts w:hint="eastAsia"/>
                <w:color w:val="auto"/>
                <w:sz w:val="24"/>
              </w:rPr>
              <w:t>基本合理</w:t>
            </w:r>
            <w:r>
              <w:rPr>
                <w:color w:val="auto"/>
                <w:sz w:val="24"/>
              </w:rPr>
              <w:t>。</w:t>
            </w:r>
          </w:p>
        </w:tc>
      </w:tr>
    </w:tbl>
    <w:p w14:paraId="0DE2B656">
      <w:pPr>
        <w:spacing w:line="360" w:lineRule="auto"/>
        <w:outlineLvl w:val="0"/>
        <w:rPr>
          <w:rFonts w:eastAsia="黑体"/>
          <w:color w:val="auto"/>
          <w:sz w:val="30"/>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3189CBD6">
      <w:pPr>
        <w:pStyle w:val="14"/>
        <w:spacing w:line="500" w:lineRule="exact"/>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二、建设项目工程分析</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4"/>
        <w:gridCol w:w="8636"/>
      </w:tblGrid>
      <w:tr w14:paraId="08930DC5">
        <w:trPr>
          <w:trHeight w:val="12107" w:hRule="atLeast"/>
          <w:jc w:val="center"/>
        </w:trPr>
        <w:tc>
          <w:tcPr>
            <w:tcW w:w="823" w:type="dxa"/>
            <w:noWrap w:val="0"/>
            <w:vAlign w:val="center"/>
          </w:tcPr>
          <w:p w14:paraId="33499813">
            <w:pPr>
              <w:pStyle w:val="14"/>
              <w:adjustRightInd w:val="0"/>
              <w:snapToGrid w:val="0"/>
              <w:spacing w:before="0" w:beforeAutospacing="0" w:after="0" w:afterAutospacing="0"/>
              <w:jc w:val="center"/>
              <w:rPr>
                <w:rFonts w:cs="宋体"/>
                <w:color w:val="auto"/>
                <w:sz w:val="21"/>
                <w:szCs w:val="21"/>
              </w:rPr>
            </w:pPr>
            <w:r>
              <w:rPr>
                <w:rFonts w:hint="eastAsia" w:cs="宋体"/>
                <w:color w:val="auto"/>
                <w:sz w:val="21"/>
                <w:szCs w:val="21"/>
              </w:rPr>
              <w:t>建设内容</w:t>
            </w:r>
          </w:p>
        </w:tc>
        <w:tc>
          <w:tcPr>
            <w:tcW w:w="8161" w:type="dxa"/>
            <w:noWrap w:val="0"/>
            <w:vAlign w:val="top"/>
          </w:tcPr>
          <w:p w14:paraId="3E06FFA0">
            <w:pPr>
              <w:keepNext w:val="0"/>
              <w:keepLines w:val="0"/>
              <w:pageBreakBefore w:val="0"/>
              <w:widowControl w:val="0"/>
              <w:numPr>
                <w:ilvl w:val="0"/>
                <w:numId w:val="4"/>
              </w:numPr>
              <w:kinsoku/>
              <w:wordWrap/>
              <w:overflowPunct/>
              <w:topLinePunct w:val="0"/>
              <w:bidi w:val="0"/>
              <w:adjustRightInd w:val="0"/>
              <w:snapToGrid w:val="0"/>
              <w:spacing w:line="360" w:lineRule="auto"/>
              <w:ind w:firstLine="482" w:firstLineChars="200"/>
              <w:textAlignment w:val="auto"/>
              <w:rPr>
                <w:b/>
                <w:bCs/>
                <w:color w:val="auto"/>
                <w:sz w:val="24"/>
              </w:rPr>
            </w:pPr>
            <w:r>
              <w:rPr>
                <w:rFonts w:hint="eastAsia"/>
                <w:b/>
                <w:bCs/>
                <w:color w:val="auto"/>
                <w:sz w:val="24"/>
              </w:rPr>
              <w:t>项目由来</w:t>
            </w:r>
          </w:p>
          <w:p w14:paraId="5C662E7B">
            <w:pPr>
              <w:pStyle w:val="17"/>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default" w:eastAsia="宋体"/>
                <w:b w:val="0"/>
                <w:bCs w:val="0"/>
                <w:color w:val="auto"/>
                <w:lang w:val="en-US" w:eastAsia="zh-CN"/>
              </w:rPr>
            </w:pPr>
            <w:r>
              <w:rPr>
                <w:rFonts w:hint="eastAsia" w:ascii="Times New Roman" w:hAnsi="Times New Roman"/>
                <w:b w:val="0"/>
                <w:bCs w:val="0"/>
                <w:color w:val="auto"/>
                <w:lang w:val="en-US" w:eastAsia="zh-CN"/>
              </w:rPr>
              <w:t>淮安挑战者饮料有限公司</w:t>
            </w:r>
            <w:r>
              <w:rPr>
                <w:rFonts w:hint="eastAsia" w:ascii="Times New Roman" w:hAnsi="Times New Roman"/>
                <w:b w:val="0"/>
                <w:bCs w:val="0"/>
                <w:color w:val="auto"/>
              </w:rPr>
              <w:t>拟</w:t>
            </w:r>
            <w:r>
              <w:rPr>
                <w:rFonts w:hint="eastAsia" w:ascii="Times New Roman" w:hAnsi="Times New Roman"/>
                <w:b w:val="0"/>
                <w:bCs w:val="0"/>
                <w:color w:val="auto"/>
                <w:lang w:val="en-US" w:eastAsia="zh-CN"/>
              </w:rPr>
              <w:t>购置</w:t>
            </w:r>
            <w:r>
              <w:rPr>
                <w:rFonts w:hint="eastAsia" w:ascii="Times New Roman" w:hAnsi="Times New Roman"/>
                <w:b w:val="0"/>
                <w:bCs w:val="0"/>
                <w:color w:val="auto"/>
                <w:lang w:eastAsia="zh-CN"/>
              </w:rPr>
              <w:t>涟水县经济开发区</w:t>
            </w:r>
            <w:r>
              <w:rPr>
                <w:rFonts w:hint="eastAsia" w:ascii="Times New Roman" w:hAnsi="Times New Roman"/>
                <w:b w:val="0"/>
                <w:bCs w:val="0"/>
                <w:color w:val="auto"/>
                <w:lang w:val="en-US" w:eastAsia="zh-CN"/>
              </w:rPr>
              <w:t>兴旺路28号（兴旺路北侧、高坚科技东侧）工业用地，新建生产厂房及辅助用房用于淮安挑战者饮料有限公司饮料生产项目（不含碳酸饮料和酒）的建设</w:t>
            </w:r>
            <w:r>
              <w:rPr>
                <w:rFonts w:hint="eastAsia" w:ascii="Times New Roman" w:hAnsi="Times New Roman"/>
                <w:b w:val="0"/>
                <w:bCs w:val="0"/>
                <w:color w:val="auto"/>
              </w:rPr>
              <w:t>。</w:t>
            </w:r>
            <w:r>
              <w:rPr>
                <w:rFonts w:hint="eastAsia" w:ascii="Times New Roman" w:hAnsi="Times New Roman"/>
                <w:b w:val="0"/>
                <w:bCs w:val="0"/>
                <w:color w:val="auto"/>
                <w:lang w:val="en-US" w:eastAsia="zh-CN"/>
              </w:rPr>
              <w:t>本</w:t>
            </w:r>
            <w:r>
              <w:rPr>
                <w:rFonts w:hint="eastAsia"/>
                <w:b w:val="0"/>
                <w:bCs w:val="0"/>
                <w:color w:val="auto"/>
                <w:lang w:val="en-US" w:eastAsia="zh-CN"/>
              </w:rPr>
              <w:t>项目</w:t>
            </w:r>
            <w:r>
              <w:rPr>
                <w:rFonts w:hint="eastAsia" w:ascii="Times New Roman" w:hAnsi="Times New Roman" w:eastAsia="宋体"/>
                <w:b w:val="0"/>
                <w:bCs w:val="0"/>
                <w:color w:val="auto"/>
                <w:sz w:val="24"/>
                <w:lang w:val="en-US" w:eastAsia="zh-CN"/>
              </w:rPr>
              <w:t>于202</w:t>
            </w:r>
            <w:r>
              <w:rPr>
                <w:rFonts w:hint="eastAsia" w:ascii="Times New Roman" w:hAnsi="Times New Roman"/>
                <w:b w:val="0"/>
                <w:bCs w:val="0"/>
                <w:color w:val="auto"/>
                <w:sz w:val="24"/>
                <w:lang w:val="en-US" w:eastAsia="zh-CN"/>
              </w:rPr>
              <w:t>5</w:t>
            </w:r>
            <w:r>
              <w:rPr>
                <w:rFonts w:hint="eastAsia" w:ascii="Times New Roman" w:hAnsi="Times New Roman" w:eastAsia="宋体"/>
                <w:b w:val="0"/>
                <w:bCs w:val="0"/>
                <w:color w:val="auto"/>
                <w:sz w:val="24"/>
                <w:lang w:val="en-US" w:eastAsia="zh-CN"/>
              </w:rPr>
              <w:t>年</w:t>
            </w:r>
            <w:r>
              <w:rPr>
                <w:rFonts w:hint="eastAsia" w:ascii="Times New Roman" w:hAnsi="Times New Roman"/>
                <w:b w:val="0"/>
                <w:bCs w:val="0"/>
                <w:color w:val="auto"/>
                <w:sz w:val="24"/>
                <w:lang w:val="en-US" w:eastAsia="zh-CN"/>
              </w:rPr>
              <w:t>6</w:t>
            </w:r>
            <w:r>
              <w:rPr>
                <w:rFonts w:hint="eastAsia" w:ascii="Times New Roman" w:hAnsi="Times New Roman" w:eastAsia="宋体"/>
                <w:b w:val="0"/>
                <w:bCs w:val="0"/>
                <w:color w:val="auto"/>
                <w:sz w:val="24"/>
                <w:lang w:val="en-US" w:eastAsia="zh-CN"/>
              </w:rPr>
              <w:t>月</w:t>
            </w:r>
            <w:r>
              <w:rPr>
                <w:rFonts w:hint="eastAsia" w:ascii="Times New Roman" w:hAnsi="Times New Roman"/>
                <w:b w:val="0"/>
                <w:bCs w:val="0"/>
                <w:color w:val="auto"/>
                <w:sz w:val="24"/>
                <w:lang w:val="en-US" w:eastAsia="zh-CN"/>
              </w:rPr>
              <w:t>26日</w:t>
            </w:r>
            <w:r>
              <w:rPr>
                <w:rFonts w:hint="eastAsia" w:ascii="Times New Roman" w:hAnsi="Times New Roman" w:eastAsia="宋体"/>
                <w:b w:val="0"/>
                <w:bCs w:val="0"/>
                <w:color w:val="auto"/>
                <w:sz w:val="24"/>
                <w:lang w:val="en-US" w:eastAsia="zh-CN"/>
              </w:rPr>
              <w:t>取得</w:t>
            </w:r>
            <w:r>
              <w:rPr>
                <w:rFonts w:hint="eastAsia" w:ascii="Times New Roman" w:hAnsi="Times New Roman"/>
                <w:b w:val="0"/>
                <w:bCs w:val="0"/>
                <w:color w:val="auto"/>
                <w:sz w:val="24"/>
                <w:lang w:val="en-US" w:eastAsia="zh-CN"/>
              </w:rPr>
              <w:t>江苏涟水经济开发区管理委员会</w:t>
            </w:r>
            <w:r>
              <w:rPr>
                <w:rFonts w:hint="eastAsia" w:ascii="Times New Roman" w:hAnsi="Times New Roman" w:eastAsia="宋体"/>
                <w:b w:val="0"/>
                <w:bCs w:val="0"/>
                <w:color w:val="auto"/>
                <w:sz w:val="24"/>
                <w:lang w:val="en-US" w:eastAsia="zh-CN"/>
              </w:rPr>
              <w:t>对该项目的备案（备案证号：</w:t>
            </w:r>
            <w:r>
              <w:rPr>
                <w:rFonts w:hint="eastAsia" w:ascii="Times New Roman" w:hAnsi="Times New Roman"/>
                <w:b w:val="0"/>
                <w:bCs w:val="0"/>
                <w:color w:val="auto"/>
                <w:sz w:val="24"/>
                <w:lang w:val="en-US" w:eastAsia="zh-CN"/>
              </w:rPr>
              <w:t>涟区开发备〔2025〕109号</w:t>
            </w:r>
            <w:r>
              <w:rPr>
                <w:rFonts w:hint="eastAsia" w:ascii="Times New Roman" w:hAnsi="Times New Roman" w:eastAsia="宋体"/>
                <w:b w:val="0"/>
                <w:bCs w:val="0"/>
                <w:color w:val="auto"/>
                <w:sz w:val="24"/>
                <w:lang w:val="en-US" w:eastAsia="zh-CN"/>
              </w:rPr>
              <w:t>，项目代码：</w:t>
            </w:r>
            <w:r>
              <w:rPr>
                <w:rFonts w:hint="eastAsia" w:ascii="Times New Roman" w:hAnsi="Times New Roman"/>
                <w:b w:val="0"/>
                <w:bCs w:val="0"/>
                <w:color w:val="auto"/>
                <w:sz w:val="24"/>
                <w:lang w:val="en-US" w:eastAsia="zh-CN"/>
              </w:rPr>
              <w:t>2504-320860-89-01-701696</w:t>
            </w:r>
            <w:r>
              <w:rPr>
                <w:rFonts w:hint="eastAsia" w:ascii="Times New Roman" w:hAnsi="Times New Roman" w:eastAsia="宋体"/>
                <w:b w:val="0"/>
                <w:bCs w:val="0"/>
                <w:color w:val="auto"/>
                <w:sz w:val="24"/>
                <w:lang w:val="en-US" w:eastAsia="zh-CN"/>
              </w:rPr>
              <w:t>），</w:t>
            </w:r>
            <w:r>
              <w:rPr>
                <w:rFonts w:hint="eastAsia" w:ascii="Times New Roman" w:hAnsi="Times New Roman"/>
                <w:b w:val="0"/>
                <w:bCs w:val="0"/>
                <w:color w:val="auto"/>
              </w:rPr>
              <w:t>本项目总投资</w:t>
            </w:r>
            <w:r>
              <w:rPr>
                <w:rFonts w:hint="eastAsia" w:ascii="Times New Roman" w:hAnsi="Times New Roman"/>
                <w:b w:val="0"/>
                <w:bCs w:val="0"/>
                <w:color w:val="auto"/>
                <w:lang w:val="en-US" w:eastAsia="zh-CN"/>
              </w:rPr>
              <w:t>35000</w:t>
            </w:r>
            <w:r>
              <w:rPr>
                <w:rFonts w:hint="eastAsia" w:ascii="Times New Roman" w:hAnsi="Times New Roman"/>
                <w:b w:val="0"/>
                <w:bCs w:val="0"/>
                <w:color w:val="auto"/>
              </w:rPr>
              <w:t>万元，项目总占地面积</w:t>
            </w:r>
            <w:r>
              <w:rPr>
                <w:rFonts w:hint="eastAsia" w:ascii="Times New Roman" w:hAnsi="Times New Roman"/>
                <w:b w:val="0"/>
                <w:bCs w:val="0"/>
                <w:color w:val="auto"/>
                <w:lang w:val="en-US" w:eastAsia="zh-CN"/>
              </w:rPr>
              <w:t>19442</w:t>
            </w:r>
            <w:r>
              <w:rPr>
                <w:rFonts w:hint="eastAsia" w:ascii="Times New Roman" w:hAnsi="Times New Roman"/>
                <w:b w:val="0"/>
                <w:bCs w:val="0"/>
                <w:color w:val="auto"/>
              </w:rPr>
              <w:t>m</w:t>
            </w:r>
            <w:r>
              <w:rPr>
                <w:rFonts w:hint="eastAsia" w:ascii="Times New Roman" w:hAnsi="Times New Roman"/>
                <w:b w:val="0"/>
                <w:bCs w:val="0"/>
                <w:color w:val="auto"/>
                <w:vertAlign w:val="superscript"/>
              </w:rPr>
              <w:t>2</w:t>
            </w:r>
            <w:r>
              <w:rPr>
                <w:rFonts w:hint="eastAsia" w:ascii="Times New Roman" w:hAnsi="Times New Roman"/>
                <w:b w:val="0"/>
                <w:bCs w:val="0"/>
                <w:color w:val="auto"/>
              </w:rPr>
              <w:t>，</w:t>
            </w:r>
            <w:r>
              <w:rPr>
                <w:rFonts w:hint="eastAsia" w:ascii="Times New Roman" w:hAnsi="Times New Roman"/>
                <w:b w:val="0"/>
                <w:bCs w:val="0"/>
                <w:color w:val="auto"/>
                <w:lang w:val="en-US" w:eastAsia="zh-CN"/>
              </w:rPr>
              <w:t>新建生产厂房及辅助用房</w:t>
            </w:r>
            <w:r>
              <w:rPr>
                <w:rFonts w:hint="eastAsia" w:ascii="Times New Roman" w:hAnsi="Times New Roman"/>
                <w:b w:val="0"/>
                <w:bCs w:val="0"/>
                <w:color w:val="auto"/>
              </w:rPr>
              <w:t>建筑面积</w:t>
            </w:r>
            <w:r>
              <w:rPr>
                <w:rFonts w:hint="eastAsia" w:ascii="Times New Roman" w:hAnsi="Times New Roman"/>
                <w:b w:val="0"/>
                <w:bCs w:val="0"/>
                <w:color w:val="auto"/>
                <w:lang w:val="en-US" w:eastAsia="zh-CN"/>
              </w:rPr>
              <w:t>12000</w:t>
            </w:r>
            <w:r>
              <w:rPr>
                <w:rFonts w:hint="eastAsia" w:ascii="Times New Roman" w:hAnsi="Times New Roman"/>
                <w:b w:val="0"/>
                <w:bCs w:val="0"/>
                <w:color w:val="auto"/>
              </w:rPr>
              <w:t>m</w:t>
            </w:r>
            <w:r>
              <w:rPr>
                <w:rFonts w:hint="eastAsia" w:ascii="Times New Roman" w:hAnsi="Times New Roman"/>
                <w:b w:val="0"/>
                <w:bCs w:val="0"/>
                <w:color w:val="auto"/>
                <w:vertAlign w:val="superscript"/>
              </w:rPr>
              <w:t>2</w:t>
            </w:r>
            <w:r>
              <w:rPr>
                <w:rFonts w:hint="eastAsia" w:ascii="Times New Roman" w:hAnsi="Times New Roman"/>
                <w:b w:val="0"/>
                <w:bCs w:val="0"/>
                <w:color w:val="auto"/>
              </w:rPr>
              <w:t>，</w:t>
            </w:r>
            <w:r>
              <w:rPr>
                <w:rFonts w:hint="eastAsia" w:ascii="Times New Roman" w:hAnsi="Times New Roman"/>
                <w:b w:val="0"/>
                <w:bCs w:val="0"/>
                <w:color w:val="auto"/>
                <w:lang w:val="en-US" w:eastAsia="zh-CN"/>
              </w:rPr>
              <w:t>项目主要产品为复合果汁饮料、风味饮料、椰子汁、茶饮料、咖啡饮料、功能饮料</w:t>
            </w:r>
            <w:r>
              <w:rPr>
                <w:rFonts w:hint="eastAsia" w:ascii="Times New Roman" w:hAnsi="Times New Roman"/>
                <w:b w:val="0"/>
                <w:bCs w:val="0"/>
                <w:color w:val="auto"/>
              </w:rPr>
              <w:t>。</w:t>
            </w:r>
            <w:r>
              <w:rPr>
                <w:rFonts w:hint="eastAsia" w:eastAsia="宋体"/>
                <w:b w:val="0"/>
                <w:bCs w:val="0"/>
                <w:color w:val="auto"/>
                <w:lang w:val="en-US" w:eastAsia="zh-CN"/>
              </w:rPr>
              <w:t>项目</w:t>
            </w:r>
            <w:r>
              <w:rPr>
                <w:rFonts w:hint="eastAsia"/>
                <w:b w:val="0"/>
                <w:bCs w:val="0"/>
                <w:color w:val="auto"/>
                <w:lang w:val="en-US" w:eastAsia="zh-CN"/>
              </w:rPr>
              <w:t>投产</w:t>
            </w:r>
            <w:r>
              <w:rPr>
                <w:rFonts w:hint="eastAsia" w:eastAsia="宋体"/>
                <w:b w:val="0"/>
                <w:bCs w:val="0"/>
                <w:color w:val="auto"/>
                <w:lang w:val="en-US" w:eastAsia="zh-CN"/>
              </w:rPr>
              <w:t>后可形成</w:t>
            </w:r>
            <w:r>
              <w:rPr>
                <w:rFonts w:hint="eastAsia" w:ascii="Times New Roman" w:hAnsi="Times New Roman"/>
                <w:b w:val="0"/>
                <w:bCs w:val="0"/>
                <w:color w:val="auto"/>
                <w:sz w:val="24"/>
                <w:szCs w:val="24"/>
                <w:lang w:val="en-US" w:eastAsia="zh-CN"/>
              </w:rPr>
              <w:t>年产复合果汁饮料、风味饮料、椰子汁、茶饮料、咖啡饮料、功能饮料等各类饮料（不含碳酸饮料和酒）10万吨生产规模</w:t>
            </w:r>
            <w:r>
              <w:rPr>
                <w:rFonts w:hint="eastAsia"/>
                <w:b w:val="0"/>
                <w:bCs w:val="0"/>
                <w:color w:val="auto"/>
                <w:lang w:val="en-US" w:eastAsia="zh-CN"/>
              </w:rPr>
              <w:t>的</w:t>
            </w:r>
            <w:r>
              <w:rPr>
                <w:rFonts w:hint="eastAsia" w:eastAsia="宋体"/>
                <w:b w:val="0"/>
                <w:bCs w:val="0"/>
                <w:color w:val="auto"/>
                <w:lang w:val="en-US" w:eastAsia="zh-CN"/>
              </w:rPr>
              <w:t>生产能力。</w:t>
            </w:r>
          </w:p>
          <w:p w14:paraId="79E76EA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rPr>
            </w:pPr>
            <w:r>
              <w:rPr>
                <w:color w:val="auto"/>
                <w:sz w:val="24"/>
              </w:rPr>
              <w:t>根据《建设项目环境影响评价分类管理名录（2021年版）》（生态环境</w:t>
            </w:r>
            <w:r>
              <w:rPr>
                <w:rFonts w:hint="eastAsia"/>
                <w:color w:val="auto"/>
                <w:sz w:val="24"/>
                <w:lang w:eastAsia="zh-CN"/>
              </w:rPr>
              <w:t>部</w:t>
            </w:r>
            <w:r>
              <w:rPr>
                <w:color w:val="auto"/>
                <w:sz w:val="24"/>
              </w:rPr>
              <w:t>令第16号）</w:t>
            </w:r>
            <w:r>
              <w:rPr>
                <w:rFonts w:hint="eastAsia"/>
                <w:color w:val="auto"/>
                <w:sz w:val="24"/>
              </w:rPr>
              <w:t>中第四条</w:t>
            </w:r>
            <w:r>
              <w:rPr>
                <w:rFonts w:hint="eastAsia"/>
                <w:color w:val="auto"/>
                <w:sz w:val="24"/>
                <w:lang w:eastAsia="zh-CN"/>
              </w:rPr>
              <w:t>“</w:t>
            </w:r>
            <w:r>
              <w:rPr>
                <w:rFonts w:hint="eastAsia"/>
                <w:color w:val="auto"/>
                <w:sz w:val="24"/>
              </w:rPr>
              <w:t>建设内容涉及本名录中两个及以上项目类别的建设项目，其环境影响评价类别按照其中单项等级最高的确定</w:t>
            </w:r>
            <w:r>
              <w:rPr>
                <w:rFonts w:hint="eastAsia"/>
                <w:color w:val="auto"/>
                <w:sz w:val="24"/>
                <w:lang w:eastAsia="zh-CN"/>
              </w:rPr>
              <w:t>”，根</w:t>
            </w:r>
            <w:r>
              <w:rPr>
                <w:rFonts w:hint="eastAsia"/>
                <w:color w:val="auto"/>
                <w:sz w:val="24"/>
                <w:lang w:val="en-US" w:eastAsia="zh-CN"/>
              </w:rPr>
              <w:t>据下表可知</w:t>
            </w:r>
            <w:r>
              <w:rPr>
                <w:color w:val="auto"/>
                <w:sz w:val="24"/>
              </w:rPr>
              <w:t>本项目需编制环境影响报告表。</w:t>
            </w:r>
          </w:p>
          <w:p w14:paraId="2D976C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sz w:val="21"/>
                <w:szCs w:val="21"/>
              </w:rPr>
            </w:pPr>
            <w:r>
              <w:rPr>
                <w:b/>
                <w:bCs/>
                <w:color w:val="auto"/>
                <w:sz w:val="21"/>
                <w:szCs w:val="21"/>
              </w:rPr>
              <w:t>表2-1</w:t>
            </w:r>
            <w:r>
              <w:rPr>
                <w:rFonts w:hint="eastAsia"/>
                <w:b/>
                <w:bCs/>
                <w:color w:val="auto"/>
                <w:sz w:val="21"/>
                <w:szCs w:val="21"/>
                <w:lang w:val="en-US" w:eastAsia="zh-CN"/>
              </w:rPr>
              <w:t xml:space="preserve">  </w:t>
            </w:r>
            <w:r>
              <w:rPr>
                <w:b/>
                <w:bCs/>
                <w:color w:val="auto"/>
                <w:sz w:val="21"/>
                <w:szCs w:val="21"/>
              </w:rPr>
              <w:t>环境影响评价分类一览表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2272"/>
              <w:gridCol w:w="4264"/>
              <w:gridCol w:w="1192"/>
            </w:tblGrid>
            <w:tr w14:paraId="6287496E">
              <w:trPr>
                <w:jc w:val="center"/>
              </w:trPr>
              <w:tc>
                <w:tcPr>
                  <w:tcW w:w="409" w:type="pct"/>
                  <w:noWrap w:val="0"/>
                  <w:vAlign w:val="center"/>
                </w:tcPr>
                <w:p w14:paraId="4C5C7E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序号</w:t>
                  </w:r>
                </w:p>
              </w:tc>
              <w:tc>
                <w:tcPr>
                  <w:tcW w:w="1349" w:type="pct"/>
                  <w:noWrap w:val="0"/>
                  <w:vAlign w:val="center"/>
                </w:tcPr>
                <w:p w14:paraId="3FBFBF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《国民经济行业分类》（GBT4754-2017）</w:t>
                  </w:r>
                </w:p>
              </w:tc>
              <w:tc>
                <w:tcPr>
                  <w:tcW w:w="2532" w:type="pct"/>
                  <w:noWrap w:val="0"/>
                  <w:vAlign w:val="center"/>
                </w:tcPr>
                <w:p w14:paraId="273C00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《建设项目环境影响评价分类管理名录》（2021版）</w:t>
                  </w:r>
                </w:p>
              </w:tc>
              <w:tc>
                <w:tcPr>
                  <w:tcW w:w="708" w:type="pct"/>
                  <w:noWrap w:val="0"/>
                  <w:vAlign w:val="center"/>
                </w:tcPr>
                <w:p w14:paraId="6663C4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编制类别</w:t>
                  </w:r>
                </w:p>
              </w:tc>
            </w:tr>
            <w:tr w14:paraId="65892368">
              <w:trPr>
                <w:jc w:val="center"/>
              </w:trPr>
              <w:tc>
                <w:tcPr>
                  <w:tcW w:w="409" w:type="pct"/>
                  <w:noWrap w:val="0"/>
                  <w:vAlign w:val="center"/>
                </w:tcPr>
                <w:p w14:paraId="00B38C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1</w:t>
                  </w:r>
                </w:p>
              </w:tc>
              <w:tc>
                <w:tcPr>
                  <w:tcW w:w="1349" w:type="pct"/>
                  <w:noWrap w:val="0"/>
                  <w:vAlign w:val="center"/>
                </w:tcPr>
                <w:p w14:paraId="477FAD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C1523 果菜汁及果菜汁饮料制造、C1524 含乳饮料和植物蛋白饮料制造、C1529 茶饮料及其他饮料制造</w:t>
                  </w:r>
                </w:p>
              </w:tc>
              <w:tc>
                <w:tcPr>
                  <w:tcW w:w="2532" w:type="pct"/>
                  <w:noWrap w:val="0"/>
                  <w:vAlign w:val="center"/>
                </w:tcPr>
                <w:p w14:paraId="53BFA7B5">
                  <w:pPr>
                    <w:keepNext w:val="0"/>
                    <w:keepLines w:val="0"/>
                    <w:pageBreakBefore w:val="0"/>
                    <w:widowControl w:val="0"/>
                    <w:numPr>
                      <w:ilvl w:val="0"/>
                      <w:numId w:val="5"/>
                    </w:numPr>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rPr>
                    <w:t>酒、饮料制造业15</w:t>
                  </w:r>
                </w:p>
                <w:p w14:paraId="35AAE27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olor w:val="auto"/>
                      <w:sz w:val="21"/>
                      <w:szCs w:val="21"/>
                    </w:rPr>
                  </w:pPr>
                  <w:r>
                    <w:rPr>
                      <w:rFonts w:hint="eastAsia"/>
                      <w:color w:val="auto"/>
                      <w:sz w:val="21"/>
                      <w:szCs w:val="21"/>
                      <w:lang w:val="en-US" w:eastAsia="zh-CN"/>
                    </w:rPr>
                    <w:t>26饮料制造152*</w:t>
                  </w:r>
                </w:p>
              </w:tc>
              <w:tc>
                <w:tcPr>
                  <w:tcW w:w="708" w:type="pct"/>
                  <w:noWrap w:val="0"/>
                  <w:vAlign w:val="center"/>
                </w:tcPr>
                <w:p w14:paraId="098A90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lang w:val="en-US" w:eastAsia="zh-CN"/>
                    </w:rPr>
                    <w:t>/</w:t>
                  </w:r>
                </w:p>
              </w:tc>
            </w:tr>
            <w:tr w14:paraId="5D32B74C">
              <w:trPr>
                <w:jc w:val="center"/>
              </w:trPr>
              <w:tc>
                <w:tcPr>
                  <w:tcW w:w="409" w:type="pct"/>
                  <w:noWrap w:val="0"/>
                  <w:vAlign w:val="center"/>
                </w:tcPr>
                <w:p w14:paraId="738A15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2</w:t>
                  </w:r>
                </w:p>
              </w:tc>
              <w:tc>
                <w:tcPr>
                  <w:tcW w:w="1349" w:type="pct"/>
                  <w:noWrap w:val="0"/>
                  <w:vAlign w:val="center"/>
                </w:tcPr>
                <w:p w14:paraId="34AA17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rPr>
                    <w:t>C2926 塑料包装箱及容器制造</w:t>
                  </w:r>
                </w:p>
              </w:tc>
              <w:tc>
                <w:tcPr>
                  <w:tcW w:w="2532" w:type="pct"/>
                  <w:noWrap w:val="0"/>
                  <w:vAlign w:val="center"/>
                </w:tcPr>
                <w:p w14:paraId="2A949FE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olor w:val="auto"/>
                      <w:sz w:val="21"/>
                      <w:szCs w:val="21"/>
                      <w:lang w:val="en-US" w:eastAsia="zh-CN"/>
                    </w:rPr>
                  </w:pPr>
                  <w:r>
                    <w:rPr>
                      <w:rFonts w:hint="eastAsia"/>
                      <w:color w:val="auto"/>
                      <w:sz w:val="21"/>
                      <w:szCs w:val="21"/>
                      <w:lang w:val="en-US" w:eastAsia="zh-CN"/>
                    </w:rPr>
                    <w:t>二十六、橡胶和塑料制品业29</w:t>
                  </w:r>
                </w:p>
                <w:p w14:paraId="7D92242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olor w:val="auto"/>
                      <w:sz w:val="21"/>
                      <w:szCs w:val="21"/>
                      <w:lang w:val="en-US" w:eastAsia="zh-CN"/>
                    </w:rPr>
                  </w:pPr>
                  <w:r>
                    <w:rPr>
                      <w:rFonts w:hint="eastAsia"/>
                      <w:color w:val="auto"/>
                      <w:sz w:val="21"/>
                      <w:szCs w:val="21"/>
                      <w:lang w:val="en-US" w:eastAsia="zh-CN"/>
                    </w:rPr>
                    <w:t>53塑料制品业292</w:t>
                  </w:r>
                </w:p>
                <w:p w14:paraId="3ACFC90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21"/>
                      <w:szCs w:val="21"/>
                      <w:lang w:val="en-US" w:eastAsia="zh-CN"/>
                    </w:rPr>
                  </w:pPr>
                  <w:r>
                    <w:rPr>
                      <w:rFonts w:hint="default"/>
                      <w:color w:val="auto"/>
                      <w:sz w:val="21"/>
                      <w:szCs w:val="21"/>
                      <w:lang w:val="en-US" w:eastAsia="zh-CN"/>
                    </w:rPr>
                    <w:t>其他（年用非溶剂型低VOCs含量涂料10吨以下的除外）</w:t>
                  </w:r>
                </w:p>
              </w:tc>
              <w:tc>
                <w:tcPr>
                  <w:tcW w:w="708" w:type="pct"/>
                  <w:noWrap w:val="0"/>
                  <w:vAlign w:val="center"/>
                </w:tcPr>
                <w:p w14:paraId="7C929B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报告表</w:t>
                  </w:r>
                </w:p>
              </w:tc>
            </w:tr>
          </w:tbl>
          <w:p w14:paraId="39927F2B">
            <w:pPr>
              <w:pStyle w:val="16"/>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firstLine="480"/>
              <w:textAlignment w:val="auto"/>
              <w:rPr>
                <w:rFonts w:hint="default"/>
                <w:color w:val="auto"/>
              </w:rPr>
            </w:pPr>
            <w:r>
              <w:rPr>
                <w:rFonts w:hint="default"/>
                <w:color w:val="auto"/>
              </w:rPr>
              <w:t>据此，建设单位委托</w:t>
            </w:r>
            <w:r>
              <w:rPr>
                <w:rFonts w:hint="eastAsia"/>
                <w:color w:val="auto"/>
                <w:lang w:val="en-US" w:eastAsia="zh-CN"/>
              </w:rPr>
              <w:t>淮安新皓源环境科技有限公司</w:t>
            </w:r>
            <w:r>
              <w:rPr>
                <w:rFonts w:hint="default"/>
                <w:color w:val="auto"/>
              </w:rPr>
              <w:t>对该项目进行环境影响报告表的编制工作。</w:t>
            </w:r>
            <w:r>
              <w:rPr>
                <w:rFonts w:hint="eastAsia"/>
                <w:color w:val="auto"/>
                <w:lang w:val="en-US" w:eastAsia="zh-CN"/>
              </w:rPr>
              <w:t>淮安新皓源环境科技有限公司</w:t>
            </w:r>
            <w:r>
              <w:rPr>
                <w:rFonts w:hint="default"/>
                <w:color w:val="auto"/>
              </w:rPr>
              <w:t>接受委托后，立即开展了详细的现场调查、资料收集工作，并对该项目的有关文件进行研究，在此基础上，</w:t>
            </w:r>
            <w:r>
              <w:rPr>
                <w:rFonts w:hint="eastAsia"/>
                <w:color w:val="auto"/>
                <w:lang w:val="en-US" w:eastAsia="zh-CN"/>
              </w:rPr>
              <w:t>淮安新皓源环境科技有限公司</w:t>
            </w:r>
            <w:r>
              <w:rPr>
                <w:rFonts w:hint="default"/>
                <w:color w:val="auto"/>
              </w:rPr>
              <w:t>依照《建设项目环境影响报告表编制技术指南》（污染影响类）（试行）中的相关要求编制完成了该项目的环境影响评价报告表，呈报当地生态环境主管部门。</w:t>
            </w:r>
          </w:p>
          <w:p w14:paraId="7579B589">
            <w:pPr>
              <w:pStyle w:val="16"/>
              <w:keepNext w:val="0"/>
              <w:keepLines w:val="0"/>
              <w:pageBreakBefore w:val="0"/>
              <w:widowControl w:val="0"/>
              <w:numPr>
                <w:ilvl w:val="0"/>
                <w:numId w:val="4"/>
              </w:numPr>
              <w:kinsoku/>
              <w:wordWrap/>
              <w:overflowPunct/>
              <w:topLinePunct w:val="0"/>
              <w:bidi w:val="0"/>
              <w:spacing w:after="0" w:line="360" w:lineRule="auto"/>
              <w:ind w:left="0" w:leftChars="0" w:firstLine="482"/>
              <w:textAlignment w:val="auto"/>
              <w:rPr>
                <w:b/>
                <w:bCs/>
                <w:color w:val="auto"/>
              </w:rPr>
            </w:pPr>
            <w:r>
              <w:rPr>
                <w:rFonts w:hint="eastAsia"/>
                <w:b/>
                <w:bCs/>
                <w:color w:val="auto"/>
              </w:rPr>
              <w:t>工程内容及规模</w:t>
            </w:r>
          </w:p>
          <w:p w14:paraId="745C25D5">
            <w:pPr>
              <w:pStyle w:val="16"/>
              <w:keepNext w:val="0"/>
              <w:keepLines w:val="0"/>
              <w:pageBreakBefore w:val="0"/>
              <w:widowControl w:val="0"/>
              <w:kinsoku/>
              <w:wordWrap/>
              <w:overflowPunct/>
              <w:topLinePunct w:val="0"/>
              <w:bidi w:val="0"/>
              <w:spacing w:after="0" w:line="360" w:lineRule="auto"/>
              <w:ind w:left="0" w:leftChars="0" w:firstLine="480"/>
              <w:textAlignment w:val="auto"/>
              <w:rPr>
                <w:rFonts w:hint="eastAsia" w:eastAsia="宋体"/>
                <w:color w:val="auto"/>
                <w:lang w:eastAsia="zh-CN"/>
              </w:rPr>
            </w:pPr>
            <w:r>
              <w:rPr>
                <w:rFonts w:hint="eastAsia"/>
                <w:color w:val="auto"/>
                <w:lang w:eastAsia="zh-CN"/>
              </w:rPr>
              <w:t>1.</w:t>
            </w:r>
            <w:r>
              <w:rPr>
                <w:rFonts w:hint="eastAsia"/>
                <w:color w:val="auto"/>
              </w:rPr>
              <w:t>项目名称：</w:t>
            </w:r>
            <w:r>
              <w:rPr>
                <w:rFonts w:hint="eastAsia"/>
                <w:color w:val="auto"/>
                <w:lang w:val="en-US" w:eastAsia="zh-CN"/>
              </w:rPr>
              <w:t>淮安挑战者饮料有限公司饮料生产项目（不含碳酸饮料和酒）</w:t>
            </w:r>
          </w:p>
          <w:p w14:paraId="4762CFF6">
            <w:pPr>
              <w:pStyle w:val="16"/>
              <w:keepNext w:val="0"/>
              <w:keepLines w:val="0"/>
              <w:pageBreakBefore w:val="0"/>
              <w:widowControl w:val="0"/>
              <w:kinsoku/>
              <w:wordWrap/>
              <w:overflowPunct/>
              <w:topLinePunct w:val="0"/>
              <w:bidi w:val="0"/>
              <w:spacing w:after="0" w:line="360" w:lineRule="auto"/>
              <w:ind w:left="0" w:leftChars="0" w:firstLine="480"/>
              <w:textAlignment w:val="auto"/>
              <w:rPr>
                <w:rFonts w:hint="eastAsia" w:eastAsia="宋体"/>
                <w:color w:val="auto"/>
                <w:lang w:eastAsia="zh-CN"/>
              </w:rPr>
            </w:pPr>
            <w:r>
              <w:rPr>
                <w:rFonts w:hint="eastAsia"/>
                <w:color w:val="auto"/>
                <w:lang w:eastAsia="zh-CN"/>
              </w:rPr>
              <w:t>2.</w:t>
            </w:r>
            <w:r>
              <w:rPr>
                <w:rFonts w:hint="eastAsia"/>
                <w:color w:val="auto"/>
              </w:rPr>
              <w:t>建设单位：</w:t>
            </w:r>
            <w:r>
              <w:rPr>
                <w:rFonts w:hint="eastAsia"/>
                <w:color w:val="auto"/>
                <w:lang w:val="en-US" w:eastAsia="zh-CN"/>
              </w:rPr>
              <w:t>淮安挑战者饮料有限公司</w:t>
            </w:r>
          </w:p>
          <w:p w14:paraId="09D77BAC">
            <w:pPr>
              <w:pStyle w:val="16"/>
              <w:keepNext w:val="0"/>
              <w:keepLines w:val="0"/>
              <w:pageBreakBefore w:val="0"/>
              <w:widowControl w:val="0"/>
              <w:kinsoku/>
              <w:wordWrap/>
              <w:overflowPunct/>
              <w:topLinePunct w:val="0"/>
              <w:bidi w:val="0"/>
              <w:spacing w:after="0" w:line="360" w:lineRule="auto"/>
              <w:ind w:left="0" w:leftChars="0" w:firstLine="480"/>
              <w:textAlignment w:val="auto"/>
              <w:rPr>
                <w:rFonts w:hint="eastAsia"/>
                <w:color w:val="auto"/>
                <w:lang w:val="en-US" w:eastAsia="zh-CN"/>
              </w:rPr>
            </w:pPr>
            <w:r>
              <w:rPr>
                <w:rFonts w:hint="eastAsia"/>
                <w:color w:val="auto"/>
                <w:lang w:eastAsia="zh-CN"/>
              </w:rPr>
              <w:t>3.</w:t>
            </w:r>
            <w:r>
              <w:rPr>
                <w:rFonts w:hint="eastAsia"/>
                <w:color w:val="auto"/>
              </w:rPr>
              <w:t>行业类别：</w:t>
            </w:r>
            <w:r>
              <w:rPr>
                <w:rFonts w:hint="eastAsia"/>
                <w:color w:val="auto"/>
                <w:lang w:val="en-US" w:eastAsia="zh-CN"/>
              </w:rPr>
              <w:t>C1523 果菜汁及果菜汁饮料制造、C1524 含乳饮料和植物蛋白饮料制造、C1529 茶饮料及其他饮料制造、C2926 塑料包装箱及容器制造</w:t>
            </w:r>
          </w:p>
          <w:p w14:paraId="7B448015">
            <w:pPr>
              <w:pStyle w:val="16"/>
              <w:keepNext w:val="0"/>
              <w:keepLines w:val="0"/>
              <w:pageBreakBefore w:val="0"/>
              <w:widowControl w:val="0"/>
              <w:kinsoku/>
              <w:wordWrap/>
              <w:overflowPunct/>
              <w:topLinePunct w:val="0"/>
              <w:bidi w:val="0"/>
              <w:spacing w:after="0" w:line="360" w:lineRule="auto"/>
              <w:ind w:left="0" w:leftChars="0" w:firstLine="480"/>
              <w:textAlignment w:val="auto"/>
              <w:rPr>
                <w:color w:val="auto"/>
              </w:rPr>
            </w:pPr>
            <w:r>
              <w:rPr>
                <w:rFonts w:hint="eastAsia"/>
                <w:color w:val="auto"/>
                <w:lang w:eastAsia="zh-CN"/>
              </w:rPr>
              <w:t>4.</w:t>
            </w:r>
            <w:r>
              <w:rPr>
                <w:rFonts w:hint="eastAsia"/>
                <w:color w:val="auto"/>
              </w:rPr>
              <w:t>建设地点：本项目选址位于</w:t>
            </w:r>
            <w:r>
              <w:rPr>
                <w:rFonts w:hint="eastAsia"/>
                <w:color w:val="auto"/>
                <w:lang w:val="en-US" w:eastAsia="zh-CN"/>
              </w:rPr>
              <w:t>江苏</w:t>
            </w:r>
            <w:r>
              <w:rPr>
                <w:rFonts w:hint="eastAsia"/>
                <w:color w:val="auto"/>
              </w:rPr>
              <w:t>涟水</w:t>
            </w:r>
            <w:r>
              <w:rPr>
                <w:rFonts w:hint="eastAsia"/>
                <w:color w:val="auto"/>
                <w:lang w:val="en-US" w:eastAsia="zh-CN"/>
              </w:rPr>
              <w:t>经济开发区</w:t>
            </w:r>
            <w:r>
              <w:rPr>
                <w:rFonts w:hint="eastAsia"/>
                <w:color w:val="auto"/>
              </w:rPr>
              <w:t>，厂区中心坐标为：北纬33°48′</w:t>
            </w:r>
            <w:r>
              <w:rPr>
                <w:rFonts w:hint="eastAsia"/>
                <w:color w:val="auto"/>
                <w:lang w:val="en-US" w:eastAsia="zh-CN"/>
              </w:rPr>
              <w:t>14.229</w:t>
            </w:r>
            <w:r>
              <w:rPr>
                <w:rFonts w:hint="eastAsia"/>
                <w:color w:val="auto"/>
              </w:rPr>
              <w:t>″，东经119°</w:t>
            </w:r>
            <w:r>
              <w:rPr>
                <w:rFonts w:hint="eastAsia"/>
                <w:color w:val="auto"/>
                <w:lang w:val="en-US" w:eastAsia="zh-CN"/>
              </w:rPr>
              <w:t>14</w:t>
            </w:r>
            <w:r>
              <w:rPr>
                <w:rFonts w:hint="eastAsia"/>
                <w:color w:val="auto"/>
              </w:rPr>
              <w:t>′</w:t>
            </w:r>
            <w:r>
              <w:rPr>
                <w:rFonts w:hint="eastAsia"/>
                <w:color w:val="auto"/>
                <w:lang w:val="en-US" w:eastAsia="zh-CN"/>
              </w:rPr>
              <w:t>0.998</w:t>
            </w:r>
            <w:r>
              <w:rPr>
                <w:rFonts w:hint="eastAsia"/>
                <w:color w:val="auto"/>
              </w:rPr>
              <w:t>″</w:t>
            </w:r>
            <w:r>
              <w:rPr>
                <w:rFonts w:hint="eastAsia"/>
                <w:color w:val="auto"/>
                <w:lang w:eastAsia="zh-CN"/>
              </w:rPr>
              <w:t>，</w:t>
            </w:r>
            <w:r>
              <w:rPr>
                <w:rFonts w:hint="eastAsia"/>
                <w:color w:val="auto"/>
              </w:rPr>
              <w:t>本项目地理位置见附图1。</w:t>
            </w:r>
          </w:p>
          <w:p w14:paraId="2FB6A82C">
            <w:pPr>
              <w:pStyle w:val="16"/>
              <w:keepNext w:val="0"/>
              <w:keepLines w:val="0"/>
              <w:pageBreakBefore w:val="0"/>
              <w:widowControl w:val="0"/>
              <w:kinsoku/>
              <w:wordWrap/>
              <w:overflowPunct/>
              <w:topLinePunct w:val="0"/>
              <w:bidi w:val="0"/>
              <w:spacing w:after="0" w:line="360" w:lineRule="auto"/>
              <w:ind w:left="0" w:leftChars="0" w:firstLine="480"/>
              <w:textAlignment w:val="auto"/>
              <w:rPr>
                <w:color w:val="auto"/>
              </w:rPr>
            </w:pPr>
            <w:r>
              <w:rPr>
                <w:rFonts w:hint="eastAsia"/>
                <w:color w:val="auto"/>
                <w:lang w:eastAsia="zh-CN"/>
              </w:rPr>
              <w:t>5.</w:t>
            </w:r>
            <w:r>
              <w:rPr>
                <w:rFonts w:hint="eastAsia"/>
                <w:color w:val="auto"/>
              </w:rPr>
              <w:t>项目总投资及环保投资</w:t>
            </w:r>
          </w:p>
          <w:p w14:paraId="041D65B4">
            <w:pPr>
              <w:pStyle w:val="16"/>
              <w:keepNext w:val="0"/>
              <w:keepLines w:val="0"/>
              <w:pageBreakBefore w:val="0"/>
              <w:widowControl w:val="0"/>
              <w:kinsoku/>
              <w:wordWrap/>
              <w:overflowPunct/>
              <w:topLinePunct w:val="0"/>
              <w:bidi w:val="0"/>
              <w:spacing w:after="0" w:line="360" w:lineRule="auto"/>
              <w:ind w:left="0" w:leftChars="0" w:firstLine="480"/>
              <w:textAlignment w:val="auto"/>
              <w:rPr>
                <w:color w:val="auto"/>
              </w:rPr>
            </w:pPr>
            <w:r>
              <w:rPr>
                <w:rFonts w:hint="eastAsia"/>
                <w:color w:val="auto"/>
              </w:rPr>
              <w:t>项目工程总投资为</w:t>
            </w:r>
            <w:r>
              <w:rPr>
                <w:rFonts w:hint="eastAsia"/>
                <w:color w:val="auto"/>
                <w:lang w:val="en-US" w:eastAsia="zh-CN"/>
              </w:rPr>
              <w:t>35000</w:t>
            </w:r>
            <w:r>
              <w:rPr>
                <w:rFonts w:hint="eastAsia"/>
                <w:color w:val="auto"/>
              </w:rPr>
              <w:t>万元，其中环保投资为</w:t>
            </w:r>
            <w:r>
              <w:rPr>
                <w:rFonts w:hint="eastAsia"/>
                <w:color w:val="auto"/>
                <w:lang w:val="en-US" w:eastAsia="zh-CN"/>
              </w:rPr>
              <w:t>140</w:t>
            </w:r>
            <w:r>
              <w:rPr>
                <w:rFonts w:hint="eastAsia"/>
                <w:color w:val="auto"/>
              </w:rPr>
              <w:t>万元，占总投资的</w:t>
            </w:r>
            <w:r>
              <w:rPr>
                <w:rFonts w:hint="eastAsia"/>
                <w:color w:val="auto"/>
                <w:lang w:val="en-US" w:eastAsia="zh-CN"/>
              </w:rPr>
              <w:t>0.4%</w:t>
            </w:r>
            <w:r>
              <w:rPr>
                <w:rFonts w:hint="eastAsia"/>
                <w:color w:val="auto"/>
              </w:rPr>
              <w:t>。</w:t>
            </w:r>
          </w:p>
          <w:p w14:paraId="44F25FEF">
            <w:pPr>
              <w:pStyle w:val="16"/>
              <w:keepNext w:val="0"/>
              <w:keepLines w:val="0"/>
              <w:pageBreakBefore w:val="0"/>
              <w:widowControl w:val="0"/>
              <w:kinsoku/>
              <w:wordWrap/>
              <w:overflowPunct/>
              <w:topLinePunct w:val="0"/>
              <w:bidi w:val="0"/>
              <w:spacing w:after="0" w:line="360" w:lineRule="auto"/>
              <w:ind w:left="0" w:leftChars="0" w:firstLine="480"/>
              <w:textAlignment w:val="auto"/>
              <w:rPr>
                <w:color w:val="auto"/>
              </w:rPr>
            </w:pPr>
            <w:r>
              <w:rPr>
                <w:rFonts w:hint="eastAsia"/>
                <w:color w:val="auto"/>
                <w:lang w:eastAsia="zh-CN"/>
              </w:rPr>
              <w:t>6.</w:t>
            </w:r>
            <w:r>
              <w:rPr>
                <w:rFonts w:hint="eastAsia"/>
                <w:color w:val="auto"/>
              </w:rPr>
              <w:t>产品方案</w:t>
            </w:r>
          </w:p>
          <w:p w14:paraId="63CAAA7C">
            <w:pPr>
              <w:pStyle w:val="16"/>
              <w:keepNext w:val="0"/>
              <w:keepLines w:val="0"/>
              <w:pageBreakBefore w:val="0"/>
              <w:widowControl w:val="0"/>
              <w:kinsoku/>
              <w:wordWrap/>
              <w:overflowPunct/>
              <w:topLinePunct w:val="0"/>
              <w:bidi w:val="0"/>
              <w:spacing w:after="0" w:line="360" w:lineRule="auto"/>
              <w:ind w:left="0" w:leftChars="0" w:firstLine="480"/>
              <w:textAlignment w:val="auto"/>
              <w:rPr>
                <w:color w:val="auto"/>
              </w:rPr>
            </w:pPr>
            <w:r>
              <w:rPr>
                <w:rFonts w:hint="eastAsia"/>
                <w:color w:val="auto"/>
              </w:rPr>
              <w:t>本项目详细产品方案见表2-</w:t>
            </w:r>
            <w:r>
              <w:rPr>
                <w:rFonts w:hint="eastAsia"/>
                <w:color w:val="auto"/>
                <w:lang w:val="en-US" w:eastAsia="zh-CN"/>
              </w:rPr>
              <w:t>2</w:t>
            </w:r>
            <w:r>
              <w:rPr>
                <w:rFonts w:hint="eastAsia"/>
                <w:color w:val="auto"/>
              </w:rPr>
              <w:t>。</w:t>
            </w:r>
          </w:p>
          <w:p w14:paraId="43526625">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b/>
                <w:bCs/>
                <w:color w:val="auto"/>
                <w:sz w:val="21"/>
                <w:szCs w:val="21"/>
              </w:rPr>
            </w:pPr>
            <w:r>
              <w:rPr>
                <w:rFonts w:hint="eastAsia"/>
                <w:b/>
                <w:bCs/>
                <w:color w:val="auto"/>
                <w:sz w:val="21"/>
                <w:szCs w:val="21"/>
              </w:rPr>
              <w:t>表2-</w:t>
            </w:r>
            <w:r>
              <w:rPr>
                <w:rFonts w:hint="eastAsia"/>
                <w:b/>
                <w:bCs/>
                <w:color w:val="auto"/>
                <w:sz w:val="21"/>
                <w:szCs w:val="21"/>
                <w:lang w:val="en-US" w:eastAsia="zh-CN"/>
              </w:rPr>
              <w:t xml:space="preserve">2  </w:t>
            </w:r>
            <w:r>
              <w:rPr>
                <w:rFonts w:hint="eastAsia"/>
                <w:b/>
                <w:bCs/>
                <w:color w:val="auto"/>
                <w:sz w:val="21"/>
                <w:szCs w:val="21"/>
              </w:rPr>
              <w:t>项目产品方案一览表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51"/>
              <w:gridCol w:w="1765"/>
              <w:gridCol w:w="1964"/>
              <w:gridCol w:w="1989"/>
              <w:gridCol w:w="1948"/>
            </w:tblGrid>
            <w:tr w14:paraId="4E7F65EB">
              <w:trPr>
                <w:cantSplit/>
                <w:trHeight w:val="397" w:hRule="exact"/>
                <w:jc w:val="center"/>
              </w:trPr>
              <w:tc>
                <w:tcPr>
                  <w:tcW w:w="446" w:type="pct"/>
                  <w:noWrap w:val="0"/>
                  <w:vAlign w:val="center"/>
                </w:tcPr>
                <w:p w14:paraId="2FD1230C">
                  <w:pPr>
                    <w:spacing w:line="280" w:lineRule="exact"/>
                    <w:jc w:val="center"/>
                    <w:rPr>
                      <w:color w:val="auto"/>
                      <w:szCs w:val="21"/>
                    </w:rPr>
                  </w:pPr>
                  <w:r>
                    <w:rPr>
                      <w:rFonts w:hint="eastAsia"/>
                      <w:color w:val="auto"/>
                      <w:szCs w:val="21"/>
                    </w:rPr>
                    <w:t>序号</w:t>
                  </w:r>
                </w:p>
              </w:tc>
              <w:tc>
                <w:tcPr>
                  <w:tcW w:w="1048" w:type="pct"/>
                  <w:noWrap w:val="0"/>
                  <w:vAlign w:val="center"/>
                </w:tcPr>
                <w:p w14:paraId="59E4826A">
                  <w:pPr>
                    <w:spacing w:line="280" w:lineRule="exact"/>
                    <w:jc w:val="center"/>
                    <w:rPr>
                      <w:color w:val="auto"/>
                      <w:szCs w:val="21"/>
                    </w:rPr>
                  </w:pPr>
                  <w:r>
                    <w:rPr>
                      <w:color w:val="auto"/>
                      <w:szCs w:val="21"/>
                    </w:rPr>
                    <w:t>产品</w:t>
                  </w:r>
                </w:p>
              </w:tc>
              <w:tc>
                <w:tcPr>
                  <w:tcW w:w="1166" w:type="pct"/>
                  <w:noWrap w:val="0"/>
                  <w:vAlign w:val="center"/>
                </w:tcPr>
                <w:p w14:paraId="10CA13CD">
                  <w:pPr>
                    <w:spacing w:line="280" w:lineRule="exact"/>
                    <w:jc w:val="center"/>
                    <w:rPr>
                      <w:color w:val="auto"/>
                      <w:szCs w:val="21"/>
                    </w:rPr>
                  </w:pPr>
                  <w:r>
                    <w:rPr>
                      <w:rFonts w:hint="eastAsia"/>
                      <w:color w:val="auto"/>
                      <w:szCs w:val="21"/>
                    </w:rPr>
                    <w:t>规格型号</w:t>
                  </w:r>
                </w:p>
              </w:tc>
              <w:tc>
                <w:tcPr>
                  <w:tcW w:w="1181" w:type="pct"/>
                  <w:noWrap w:val="0"/>
                  <w:vAlign w:val="center"/>
                </w:tcPr>
                <w:p w14:paraId="5431F6C1">
                  <w:pPr>
                    <w:spacing w:line="280" w:lineRule="exact"/>
                    <w:jc w:val="center"/>
                    <w:rPr>
                      <w:color w:val="auto"/>
                      <w:szCs w:val="21"/>
                    </w:rPr>
                  </w:pPr>
                  <w:r>
                    <w:rPr>
                      <w:rFonts w:hint="eastAsia"/>
                      <w:color w:val="auto"/>
                      <w:szCs w:val="21"/>
                    </w:rPr>
                    <w:t>年产量</w:t>
                  </w:r>
                </w:p>
              </w:tc>
              <w:tc>
                <w:tcPr>
                  <w:tcW w:w="1156" w:type="pct"/>
                  <w:noWrap w:val="0"/>
                  <w:vAlign w:val="center"/>
                </w:tcPr>
                <w:p w14:paraId="46FCFACB">
                  <w:pPr>
                    <w:spacing w:line="280" w:lineRule="exact"/>
                    <w:jc w:val="center"/>
                    <w:rPr>
                      <w:color w:val="auto"/>
                      <w:szCs w:val="21"/>
                    </w:rPr>
                  </w:pPr>
                  <w:r>
                    <w:rPr>
                      <w:rFonts w:hint="eastAsia"/>
                      <w:color w:val="auto"/>
                      <w:szCs w:val="21"/>
                    </w:rPr>
                    <w:t>备注</w:t>
                  </w:r>
                </w:p>
              </w:tc>
            </w:tr>
            <w:tr w14:paraId="679E0FE7">
              <w:trPr>
                <w:cantSplit/>
                <w:trHeight w:val="397" w:hRule="exact"/>
                <w:jc w:val="center"/>
              </w:trPr>
              <w:tc>
                <w:tcPr>
                  <w:tcW w:w="446" w:type="pct"/>
                  <w:noWrap w:val="0"/>
                  <w:vAlign w:val="center"/>
                </w:tcPr>
                <w:p w14:paraId="074B0E68">
                  <w:pPr>
                    <w:numPr>
                      <w:ilvl w:val="0"/>
                      <w:numId w:val="6"/>
                    </w:numPr>
                    <w:spacing w:line="280" w:lineRule="exact"/>
                    <w:ind w:left="0" w:leftChars="0" w:firstLine="0" w:firstLineChars="0"/>
                    <w:jc w:val="center"/>
                    <w:rPr>
                      <w:color w:val="auto"/>
                      <w:szCs w:val="21"/>
                    </w:rPr>
                  </w:pPr>
                </w:p>
              </w:tc>
              <w:tc>
                <w:tcPr>
                  <w:tcW w:w="1048" w:type="pct"/>
                  <w:noWrap w:val="0"/>
                  <w:vAlign w:val="center"/>
                </w:tcPr>
                <w:p w14:paraId="2F2F710B">
                  <w:pPr>
                    <w:jc w:val="center"/>
                    <w:rPr>
                      <w:rFonts w:hint="default" w:eastAsia="宋体"/>
                      <w:color w:val="auto"/>
                      <w:kern w:val="2"/>
                      <w:sz w:val="21"/>
                      <w:szCs w:val="21"/>
                      <w:lang w:val="en-US" w:eastAsia="zh-CN" w:bidi="ar-SA"/>
                    </w:rPr>
                  </w:pPr>
                </w:p>
              </w:tc>
              <w:tc>
                <w:tcPr>
                  <w:tcW w:w="1166" w:type="pct"/>
                  <w:noWrap w:val="0"/>
                  <w:vAlign w:val="center"/>
                </w:tcPr>
                <w:p w14:paraId="22B61837">
                  <w:pPr>
                    <w:jc w:val="center"/>
                    <w:rPr>
                      <w:rFonts w:hint="default" w:eastAsia="宋体"/>
                      <w:color w:val="auto"/>
                      <w:kern w:val="2"/>
                      <w:sz w:val="21"/>
                      <w:szCs w:val="21"/>
                      <w:lang w:val="en-US" w:eastAsia="zh-CN" w:bidi="ar-SA"/>
                    </w:rPr>
                  </w:pPr>
                </w:p>
              </w:tc>
              <w:tc>
                <w:tcPr>
                  <w:tcW w:w="1181" w:type="pct"/>
                  <w:noWrap w:val="0"/>
                  <w:vAlign w:val="center"/>
                </w:tcPr>
                <w:p w14:paraId="727104CC">
                  <w:pPr>
                    <w:spacing w:line="280" w:lineRule="exact"/>
                    <w:jc w:val="center"/>
                    <w:rPr>
                      <w:rFonts w:hint="default" w:eastAsia="宋体"/>
                      <w:color w:val="auto"/>
                      <w:szCs w:val="21"/>
                      <w:lang w:val="en-US" w:eastAsia="zh-CN"/>
                    </w:rPr>
                  </w:pPr>
                </w:p>
              </w:tc>
              <w:tc>
                <w:tcPr>
                  <w:tcW w:w="1156" w:type="pct"/>
                  <w:noWrap w:val="0"/>
                  <w:vAlign w:val="center"/>
                </w:tcPr>
                <w:p w14:paraId="5836EB98">
                  <w:pPr>
                    <w:jc w:val="center"/>
                    <w:rPr>
                      <w:rFonts w:hint="eastAsia" w:eastAsia="宋体"/>
                      <w:color w:val="auto"/>
                      <w:kern w:val="2"/>
                      <w:sz w:val="21"/>
                      <w:szCs w:val="21"/>
                      <w:lang w:val="en-US" w:eastAsia="zh-CN" w:bidi="ar-SA"/>
                    </w:rPr>
                  </w:pPr>
                  <w:r>
                    <w:rPr>
                      <w:rFonts w:hint="eastAsia"/>
                      <w:color w:val="auto"/>
                      <w:szCs w:val="21"/>
                      <w:lang w:val="en-US" w:eastAsia="zh-CN"/>
                    </w:rPr>
                    <w:t>/</w:t>
                  </w:r>
                </w:p>
              </w:tc>
            </w:tr>
            <w:tr w14:paraId="05ABE6A8">
              <w:trPr>
                <w:cantSplit/>
                <w:trHeight w:val="397" w:hRule="exact"/>
                <w:jc w:val="center"/>
              </w:trPr>
              <w:tc>
                <w:tcPr>
                  <w:tcW w:w="446" w:type="pct"/>
                  <w:noWrap w:val="0"/>
                  <w:vAlign w:val="center"/>
                </w:tcPr>
                <w:p w14:paraId="32E107CF">
                  <w:pPr>
                    <w:numPr>
                      <w:ilvl w:val="0"/>
                      <w:numId w:val="6"/>
                    </w:numPr>
                    <w:spacing w:line="280" w:lineRule="exact"/>
                    <w:ind w:left="0" w:leftChars="0" w:firstLine="0" w:firstLineChars="0"/>
                    <w:jc w:val="center"/>
                    <w:rPr>
                      <w:rFonts w:hint="eastAsia"/>
                      <w:color w:val="auto"/>
                      <w:szCs w:val="21"/>
                    </w:rPr>
                  </w:pPr>
                </w:p>
              </w:tc>
              <w:tc>
                <w:tcPr>
                  <w:tcW w:w="1048" w:type="pct"/>
                  <w:noWrap w:val="0"/>
                  <w:vAlign w:val="center"/>
                </w:tcPr>
                <w:p w14:paraId="47D388ED">
                  <w:pPr>
                    <w:jc w:val="center"/>
                    <w:rPr>
                      <w:rFonts w:hint="default"/>
                      <w:color w:val="auto"/>
                      <w:kern w:val="2"/>
                      <w:sz w:val="21"/>
                      <w:szCs w:val="21"/>
                      <w:lang w:val="en-US" w:eastAsia="zh-CN" w:bidi="ar-SA"/>
                    </w:rPr>
                  </w:pPr>
                </w:p>
              </w:tc>
              <w:tc>
                <w:tcPr>
                  <w:tcW w:w="1166" w:type="pct"/>
                  <w:noWrap w:val="0"/>
                  <w:vAlign w:val="center"/>
                </w:tcPr>
                <w:p w14:paraId="03ACD93F">
                  <w:pPr>
                    <w:jc w:val="center"/>
                    <w:rPr>
                      <w:rFonts w:hint="eastAsia"/>
                      <w:color w:val="auto"/>
                      <w:szCs w:val="21"/>
                      <w:lang w:val="en-US" w:eastAsia="zh-CN"/>
                    </w:rPr>
                  </w:pPr>
                </w:p>
              </w:tc>
              <w:tc>
                <w:tcPr>
                  <w:tcW w:w="1181" w:type="pct"/>
                  <w:noWrap w:val="0"/>
                  <w:vAlign w:val="center"/>
                </w:tcPr>
                <w:p w14:paraId="6715B115">
                  <w:pPr>
                    <w:spacing w:line="280" w:lineRule="exact"/>
                    <w:jc w:val="center"/>
                    <w:rPr>
                      <w:rFonts w:hint="default"/>
                      <w:color w:val="auto"/>
                      <w:szCs w:val="21"/>
                      <w:lang w:val="en-US" w:eastAsia="zh-CN"/>
                    </w:rPr>
                  </w:pPr>
                </w:p>
              </w:tc>
              <w:tc>
                <w:tcPr>
                  <w:tcW w:w="1156" w:type="pct"/>
                  <w:noWrap w:val="0"/>
                  <w:vAlign w:val="center"/>
                </w:tcPr>
                <w:p w14:paraId="52184C46">
                  <w:pPr>
                    <w:jc w:val="center"/>
                    <w:rPr>
                      <w:rFonts w:hint="default"/>
                      <w:color w:val="auto"/>
                      <w:szCs w:val="21"/>
                      <w:lang w:val="en-US" w:eastAsia="zh-CN"/>
                    </w:rPr>
                  </w:pPr>
                  <w:r>
                    <w:rPr>
                      <w:rFonts w:hint="eastAsia"/>
                      <w:color w:val="auto"/>
                      <w:szCs w:val="21"/>
                      <w:lang w:val="en-US" w:eastAsia="zh-CN"/>
                    </w:rPr>
                    <w:t>/</w:t>
                  </w:r>
                </w:p>
              </w:tc>
            </w:tr>
            <w:tr w14:paraId="6B0A8335">
              <w:trPr>
                <w:cantSplit/>
                <w:trHeight w:val="397" w:hRule="exact"/>
                <w:jc w:val="center"/>
              </w:trPr>
              <w:tc>
                <w:tcPr>
                  <w:tcW w:w="446" w:type="pct"/>
                  <w:noWrap w:val="0"/>
                  <w:vAlign w:val="center"/>
                </w:tcPr>
                <w:p w14:paraId="00C8D8FE">
                  <w:pPr>
                    <w:numPr>
                      <w:ilvl w:val="0"/>
                      <w:numId w:val="6"/>
                    </w:numPr>
                    <w:spacing w:line="280" w:lineRule="exact"/>
                    <w:ind w:left="0" w:leftChars="0" w:firstLine="0" w:firstLineChars="0"/>
                    <w:jc w:val="center"/>
                    <w:rPr>
                      <w:rFonts w:hint="eastAsia"/>
                      <w:color w:val="auto"/>
                      <w:szCs w:val="21"/>
                    </w:rPr>
                  </w:pPr>
                </w:p>
              </w:tc>
              <w:tc>
                <w:tcPr>
                  <w:tcW w:w="1048" w:type="pct"/>
                  <w:noWrap w:val="0"/>
                  <w:vAlign w:val="center"/>
                </w:tcPr>
                <w:p w14:paraId="390D1481">
                  <w:pPr>
                    <w:jc w:val="center"/>
                    <w:rPr>
                      <w:rFonts w:hint="default"/>
                      <w:color w:val="auto"/>
                      <w:kern w:val="2"/>
                      <w:sz w:val="21"/>
                      <w:szCs w:val="21"/>
                      <w:lang w:val="en-US" w:eastAsia="zh-CN" w:bidi="ar-SA"/>
                    </w:rPr>
                  </w:pPr>
                </w:p>
              </w:tc>
              <w:tc>
                <w:tcPr>
                  <w:tcW w:w="1166" w:type="pct"/>
                  <w:noWrap w:val="0"/>
                  <w:vAlign w:val="center"/>
                </w:tcPr>
                <w:p w14:paraId="741027B3">
                  <w:pPr>
                    <w:jc w:val="center"/>
                    <w:rPr>
                      <w:rFonts w:hint="eastAsia"/>
                      <w:color w:val="auto"/>
                      <w:szCs w:val="21"/>
                      <w:lang w:val="en-US" w:eastAsia="zh-CN"/>
                    </w:rPr>
                  </w:pPr>
                </w:p>
              </w:tc>
              <w:tc>
                <w:tcPr>
                  <w:tcW w:w="1181" w:type="pct"/>
                  <w:noWrap w:val="0"/>
                  <w:vAlign w:val="center"/>
                </w:tcPr>
                <w:p w14:paraId="11A373AA">
                  <w:pPr>
                    <w:spacing w:line="280" w:lineRule="exact"/>
                    <w:jc w:val="center"/>
                    <w:rPr>
                      <w:rFonts w:hint="default"/>
                      <w:color w:val="auto"/>
                      <w:szCs w:val="21"/>
                      <w:lang w:val="en-US" w:eastAsia="zh-CN"/>
                    </w:rPr>
                  </w:pPr>
                </w:p>
              </w:tc>
              <w:tc>
                <w:tcPr>
                  <w:tcW w:w="1156" w:type="pct"/>
                  <w:noWrap w:val="0"/>
                  <w:vAlign w:val="center"/>
                </w:tcPr>
                <w:p w14:paraId="0D624B1E">
                  <w:pPr>
                    <w:jc w:val="center"/>
                    <w:rPr>
                      <w:rFonts w:hint="default"/>
                      <w:color w:val="auto"/>
                      <w:szCs w:val="21"/>
                      <w:lang w:val="en-US" w:eastAsia="zh-CN"/>
                    </w:rPr>
                  </w:pPr>
                  <w:r>
                    <w:rPr>
                      <w:rFonts w:hint="eastAsia"/>
                      <w:color w:val="auto"/>
                      <w:szCs w:val="21"/>
                      <w:lang w:val="en-US" w:eastAsia="zh-CN"/>
                    </w:rPr>
                    <w:t>/</w:t>
                  </w:r>
                </w:p>
              </w:tc>
            </w:tr>
            <w:tr w14:paraId="22011820">
              <w:trPr>
                <w:cantSplit/>
                <w:trHeight w:val="397" w:hRule="exact"/>
                <w:jc w:val="center"/>
              </w:trPr>
              <w:tc>
                <w:tcPr>
                  <w:tcW w:w="446" w:type="pct"/>
                  <w:noWrap w:val="0"/>
                  <w:vAlign w:val="center"/>
                </w:tcPr>
                <w:p w14:paraId="7337FE9F">
                  <w:pPr>
                    <w:numPr>
                      <w:ilvl w:val="0"/>
                      <w:numId w:val="6"/>
                    </w:numPr>
                    <w:spacing w:line="280" w:lineRule="exact"/>
                    <w:ind w:left="0" w:leftChars="0" w:firstLine="0" w:firstLineChars="0"/>
                    <w:jc w:val="center"/>
                    <w:rPr>
                      <w:rFonts w:hint="eastAsia"/>
                      <w:color w:val="auto"/>
                      <w:szCs w:val="21"/>
                    </w:rPr>
                  </w:pPr>
                </w:p>
              </w:tc>
              <w:tc>
                <w:tcPr>
                  <w:tcW w:w="1048" w:type="pct"/>
                  <w:noWrap w:val="0"/>
                  <w:vAlign w:val="center"/>
                </w:tcPr>
                <w:p w14:paraId="49727005">
                  <w:pPr>
                    <w:jc w:val="center"/>
                    <w:rPr>
                      <w:rFonts w:hint="default"/>
                      <w:color w:val="auto"/>
                      <w:kern w:val="2"/>
                      <w:sz w:val="21"/>
                      <w:szCs w:val="21"/>
                      <w:lang w:val="en-US" w:eastAsia="zh-CN" w:bidi="ar-SA"/>
                    </w:rPr>
                  </w:pPr>
                </w:p>
              </w:tc>
              <w:tc>
                <w:tcPr>
                  <w:tcW w:w="1166" w:type="pct"/>
                  <w:noWrap w:val="0"/>
                  <w:vAlign w:val="center"/>
                </w:tcPr>
                <w:p w14:paraId="233E4458">
                  <w:pPr>
                    <w:jc w:val="center"/>
                    <w:rPr>
                      <w:rFonts w:hint="eastAsia"/>
                      <w:color w:val="auto"/>
                      <w:szCs w:val="21"/>
                      <w:lang w:val="en-US" w:eastAsia="zh-CN"/>
                    </w:rPr>
                  </w:pPr>
                </w:p>
              </w:tc>
              <w:tc>
                <w:tcPr>
                  <w:tcW w:w="1181" w:type="pct"/>
                  <w:noWrap w:val="0"/>
                  <w:vAlign w:val="center"/>
                </w:tcPr>
                <w:p w14:paraId="4F1DC91C">
                  <w:pPr>
                    <w:spacing w:line="280" w:lineRule="exact"/>
                    <w:jc w:val="center"/>
                    <w:rPr>
                      <w:rFonts w:hint="default"/>
                      <w:color w:val="auto"/>
                      <w:szCs w:val="21"/>
                      <w:lang w:val="en-US" w:eastAsia="zh-CN"/>
                    </w:rPr>
                  </w:pPr>
                </w:p>
              </w:tc>
              <w:tc>
                <w:tcPr>
                  <w:tcW w:w="1156" w:type="pct"/>
                  <w:noWrap w:val="0"/>
                  <w:vAlign w:val="center"/>
                </w:tcPr>
                <w:p w14:paraId="4507155E">
                  <w:pPr>
                    <w:jc w:val="center"/>
                    <w:rPr>
                      <w:rFonts w:hint="default"/>
                      <w:color w:val="auto"/>
                      <w:szCs w:val="21"/>
                      <w:lang w:val="en-US" w:eastAsia="zh-CN"/>
                    </w:rPr>
                  </w:pPr>
                  <w:r>
                    <w:rPr>
                      <w:rFonts w:hint="eastAsia"/>
                      <w:color w:val="auto"/>
                      <w:szCs w:val="21"/>
                      <w:lang w:val="en-US" w:eastAsia="zh-CN"/>
                    </w:rPr>
                    <w:t>/</w:t>
                  </w:r>
                </w:p>
              </w:tc>
            </w:tr>
            <w:tr w14:paraId="7470BEC5">
              <w:trPr>
                <w:cantSplit/>
                <w:trHeight w:val="397" w:hRule="exact"/>
                <w:jc w:val="center"/>
              </w:trPr>
              <w:tc>
                <w:tcPr>
                  <w:tcW w:w="446" w:type="pct"/>
                  <w:noWrap w:val="0"/>
                  <w:vAlign w:val="center"/>
                </w:tcPr>
                <w:p w14:paraId="6C0AE275">
                  <w:pPr>
                    <w:numPr>
                      <w:ilvl w:val="0"/>
                      <w:numId w:val="6"/>
                    </w:numPr>
                    <w:spacing w:line="280" w:lineRule="exact"/>
                    <w:ind w:left="0" w:leftChars="0" w:firstLine="0" w:firstLineChars="0"/>
                    <w:jc w:val="center"/>
                    <w:rPr>
                      <w:rFonts w:hint="eastAsia"/>
                      <w:color w:val="auto"/>
                      <w:szCs w:val="21"/>
                    </w:rPr>
                  </w:pPr>
                </w:p>
              </w:tc>
              <w:tc>
                <w:tcPr>
                  <w:tcW w:w="1048" w:type="pct"/>
                  <w:noWrap w:val="0"/>
                  <w:vAlign w:val="center"/>
                </w:tcPr>
                <w:p w14:paraId="0AB8118E">
                  <w:pPr>
                    <w:jc w:val="center"/>
                    <w:rPr>
                      <w:rFonts w:hint="default"/>
                      <w:color w:val="auto"/>
                      <w:kern w:val="2"/>
                      <w:sz w:val="21"/>
                      <w:szCs w:val="21"/>
                      <w:lang w:val="en-US" w:eastAsia="zh-CN" w:bidi="ar-SA"/>
                    </w:rPr>
                  </w:pPr>
                </w:p>
              </w:tc>
              <w:tc>
                <w:tcPr>
                  <w:tcW w:w="1166" w:type="pct"/>
                  <w:noWrap w:val="0"/>
                  <w:vAlign w:val="center"/>
                </w:tcPr>
                <w:p w14:paraId="50BC1717">
                  <w:pPr>
                    <w:jc w:val="center"/>
                    <w:rPr>
                      <w:rFonts w:hint="eastAsia"/>
                      <w:color w:val="auto"/>
                      <w:szCs w:val="21"/>
                      <w:lang w:val="en-US" w:eastAsia="zh-CN"/>
                    </w:rPr>
                  </w:pPr>
                </w:p>
              </w:tc>
              <w:tc>
                <w:tcPr>
                  <w:tcW w:w="1181" w:type="pct"/>
                  <w:noWrap w:val="0"/>
                  <w:vAlign w:val="center"/>
                </w:tcPr>
                <w:p w14:paraId="2D037DE6">
                  <w:pPr>
                    <w:spacing w:line="280" w:lineRule="exact"/>
                    <w:jc w:val="center"/>
                    <w:rPr>
                      <w:rFonts w:hint="default"/>
                      <w:color w:val="auto"/>
                      <w:szCs w:val="21"/>
                      <w:lang w:val="en-US" w:eastAsia="zh-CN"/>
                    </w:rPr>
                  </w:pPr>
                </w:p>
              </w:tc>
              <w:tc>
                <w:tcPr>
                  <w:tcW w:w="1156" w:type="pct"/>
                  <w:noWrap w:val="0"/>
                  <w:vAlign w:val="center"/>
                </w:tcPr>
                <w:p w14:paraId="46DBD612">
                  <w:pPr>
                    <w:jc w:val="center"/>
                    <w:rPr>
                      <w:rFonts w:hint="default"/>
                      <w:color w:val="auto"/>
                      <w:szCs w:val="21"/>
                      <w:lang w:val="en-US" w:eastAsia="zh-CN"/>
                    </w:rPr>
                  </w:pPr>
                  <w:r>
                    <w:rPr>
                      <w:rFonts w:hint="eastAsia"/>
                      <w:color w:val="auto"/>
                      <w:szCs w:val="21"/>
                      <w:lang w:val="en-US" w:eastAsia="zh-CN"/>
                    </w:rPr>
                    <w:t>/</w:t>
                  </w:r>
                </w:p>
              </w:tc>
            </w:tr>
            <w:tr w14:paraId="78E7D4A2">
              <w:trPr>
                <w:cantSplit/>
                <w:trHeight w:val="397" w:hRule="exact"/>
                <w:jc w:val="center"/>
              </w:trPr>
              <w:tc>
                <w:tcPr>
                  <w:tcW w:w="446" w:type="pct"/>
                  <w:noWrap w:val="0"/>
                  <w:vAlign w:val="center"/>
                </w:tcPr>
                <w:p w14:paraId="3CBCE6E4">
                  <w:pPr>
                    <w:numPr>
                      <w:ilvl w:val="0"/>
                      <w:numId w:val="6"/>
                    </w:numPr>
                    <w:spacing w:line="280" w:lineRule="exact"/>
                    <w:ind w:left="0" w:leftChars="0" w:firstLine="0" w:firstLineChars="0"/>
                    <w:jc w:val="center"/>
                    <w:rPr>
                      <w:rFonts w:hint="eastAsia"/>
                      <w:color w:val="auto"/>
                      <w:szCs w:val="21"/>
                    </w:rPr>
                  </w:pPr>
                </w:p>
              </w:tc>
              <w:tc>
                <w:tcPr>
                  <w:tcW w:w="1048" w:type="pct"/>
                  <w:noWrap w:val="0"/>
                  <w:vAlign w:val="center"/>
                </w:tcPr>
                <w:p w14:paraId="48CB22AB">
                  <w:pPr>
                    <w:jc w:val="center"/>
                    <w:rPr>
                      <w:rFonts w:hint="default"/>
                      <w:color w:val="auto"/>
                      <w:kern w:val="2"/>
                      <w:sz w:val="21"/>
                      <w:szCs w:val="21"/>
                      <w:lang w:val="en-US" w:eastAsia="zh-CN" w:bidi="ar-SA"/>
                    </w:rPr>
                  </w:pPr>
                </w:p>
              </w:tc>
              <w:tc>
                <w:tcPr>
                  <w:tcW w:w="1166" w:type="pct"/>
                  <w:noWrap w:val="0"/>
                  <w:vAlign w:val="center"/>
                </w:tcPr>
                <w:p w14:paraId="15D2235E">
                  <w:pPr>
                    <w:jc w:val="center"/>
                    <w:rPr>
                      <w:rFonts w:hint="eastAsia"/>
                      <w:color w:val="auto"/>
                      <w:szCs w:val="21"/>
                      <w:lang w:val="en-US" w:eastAsia="zh-CN"/>
                    </w:rPr>
                  </w:pPr>
                </w:p>
              </w:tc>
              <w:tc>
                <w:tcPr>
                  <w:tcW w:w="1181" w:type="pct"/>
                  <w:noWrap w:val="0"/>
                  <w:vAlign w:val="center"/>
                </w:tcPr>
                <w:p w14:paraId="145F2BC2">
                  <w:pPr>
                    <w:spacing w:line="280" w:lineRule="exact"/>
                    <w:jc w:val="center"/>
                    <w:rPr>
                      <w:rFonts w:hint="default"/>
                      <w:color w:val="auto"/>
                      <w:szCs w:val="21"/>
                      <w:lang w:val="en-US" w:eastAsia="zh-CN"/>
                    </w:rPr>
                  </w:pPr>
                </w:p>
              </w:tc>
              <w:tc>
                <w:tcPr>
                  <w:tcW w:w="1156" w:type="pct"/>
                  <w:noWrap w:val="0"/>
                  <w:vAlign w:val="center"/>
                </w:tcPr>
                <w:p w14:paraId="0B9A55F9">
                  <w:pPr>
                    <w:jc w:val="center"/>
                    <w:rPr>
                      <w:rFonts w:hint="default"/>
                      <w:color w:val="auto"/>
                      <w:szCs w:val="21"/>
                      <w:lang w:val="en-US" w:eastAsia="zh-CN"/>
                    </w:rPr>
                  </w:pPr>
                  <w:r>
                    <w:rPr>
                      <w:rFonts w:hint="eastAsia"/>
                      <w:color w:val="auto"/>
                      <w:szCs w:val="21"/>
                      <w:lang w:val="en-US" w:eastAsia="zh-CN"/>
                    </w:rPr>
                    <w:t>/</w:t>
                  </w:r>
                </w:p>
              </w:tc>
            </w:tr>
          </w:tbl>
          <w:p w14:paraId="3D15DEF6">
            <w:pPr>
              <w:pStyle w:val="16"/>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auto"/>
              </w:rPr>
            </w:pPr>
            <w:r>
              <w:rPr>
                <w:rFonts w:hint="eastAsia"/>
                <w:color w:val="auto"/>
                <w:lang w:eastAsia="zh-CN"/>
              </w:rPr>
              <w:t>7.</w:t>
            </w:r>
            <w:r>
              <w:rPr>
                <w:rFonts w:hint="eastAsia"/>
                <w:color w:val="auto"/>
              </w:rPr>
              <w:t>占地面积与建筑面积</w:t>
            </w:r>
          </w:p>
          <w:p w14:paraId="334B104F">
            <w:pPr>
              <w:pStyle w:val="16"/>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auto"/>
              </w:rPr>
            </w:pPr>
            <w:r>
              <w:rPr>
                <w:rFonts w:hint="eastAsia"/>
                <w:color w:val="auto"/>
              </w:rPr>
              <w:t>本项目总占地面积</w:t>
            </w:r>
            <w:r>
              <w:rPr>
                <w:rFonts w:hint="eastAsia"/>
                <w:color w:val="auto"/>
                <w:lang w:val="en-US" w:eastAsia="zh-CN"/>
              </w:rPr>
              <w:t>19442</w:t>
            </w:r>
            <w:r>
              <w:rPr>
                <w:color w:val="auto"/>
              </w:rPr>
              <w:t>m</w:t>
            </w:r>
            <w:r>
              <w:rPr>
                <w:color w:val="auto"/>
                <w:vertAlign w:val="superscript"/>
              </w:rPr>
              <w:t>2</w:t>
            </w:r>
            <w:r>
              <w:rPr>
                <w:rFonts w:hint="eastAsia"/>
                <w:color w:val="auto"/>
              </w:rPr>
              <w:t>，建筑面积</w:t>
            </w:r>
            <w:r>
              <w:rPr>
                <w:rFonts w:hint="eastAsia"/>
                <w:color w:val="auto"/>
                <w:lang w:val="en-US" w:eastAsia="zh-CN"/>
              </w:rPr>
              <w:t>12000</w:t>
            </w:r>
            <w:r>
              <w:rPr>
                <w:color w:val="auto"/>
              </w:rPr>
              <w:t>m</w:t>
            </w:r>
            <w:r>
              <w:rPr>
                <w:color w:val="auto"/>
                <w:vertAlign w:val="superscript"/>
              </w:rPr>
              <w:t>2</w:t>
            </w:r>
            <w:r>
              <w:rPr>
                <w:rFonts w:hint="eastAsia"/>
                <w:color w:val="auto"/>
              </w:rPr>
              <w:t>。</w:t>
            </w:r>
          </w:p>
          <w:p w14:paraId="52329DE5">
            <w:pPr>
              <w:pStyle w:val="16"/>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auto"/>
              </w:rPr>
            </w:pPr>
            <w:r>
              <w:rPr>
                <w:rFonts w:hint="eastAsia"/>
                <w:color w:val="auto"/>
                <w:lang w:eastAsia="zh-CN"/>
              </w:rPr>
              <w:t>8.</w:t>
            </w:r>
            <w:r>
              <w:rPr>
                <w:rFonts w:hint="eastAsia"/>
                <w:color w:val="auto"/>
              </w:rPr>
              <w:t>工程内容</w:t>
            </w:r>
          </w:p>
          <w:p w14:paraId="4645AC1E">
            <w:pPr>
              <w:pStyle w:val="16"/>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olor w:val="auto"/>
              </w:rPr>
            </w:pPr>
            <w:r>
              <w:rPr>
                <w:rFonts w:hint="eastAsia"/>
                <w:color w:val="auto"/>
              </w:rPr>
              <w:t>本项目工程内容主要包括主体工程、辅助工程、储运工程、公用工程及环保工程等，具体内容见表2-</w:t>
            </w:r>
            <w:r>
              <w:rPr>
                <w:rFonts w:hint="eastAsia"/>
                <w:color w:val="auto"/>
                <w:lang w:val="en-US" w:eastAsia="zh-CN"/>
              </w:rPr>
              <w:t>3</w:t>
            </w:r>
            <w:r>
              <w:rPr>
                <w:rFonts w:hint="eastAsia"/>
                <w:color w:val="auto"/>
              </w:rPr>
              <w:t>。</w:t>
            </w:r>
          </w:p>
          <w:p w14:paraId="4E20978F">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auto"/>
                <w:sz w:val="21"/>
                <w:szCs w:val="21"/>
              </w:rPr>
            </w:pPr>
            <w:r>
              <w:rPr>
                <w:rFonts w:hint="eastAsia"/>
                <w:b/>
                <w:bCs/>
                <w:color w:val="auto"/>
                <w:sz w:val="21"/>
                <w:szCs w:val="21"/>
              </w:rPr>
              <w:t>表2-</w:t>
            </w:r>
            <w:r>
              <w:rPr>
                <w:rFonts w:hint="eastAsia"/>
                <w:b/>
                <w:bCs/>
                <w:color w:val="auto"/>
                <w:sz w:val="21"/>
                <w:szCs w:val="21"/>
                <w:lang w:val="en-US" w:eastAsia="zh-CN"/>
              </w:rPr>
              <w:t xml:space="preserve">3  </w:t>
            </w:r>
            <w:r>
              <w:rPr>
                <w:rFonts w:hint="eastAsia"/>
                <w:b/>
                <w:bCs/>
                <w:color w:val="auto"/>
                <w:sz w:val="21"/>
                <w:szCs w:val="21"/>
              </w:rPr>
              <w:t>项目主体工程及公用、辅助工程一览表</w:t>
            </w:r>
          </w:p>
          <w:tbl>
            <w:tblPr>
              <w:tblStyle w:val="21"/>
              <w:tblW w:w="839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571"/>
              <w:gridCol w:w="573"/>
              <w:gridCol w:w="1795"/>
              <w:gridCol w:w="2873"/>
              <w:gridCol w:w="2587"/>
            </w:tblGrid>
            <w:tr w14:paraId="166A7735">
              <w:trPr>
                <w:trHeight w:val="367" w:hRule="atLeast"/>
                <w:jc w:val="center"/>
              </w:trPr>
              <w:tc>
                <w:tcPr>
                  <w:tcW w:w="1144" w:type="dxa"/>
                  <w:gridSpan w:val="2"/>
                  <w:noWrap w:val="0"/>
                  <w:vAlign w:val="center"/>
                </w:tcPr>
                <w:p w14:paraId="09FEED05">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r>
                    <w:rPr>
                      <w:rFonts w:hint="eastAsia"/>
                      <w:color w:val="auto"/>
                      <w:sz w:val="21"/>
                    </w:rPr>
                    <w:t>工程名称</w:t>
                  </w:r>
                </w:p>
              </w:tc>
              <w:tc>
                <w:tcPr>
                  <w:tcW w:w="1795" w:type="dxa"/>
                  <w:noWrap w:val="0"/>
                  <w:vAlign w:val="center"/>
                </w:tcPr>
                <w:p w14:paraId="42AB22D7">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r>
                    <w:rPr>
                      <w:rFonts w:hint="eastAsia"/>
                      <w:color w:val="auto"/>
                      <w:sz w:val="21"/>
                    </w:rPr>
                    <w:t>建设名称</w:t>
                  </w:r>
                </w:p>
              </w:tc>
              <w:tc>
                <w:tcPr>
                  <w:tcW w:w="2873" w:type="dxa"/>
                  <w:noWrap w:val="0"/>
                  <w:vAlign w:val="center"/>
                </w:tcPr>
                <w:p w14:paraId="4ED7217E">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r>
                    <w:rPr>
                      <w:rFonts w:hint="eastAsia"/>
                      <w:color w:val="auto"/>
                      <w:sz w:val="21"/>
                    </w:rPr>
                    <w:t>设计能力</w:t>
                  </w:r>
                </w:p>
              </w:tc>
              <w:tc>
                <w:tcPr>
                  <w:tcW w:w="2587" w:type="dxa"/>
                  <w:noWrap w:val="0"/>
                  <w:vAlign w:val="center"/>
                </w:tcPr>
                <w:p w14:paraId="23379AC3">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r>
                    <w:rPr>
                      <w:rFonts w:hint="eastAsia"/>
                      <w:color w:val="auto"/>
                      <w:sz w:val="21"/>
                    </w:rPr>
                    <w:t>备注</w:t>
                  </w:r>
                </w:p>
              </w:tc>
            </w:tr>
            <w:tr w14:paraId="79F70627">
              <w:trPr>
                <w:trHeight w:val="820" w:hRule="atLeast"/>
                <w:jc w:val="center"/>
              </w:trPr>
              <w:tc>
                <w:tcPr>
                  <w:tcW w:w="1144" w:type="dxa"/>
                  <w:gridSpan w:val="2"/>
                  <w:vMerge w:val="restart"/>
                  <w:noWrap w:val="0"/>
                  <w:vAlign w:val="center"/>
                </w:tcPr>
                <w:p w14:paraId="03A42631">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r>
                    <w:rPr>
                      <w:rFonts w:hint="eastAsia"/>
                      <w:color w:val="auto"/>
                      <w:sz w:val="21"/>
                    </w:rPr>
                    <w:t>主体工程</w:t>
                  </w:r>
                </w:p>
              </w:tc>
              <w:tc>
                <w:tcPr>
                  <w:tcW w:w="1795" w:type="dxa"/>
                  <w:noWrap w:val="0"/>
                  <w:vAlign w:val="center"/>
                </w:tcPr>
                <w:p w14:paraId="046EFDF8">
                  <w:pPr>
                    <w:adjustRightInd w:val="0"/>
                    <w:snapToGrid w:val="0"/>
                    <w:spacing w:line="240" w:lineRule="auto"/>
                    <w:ind w:firstLine="0" w:firstLineChars="0"/>
                    <w:jc w:val="center"/>
                    <w:rPr>
                      <w:rFonts w:hint="default"/>
                      <w:color w:val="auto"/>
                      <w:sz w:val="21"/>
                      <w:lang w:val="en-US" w:eastAsia="zh-CN"/>
                    </w:rPr>
                  </w:pPr>
                  <w:r>
                    <w:rPr>
                      <w:rFonts w:hint="eastAsia"/>
                      <w:color w:val="auto"/>
                      <w:sz w:val="21"/>
                      <w:szCs w:val="21"/>
                      <w:lang w:val="en-US" w:eastAsia="zh-CN"/>
                    </w:rPr>
                    <w:t>1#厂房</w:t>
                  </w:r>
                </w:p>
              </w:tc>
              <w:tc>
                <w:tcPr>
                  <w:tcW w:w="2873" w:type="dxa"/>
                  <w:noWrap w:val="0"/>
                  <w:vAlign w:val="center"/>
                </w:tcPr>
                <w:p w14:paraId="6ACFA697">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olor w:val="auto"/>
                      <w:sz w:val="21"/>
                      <w:szCs w:val="21"/>
                      <w:lang w:val="en-US" w:eastAsia="zh-CN"/>
                    </w:rPr>
                    <w:t>总</w:t>
                  </w:r>
                  <w:r>
                    <w:rPr>
                      <w:rFonts w:hint="eastAsia"/>
                      <w:color w:val="auto"/>
                      <w:sz w:val="21"/>
                      <w:szCs w:val="21"/>
                    </w:rPr>
                    <w:t>建筑面积</w:t>
                  </w:r>
                  <w:r>
                    <w:rPr>
                      <w:rFonts w:hint="eastAsia"/>
                      <w:color w:val="auto"/>
                      <w:sz w:val="21"/>
                      <w:szCs w:val="21"/>
                      <w:lang w:val="en-US" w:eastAsia="zh-CN"/>
                    </w:rPr>
                    <w:t>9768.24</w:t>
                  </w:r>
                  <w:r>
                    <w:rPr>
                      <w:rFonts w:hint="eastAsia"/>
                      <w:color w:val="auto"/>
                      <w:sz w:val="21"/>
                      <w:szCs w:val="21"/>
                    </w:rPr>
                    <w:t>m</w:t>
                  </w:r>
                  <w:r>
                    <w:rPr>
                      <w:rFonts w:hint="eastAsia"/>
                      <w:color w:val="auto"/>
                      <w:sz w:val="21"/>
                      <w:szCs w:val="21"/>
                      <w:vertAlign w:val="superscript"/>
                    </w:rPr>
                    <w:t>2</w:t>
                  </w:r>
                  <w:r>
                    <w:rPr>
                      <w:rFonts w:hint="eastAsia"/>
                      <w:color w:val="auto"/>
                      <w:sz w:val="21"/>
                      <w:szCs w:val="21"/>
                      <w:vertAlign w:val="baseline"/>
                      <w:lang w:eastAsia="zh-CN"/>
                    </w:rPr>
                    <w:t>，</w:t>
                  </w:r>
                  <w:r>
                    <w:rPr>
                      <w:rFonts w:hint="eastAsia"/>
                      <w:color w:val="auto"/>
                      <w:sz w:val="21"/>
                      <w:szCs w:val="21"/>
                      <w:vertAlign w:val="baseline"/>
                      <w:lang w:val="en-US" w:eastAsia="zh-CN"/>
                    </w:rPr>
                    <w:t>生产区1层，建筑面积8692.24</w:t>
                  </w:r>
                  <w:r>
                    <w:rPr>
                      <w:rFonts w:hint="eastAsia"/>
                      <w:color w:val="auto"/>
                      <w:sz w:val="21"/>
                      <w:szCs w:val="21"/>
                    </w:rPr>
                    <w:t>m</w:t>
                  </w:r>
                  <w:r>
                    <w:rPr>
                      <w:rFonts w:hint="eastAsia"/>
                      <w:color w:val="auto"/>
                      <w:sz w:val="21"/>
                      <w:szCs w:val="21"/>
                      <w:vertAlign w:val="superscript"/>
                    </w:rPr>
                    <w:t>2</w:t>
                  </w:r>
                  <w:r>
                    <w:rPr>
                      <w:rFonts w:hint="eastAsia"/>
                      <w:color w:val="auto"/>
                      <w:sz w:val="21"/>
                      <w:szCs w:val="21"/>
                      <w:vertAlign w:val="baseline"/>
                      <w:lang w:val="en-US" w:eastAsia="zh-CN"/>
                    </w:rPr>
                    <w:t>，办公区3层，建筑面积约1076</w:t>
                  </w:r>
                  <w:r>
                    <w:rPr>
                      <w:rFonts w:hint="eastAsia"/>
                      <w:color w:val="auto"/>
                      <w:sz w:val="21"/>
                      <w:szCs w:val="21"/>
                    </w:rPr>
                    <w:t>m</w:t>
                  </w:r>
                  <w:r>
                    <w:rPr>
                      <w:rFonts w:hint="eastAsia"/>
                      <w:color w:val="auto"/>
                      <w:sz w:val="21"/>
                      <w:szCs w:val="21"/>
                      <w:vertAlign w:val="superscript"/>
                    </w:rPr>
                    <w:t>2</w:t>
                  </w:r>
                </w:p>
              </w:tc>
              <w:tc>
                <w:tcPr>
                  <w:tcW w:w="2587" w:type="dxa"/>
                  <w:noWrap w:val="0"/>
                  <w:vAlign w:val="center"/>
                </w:tcPr>
                <w:p w14:paraId="3E9D9293">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设置生产区、办公区</w:t>
                  </w:r>
                </w:p>
              </w:tc>
            </w:tr>
            <w:tr w14:paraId="5DA00845">
              <w:trPr>
                <w:trHeight w:val="820" w:hRule="atLeast"/>
                <w:jc w:val="center"/>
              </w:trPr>
              <w:tc>
                <w:tcPr>
                  <w:tcW w:w="1144" w:type="dxa"/>
                  <w:gridSpan w:val="2"/>
                  <w:vMerge w:val="continue"/>
                  <w:noWrap w:val="0"/>
                  <w:vAlign w:val="center"/>
                </w:tcPr>
                <w:p w14:paraId="69979CFF">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rPr>
                  </w:pPr>
                </w:p>
              </w:tc>
              <w:tc>
                <w:tcPr>
                  <w:tcW w:w="1795" w:type="dxa"/>
                  <w:noWrap w:val="0"/>
                  <w:vAlign w:val="center"/>
                </w:tcPr>
                <w:p w14:paraId="7C81C70A">
                  <w:pPr>
                    <w:adjustRightInd w:val="0"/>
                    <w:snapToGrid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2#厂房</w:t>
                  </w:r>
                </w:p>
              </w:tc>
              <w:tc>
                <w:tcPr>
                  <w:tcW w:w="2873" w:type="dxa"/>
                  <w:noWrap w:val="0"/>
                  <w:vAlign w:val="center"/>
                </w:tcPr>
                <w:p w14:paraId="652F3F10">
                  <w:pPr>
                    <w:adjustRightInd w:val="0"/>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建筑面积2167.2</w:t>
                  </w:r>
                  <w:r>
                    <w:rPr>
                      <w:rFonts w:hint="eastAsia"/>
                      <w:color w:val="auto"/>
                      <w:sz w:val="21"/>
                      <w:szCs w:val="21"/>
                    </w:rPr>
                    <w:t>m</w:t>
                  </w:r>
                  <w:r>
                    <w:rPr>
                      <w:rFonts w:hint="eastAsia"/>
                      <w:color w:val="auto"/>
                      <w:sz w:val="21"/>
                      <w:szCs w:val="21"/>
                      <w:vertAlign w:val="superscript"/>
                    </w:rPr>
                    <w:t>2</w:t>
                  </w:r>
                  <w:r>
                    <w:rPr>
                      <w:rFonts w:hint="eastAsia"/>
                      <w:color w:val="auto"/>
                      <w:sz w:val="21"/>
                      <w:szCs w:val="21"/>
                      <w:vertAlign w:val="baseline"/>
                      <w:lang w:eastAsia="zh-CN"/>
                    </w:rPr>
                    <w:t>，</w:t>
                  </w:r>
                  <w:r>
                    <w:rPr>
                      <w:rFonts w:hint="eastAsia"/>
                      <w:color w:val="auto"/>
                      <w:sz w:val="21"/>
                      <w:szCs w:val="21"/>
                      <w:vertAlign w:val="baseline"/>
                      <w:lang w:val="en-US" w:eastAsia="zh-CN"/>
                    </w:rPr>
                    <w:t>1层</w:t>
                  </w:r>
                </w:p>
              </w:tc>
              <w:tc>
                <w:tcPr>
                  <w:tcW w:w="2587" w:type="dxa"/>
                  <w:noWrap w:val="0"/>
                  <w:vAlign w:val="center"/>
                </w:tcPr>
                <w:p w14:paraId="47FA1A90">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设置成品库</w:t>
                  </w:r>
                </w:p>
              </w:tc>
            </w:tr>
            <w:tr w14:paraId="1322665D">
              <w:trPr>
                <w:trHeight w:val="820" w:hRule="atLeast"/>
                <w:jc w:val="center"/>
              </w:trPr>
              <w:tc>
                <w:tcPr>
                  <w:tcW w:w="1144" w:type="dxa"/>
                  <w:gridSpan w:val="2"/>
                  <w:vMerge w:val="continue"/>
                  <w:noWrap w:val="0"/>
                  <w:vAlign w:val="center"/>
                </w:tcPr>
                <w:p w14:paraId="40A34B94">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rPr>
                  </w:pPr>
                </w:p>
              </w:tc>
              <w:tc>
                <w:tcPr>
                  <w:tcW w:w="1795" w:type="dxa"/>
                  <w:noWrap w:val="0"/>
                  <w:vAlign w:val="center"/>
                </w:tcPr>
                <w:p w14:paraId="192AA9E3">
                  <w:pPr>
                    <w:adjustRightInd w:val="0"/>
                    <w:snapToGrid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3#厂房</w:t>
                  </w:r>
                </w:p>
              </w:tc>
              <w:tc>
                <w:tcPr>
                  <w:tcW w:w="2873" w:type="dxa"/>
                  <w:noWrap w:val="0"/>
                  <w:vAlign w:val="center"/>
                </w:tcPr>
                <w:p w14:paraId="2B431447">
                  <w:pPr>
                    <w:adjustRightInd w:val="0"/>
                    <w:snapToGrid w:val="0"/>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建筑面积627.48</w:t>
                  </w:r>
                  <w:r>
                    <w:rPr>
                      <w:rFonts w:hint="eastAsia"/>
                      <w:color w:val="auto"/>
                      <w:sz w:val="21"/>
                      <w:szCs w:val="21"/>
                    </w:rPr>
                    <w:t>m</w:t>
                  </w:r>
                  <w:r>
                    <w:rPr>
                      <w:rFonts w:hint="eastAsia"/>
                      <w:color w:val="auto"/>
                      <w:sz w:val="21"/>
                      <w:szCs w:val="21"/>
                      <w:vertAlign w:val="superscript"/>
                    </w:rPr>
                    <w:t>2</w:t>
                  </w:r>
                  <w:r>
                    <w:rPr>
                      <w:rFonts w:hint="eastAsia"/>
                      <w:color w:val="auto"/>
                      <w:sz w:val="21"/>
                      <w:szCs w:val="21"/>
                      <w:vertAlign w:val="baseline"/>
                      <w:lang w:eastAsia="zh-CN"/>
                    </w:rPr>
                    <w:t>，</w:t>
                  </w:r>
                  <w:r>
                    <w:rPr>
                      <w:rFonts w:hint="eastAsia"/>
                      <w:color w:val="auto"/>
                      <w:sz w:val="21"/>
                      <w:szCs w:val="21"/>
                      <w:vertAlign w:val="baseline"/>
                      <w:lang w:val="en-US" w:eastAsia="zh-CN"/>
                    </w:rPr>
                    <w:t>3层</w:t>
                  </w:r>
                </w:p>
              </w:tc>
              <w:tc>
                <w:tcPr>
                  <w:tcW w:w="2587" w:type="dxa"/>
                  <w:noWrap w:val="0"/>
                  <w:vAlign w:val="center"/>
                </w:tcPr>
                <w:p w14:paraId="269E080B">
                  <w:pPr>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辅助用房</w:t>
                  </w:r>
                </w:p>
              </w:tc>
            </w:tr>
            <w:tr w14:paraId="031205CD">
              <w:trPr>
                <w:trHeight w:val="347" w:hRule="atLeast"/>
                <w:jc w:val="center"/>
              </w:trPr>
              <w:tc>
                <w:tcPr>
                  <w:tcW w:w="1144" w:type="dxa"/>
                  <w:gridSpan w:val="2"/>
                  <w:vMerge w:val="restart"/>
                  <w:noWrap w:val="0"/>
                  <w:vAlign w:val="center"/>
                </w:tcPr>
                <w:p w14:paraId="36AC4A33">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储运工程</w:t>
                  </w:r>
                </w:p>
              </w:tc>
              <w:tc>
                <w:tcPr>
                  <w:tcW w:w="1795" w:type="dxa"/>
                  <w:noWrap w:val="0"/>
                  <w:vAlign w:val="center"/>
                </w:tcPr>
                <w:p w14:paraId="7A494F6B">
                  <w:pPr>
                    <w:pStyle w:val="16"/>
                    <w:spacing w:after="0" w:line="280" w:lineRule="exact"/>
                    <w:ind w:left="0" w:leftChars="0" w:firstLine="0" w:firstLineChars="0"/>
                    <w:jc w:val="center"/>
                    <w:rPr>
                      <w:rFonts w:hint="default"/>
                      <w:color w:val="auto"/>
                      <w:sz w:val="21"/>
                      <w:szCs w:val="21"/>
                      <w:lang w:val="en-US" w:eastAsia="zh-CN"/>
                    </w:rPr>
                  </w:pPr>
                  <w:r>
                    <w:rPr>
                      <w:rFonts w:hint="eastAsia"/>
                      <w:color w:val="auto"/>
                      <w:sz w:val="21"/>
                      <w:szCs w:val="21"/>
                      <w:lang w:val="en-US" w:eastAsia="zh-CN"/>
                    </w:rPr>
                    <w:t>成品库</w:t>
                  </w:r>
                </w:p>
              </w:tc>
              <w:tc>
                <w:tcPr>
                  <w:tcW w:w="2873" w:type="dxa"/>
                  <w:noWrap w:val="0"/>
                  <w:vAlign w:val="center"/>
                </w:tcPr>
                <w:p w14:paraId="7E5930FE">
                  <w:pPr>
                    <w:pStyle w:val="16"/>
                    <w:spacing w:after="0" w:line="280" w:lineRule="exact"/>
                    <w:ind w:left="0" w:leftChars="0" w:firstLine="0" w:firstLineChars="0"/>
                    <w:jc w:val="center"/>
                    <w:rPr>
                      <w:rFonts w:hint="default" w:cs="Times New Roman"/>
                      <w:color w:val="auto"/>
                      <w:sz w:val="21"/>
                      <w:szCs w:val="21"/>
                      <w:lang w:val="en-US" w:eastAsia="zh-CN"/>
                    </w:rPr>
                  </w:pPr>
                  <w:r>
                    <w:rPr>
                      <w:rFonts w:hint="eastAsia"/>
                      <w:color w:val="auto"/>
                      <w:sz w:val="21"/>
                      <w:szCs w:val="21"/>
                      <w:lang w:val="en-US" w:eastAsia="zh-CN"/>
                    </w:rPr>
                    <w:t>建筑面积2167.2</w:t>
                  </w:r>
                  <w:r>
                    <w:rPr>
                      <w:rFonts w:hint="eastAsia"/>
                      <w:color w:val="auto"/>
                      <w:sz w:val="21"/>
                      <w:szCs w:val="21"/>
                    </w:rPr>
                    <w:t>m</w:t>
                  </w:r>
                  <w:r>
                    <w:rPr>
                      <w:rFonts w:hint="eastAsia"/>
                      <w:color w:val="auto"/>
                      <w:sz w:val="21"/>
                      <w:szCs w:val="21"/>
                      <w:vertAlign w:val="superscript"/>
                    </w:rPr>
                    <w:t>2</w:t>
                  </w:r>
                </w:p>
              </w:tc>
              <w:tc>
                <w:tcPr>
                  <w:tcW w:w="2587" w:type="dxa"/>
                  <w:noWrap w:val="0"/>
                  <w:vAlign w:val="center"/>
                </w:tcPr>
                <w:p w14:paraId="72FCE906">
                  <w:pPr>
                    <w:pStyle w:val="16"/>
                    <w:spacing w:after="0" w:line="280" w:lineRule="exact"/>
                    <w:ind w:left="0" w:leftChars="0" w:firstLine="0" w:firstLineChars="0"/>
                    <w:jc w:val="center"/>
                    <w:rPr>
                      <w:rFonts w:hint="default" w:eastAsia="宋体"/>
                      <w:color w:val="auto"/>
                      <w:sz w:val="21"/>
                      <w:szCs w:val="21"/>
                      <w:lang w:val="en-US" w:eastAsia="zh-CN"/>
                    </w:rPr>
                  </w:pPr>
                  <w:r>
                    <w:rPr>
                      <w:rFonts w:hint="eastAsia"/>
                      <w:color w:val="auto"/>
                      <w:sz w:val="21"/>
                      <w:lang w:val="en-US" w:eastAsia="zh-CN"/>
                    </w:rPr>
                    <w:t>2#厂房</w:t>
                  </w:r>
                </w:p>
              </w:tc>
            </w:tr>
            <w:tr w14:paraId="7C337AD8">
              <w:trPr>
                <w:trHeight w:val="347" w:hRule="atLeast"/>
                <w:jc w:val="center"/>
              </w:trPr>
              <w:tc>
                <w:tcPr>
                  <w:tcW w:w="1144" w:type="dxa"/>
                  <w:gridSpan w:val="2"/>
                  <w:vMerge w:val="continue"/>
                  <w:noWrap w:val="0"/>
                  <w:vAlign w:val="center"/>
                </w:tcPr>
                <w:p w14:paraId="57A9AA8F">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sz w:val="21"/>
                      <w:lang w:val="en-US" w:eastAsia="zh-CN"/>
                    </w:rPr>
                  </w:pPr>
                </w:p>
              </w:tc>
              <w:tc>
                <w:tcPr>
                  <w:tcW w:w="1795" w:type="dxa"/>
                  <w:noWrap w:val="0"/>
                  <w:vAlign w:val="center"/>
                </w:tcPr>
                <w:p w14:paraId="01C6A615">
                  <w:pPr>
                    <w:pStyle w:val="16"/>
                    <w:spacing w:after="0" w:line="280" w:lineRule="exact"/>
                    <w:ind w:left="0" w:leftChars="0" w:firstLine="0" w:firstLineChars="0"/>
                    <w:jc w:val="center"/>
                    <w:rPr>
                      <w:rFonts w:hint="default" w:cs="Times New Roman"/>
                      <w:color w:val="auto"/>
                      <w:sz w:val="21"/>
                      <w:lang w:val="en-US" w:eastAsia="zh-CN"/>
                    </w:rPr>
                  </w:pPr>
                  <w:r>
                    <w:rPr>
                      <w:rFonts w:hint="eastAsia" w:cs="Times New Roman"/>
                      <w:color w:val="auto"/>
                      <w:sz w:val="21"/>
                      <w:lang w:val="en-US" w:eastAsia="zh-CN"/>
                    </w:rPr>
                    <w:t>办公区</w:t>
                  </w:r>
                </w:p>
              </w:tc>
              <w:tc>
                <w:tcPr>
                  <w:tcW w:w="2873" w:type="dxa"/>
                  <w:noWrap w:val="0"/>
                  <w:vAlign w:val="center"/>
                </w:tcPr>
                <w:p w14:paraId="0987C7E1">
                  <w:pPr>
                    <w:pStyle w:val="16"/>
                    <w:spacing w:after="0" w:line="280" w:lineRule="exact"/>
                    <w:ind w:left="0" w:leftChars="0" w:firstLine="0" w:firstLineChars="0"/>
                    <w:jc w:val="center"/>
                    <w:rPr>
                      <w:rFonts w:hint="eastAsia" w:cs="Times New Roman"/>
                      <w:color w:val="auto"/>
                      <w:sz w:val="21"/>
                      <w:szCs w:val="21"/>
                      <w:lang w:val="en-US" w:eastAsia="zh-CN"/>
                    </w:rPr>
                  </w:pPr>
                  <w:r>
                    <w:rPr>
                      <w:rFonts w:hint="eastAsia"/>
                      <w:color w:val="auto"/>
                      <w:sz w:val="21"/>
                      <w:szCs w:val="21"/>
                      <w:vertAlign w:val="baseline"/>
                      <w:lang w:val="en-US" w:eastAsia="zh-CN"/>
                    </w:rPr>
                    <w:t>建筑面积约1076</w:t>
                  </w:r>
                  <w:r>
                    <w:rPr>
                      <w:rFonts w:hint="eastAsia"/>
                      <w:color w:val="auto"/>
                      <w:sz w:val="21"/>
                      <w:szCs w:val="21"/>
                    </w:rPr>
                    <w:t>m</w:t>
                  </w:r>
                  <w:r>
                    <w:rPr>
                      <w:rFonts w:hint="eastAsia"/>
                      <w:color w:val="auto"/>
                      <w:sz w:val="21"/>
                      <w:szCs w:val="21"/>
                      <w:vertAlign w:val="superscript"/>
                    </w:rPr>
                    <w:t>2</w:t>
                  </w:r>
                </w:p>
              </w:tc>
              <w:tc>
                <w:tcPr>
                  <w:tcW w:w="2587" w:type="dxa"/>
                  <w:noWrap w:val="0"/>
                  <w:vAlign w:val="center"/>
                </w:tcPr>
                <w:p w14:paraId="3476C1EF">
                  <w:pPr>
                    <w:pStyle w:val="16"/>
                    <w:spacing w:after="0" w:line="280" w:lineRule="exact"/>
                    <w:ind w:left="0" w:leftChars="0" w:firstLine="0" w:firstLineChars="0"/>
                    <w:jc w:val="center"/>
                    <w:rPr>
                      <w:rFonts w:hint="default"/>
                      <w:color w:val="auto"/>
                      <w:sz w:val="21"/>
                      <w:szCs w:val="21"/>
                      <w:lang w:val="en-US" w:eastAsia="zh-CN"/>
                    </w:rPr>
                  </w:pPr>
                  <w:r>
                    <w:rPr>
                      <w:rFonts w:hint="eastAsia"/>
                      <w:color w:val="auto"/>
                      <w:sz w:val="21"/>
                      <w:szCs w:val="21"/>
                      <w:lang w:val="en-US" w:eastAsia="zh-CN"/>
                    </w:rPr>
                    <w:t>位于1#厂房内</w:t>
                  </w:r>
                </w:p>
              </w:tc>
            </w:tr>
            <w:tr w14:paraId="3819A876">
              <w:trPr>
                <w:trHeight w:val="347" w:hRule="atLeast"/>
                <w:jc w:val="center"/>
              </w:trPr>
              <w:tc>
                <w:tcPr>
                  <w:tcW w:w="1144" w:type="dxa"/>
                  <w:gridSpan w:val="2"/>
                  <w:vMerge w:val="continue"/>
                  <w:noWrap w:val="0"/>
                  <w:vAlign w:val="center"/>
                </w:tcPr>
                <w:p w14:paraId="29B1D7FD">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sz w:val="21"/>
                      <w:lang w:val="en-US" w:eastAsia="zh-CN"/>
                    </w:rPr>
                  </w:pPr>
                </w:p>
              </w:tc>
              <w:tc>
                <w:tcPr>
                  <w:tcW w:w="1795" w:type="dxa"/>
                  <w:noWrap w:val="0"/>
                  <w:vAlign w:val="center"/>
                </w:tcPr>
                <w:p w14:paraId="67EDEE8B">
                  <w:pPr>
                    <w:pStyle w:val="16"/>
                    <w:spacing w:after="0" w:line="280" w:lineRule="exact"/>
                    <w:ind w:left="0" w:leftChars="0" w:firstLine="0" w:firstLineChars="0"/>
                    <w:jc w:val="center"/>
                    <w:rPr>
                      <w:rFonts w:hint="default" w:cs="Times New Roman"/>
                      <w:color w:val="auto"/>
                      <w:sz w:val="21"/>
                      <w:lang w:val="en-US" w:eastAsia="zh-CN"/>
                    </w:rPr>
                  </w:pPr>
                  <w:r>
                    <w:rPr>
                      <w:rFonts w:hint="eastAsia" w:cs="Times New Roman"/>
                      <w:color w:val="auto"/>
                      <w:sz w:val="21"/>
                      <w:lang w:val="en-US" w:eastAsia="zh-CN"/>
                    </w:rPr>
                    <w:t>原料库</w:t>
                  </w:r>
                </w:p>
              </w:tc>
              <w:tc>
                <w:tcPr>
                  <w:tcW w:w="2873" w:type="dxa"/>
                  <w:noWrap w:val="0"/>
                  <w:vAlign w:val="center"/>
                </w:tcPr>
                <w:p w14:paraId="243905DD">
                  <w:pPr>
                    <w:pStyle w:val="16"/>
                    <w:spacing w:after="0" w:line="280" w:lineRule="exact"/>
                    <w:ind w:left="0" w:leftChars="0" w:firstLine="0" w:firstLineChars="0"/>
                    <w:jc w:val="center"/>
                    <w:rPr>
                      <w:rFonts w:hint="eastAsia"/>
                      <w:color w:val="auto"/>
                      <w:sz w:val="21"/>
                      <w:szCs w:val="21"/>
                      <w:vertAlign w:val="baseline"/>
                      <w:lang w:val="en-US" w:eastAsia="zh-CN"/>
                    </w:rPr>
                  </w:pPr>
                  <w:r>
                    <w:rPr>
                      <w:rFonts w:hint="eastAsia"/>
                      <w:color w:val="auto"/>
                      <w:sz w:val="21"/>
                      <w:szCs w:val="21"/>
                      <w:vertAlign w:val="baseline"/>
                      <w:lang w:val="en-US" w:eastAsia="zh-CN"/>
                    </w:rPr>
                    <w:t>建筑面积约56</w:t>
                  </w:r>
                  <w:r>
                    <w:rPr>
                      <w:rFonts w:hint="eastAsia"/>
                      <w:color w:val="auto"/>
                      <w:sz w:val="21"/>
                      <w:szCs w:val="21"/>
                    </w:rPr>
                    <w:t>m</w:t>
                  </w:r>
                  <w:r>
                    <w:rPr>
                      <w:rFonts w:hint="eastAsia"/>
                      <w:color w:val="auto"/>
                      <w:sz w:val="21"/>
                      <w:szCs w:val="21"/>
                      <w:vertAlign w:val="superscript"/>
                    </w:rPr>
                    <w:t>2</w:t>
                  </w:r>
                </w:p>
              </w:tc>
              <w:tc>
                <w:tcPr>
                  <w:tcW w:w="2587" w:type="dxa"/>
                  <w:noWrap w:val="0"/>
                  <w:vAlign w:val="center"/>
                </w:tcPr>
                <w:p w14:paraId="62A1723B">
                  <w:pPr>
                    <w:pStyle w:val="16"/>
                    <w:spacing w:after="0" w:line="280" w:lineRule="exact"/>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位于1#厂房内</w:t>
                  </w:r>
                </w:p>
              </w:tc>
            </w:tr>
            <w:tr w14:paraId="4EA0C06B">
              <w:trPr>
                <w:trHeight w:val="347" w:hRule="atLeast"/>
                <w:jc w:val="center"/>
              </w:trPr>
              <w:tc>
                <w:tcPr>
                  <w:tcW w:w="1144" w:type="dxa"/>
                  <w:gridSpan w:val="2"/>
                  <w:vMerge w:val="continue"/>
                  <w:noWrap w:val="0"/>
                  <w:vAlign w:val="center"/>
                </w:tcPr>
                <w:p w14:paraId="06577954">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sz w:val="21"/>
                      <w:lang w:val="en-US" w:eastAsia="zh-CN"/>
                    </w:rPr>
                  </w:pPr>
                </w:p>
              </w:tc>
              <w:tc>
                <w:tcPr>
                  <w:tcW w:w="1795" w:type="dxa"/>
                  <w:noWrap w:val="0"/>
                  <w:vAlign w:val="center"/>
                </w:tcPr>
                <w:p w14:paraId="2444128D">
                  <w:pPr>
                    <w:pStyle w:val="16"/>
                    <w:spacing w:after="0" w:line="280" w:lineRule="exact"/>
                    <w:ind w:left="0" w:leftChars="0" w:firstLine="0" w:firstLineChars="0"/>
                    <w:jc w:val="center"/>
                    <w:rPr>
                      <w:rFonts w:hint="default" w:cs="Times New Roman"/>
                      <w:color w:val="auto"/>
                      <w:sz w:val="21"/>
                      <w:lang w:val="en-US" w:eastAsia="zh-CN"/>
                    </w:rPr>
                  </w:pPr>
                  <w:r>
                    <w:rPr>
                      <w:rFonts w:hint="eastAsia" w:cs="Times New Roman"/>
                      <w:color w:val="auto"/>
                      <w:sz w:val="21"/>
                      <w:lang w:val="en-US" w:eastAsia="zh-CN"/>
                    </w:rPr>
                    <w:t>冷库</w:t>
                  </w:r>
                </w:p>
              </w:tc>
              <w:tc>
                <w:tcPr>
                  <w:tcW w:w="2873" w:type="dxa"/>
                  <w:noWrap w:val="0"/>
                  <w:vAlign w:val="center"/>
                </w:tcPr>
                <w:p w14:paraId="0BF5BE05">
                  <w:pPr>
                    <w:pStyle w:val="16"/>
                    <w:spacing w:after="0" w:line="280" w:lineRule="exact"/>
                    <w:ind w:left="0" w:leftChars="0" w:firstLine="0" w:firstLineChars="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建筑面积约600</w:t>
                  </w:r>
                  <w:r>
                    <w:rPr>
                      <w:rFonts w:hint="eastAsia"/>
                      <w:color w:val="auto"/>
                      <w:sz w:val="21"/>
                      <w:szCs w:val="21"/>
                    </w:rPr>
                    <w:t>m</w:t>
                  </w:r>
                  <w:r>
                    <w:rPr>
                      <w:rFonts w:hint="eastAsia"/>
                      <w:color w:val="auto"/>
                      <w:sz w:val="21"/>
                      <w:szCs w:val="21"/>
                      <w:vertAlign w:val="superscript"/>
                    </w:rPr>
                    <w:t>2</w:t>
                  </w:r>
                  <w:r>
                    <w:rPr>
                      <w:rFonts w:hint="eastAsia"/>
                      <w:color w:val="auto"/>
                      <w:sz w:val="21"/>
                      <w:szCs w:val="21"/>
                      <w:vertAlign w:val="baseline"/>
                      <w:lang w:eastAsia="zh-CN"/>
                    </w:rPr>
                    <w:t>，制冷剂使用R404A，不属于关于发布《中国受控消耗臭氧层物质清单》的公告公告 2021第44号中的</w:t>
                  </w:r>
                  <w:r>
                    <w:rPr>
                      <w:rFonts w:hint="eastAsia"/>
                      <w:color w:val="auto"/>
                      <w:sz w:val="21"/>
                      <w:szCs w:val="21"/>
                      <w:vertAlign w:val="baseline"/>
                      <w:lang w:val="en-US" w:eastAsia="zh-CN"/>
                    </w:rPr>
                    <w:t>禁止使用</w:t>
                  </w:r>
                  <w:r>
                    <w:rPr>
                      <w:rFonts w:hint="eastAsia"/>
                      <w:color w:val="auto"/>
                      <w:sz w:val="21"/>
                      <w:szCs w:val="21"/>
                      <w:vertAlign w:val="baseline"/>
                      <w:lang w:eastAsia="zh-CN"/>
                    </w:rPr>
                    <w:t>物质。</w:t>
                  </w:r>
                </w:p>
              </w:tc>
              <w:tc>
                <w:tcPr>
                  <w:tcW w:w="2587" w:type="dxa"/>
                  <w:noWrap w:val="0"/>
                  <w:vAlign w:val="center"/>
                </w:tcPr>
                <w:p w14:paraId="5049A0E2">
                  <w:pPr>
                    <w:pStyle w:val="16"/>
                    <w:spacing w:after="0" w:line="280" w:lineRule="exact"/>
                    <w:ind w:left="0" w:leftChars="0" w:firstLine="0" w:firstLineChars="0"/>
                    <w:jc w:val="center"/>
                    <w:rPr>
                      <w:rFonts w:hint="default"/>
                      <w:color w:val="auto"/>
                      <w:sz w:val="21"/>
                      <w:szCs w:val="21"/>
                      <w:lang w:val="en-US" w:eastAsia="zh-CN"/>
                    </w:rPr>
                  </w:pPr>
                  <w:r>
                    <w:rPr>
                      <w:rFonts w:hint="eastAsia"/>
                      <w:color w:val="auto"/>
                      <w:sz w:val="21"/>
                      <w:szCs w:val="21"/>
                      <w:lang w:val="en-US" w:eastAsia="zh-CN"/>
                    </w:rPr>
                    <w:t>位于1#厂房内</w:t>
                  </w:r>
                </w:p>
              </w:tc>
            </w:tr>
            <w:tr w14:paraId="6203BEC8">
              <w:trPr>
                <w:trHeight w:val="347" w:hRule="atLeast"/>
                <w:jc w:val="center"/>
              </w:trPr>
              <w:tc>
                <w:tcPr>
                  <w:tcW w:w="1144" w:type="dxa"/>
                  <w:gridSpan w:val="2"/>
                  <w:vMerge w:val="restart"/>
                  <w:noWrap w:val="0"/>
                  <w:vAlign w:val="center"/>
                </w:tcPr>
                <w:p w14:paraId="0B0F2D9E">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r>
                    <w:rPr>
                      <w:rFonts w:hint="eastAsia"/>
                      <w:color w:val="auto"/>
                      <w:sz w:val="21"/>
                    </w:rPr>
                    <w:t>公用工程</w:t>
                  </w:r>
                </w:p>
              </w:tc>
              <w:tc>
                <w:tcPr>
                  <w:tcW w:w="1795" w:type="dxa"/>
                  <w:noWrap w:val="0"/>
                  <w:vAlign w:val="center"/>
                </w:tcPr>
                <w:p w14:paraId="3A02A70A">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r>
                    <w:rPr>
                      <w:rFonts w:hint="eastAsia"/>
                      <w:color w:val="auto"/>
                      <w:sz w:val="21"/>
                    </w:rPr>
                    <w:t>给水系统</w:t>
                  </w:r>
                </w:p>
              </w:tc>
              <w:tc>
                <w:tcPr>
                  <w:tcW w:w="2873" w:type="dxa"/>
                  <w:noWrap w:val="0"/>
                  <w:vAlign w:val="center"/>
                </w:tcPr>
                <w:p w14:paraId="5F37D848">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szCs w:val="21"/>
                    </w:rPr>
                  </w:pPr>
                  <w:r>
                    <w:rPr>
                      <w:rFonts w:hint="eastAsia" w:ascii="Times New Roman" w:hAnsi="Times New Roman" w:eastAsia="宋体" w:cs="Times New Roman"/>
                      <w:color w:val="auto"/>
                      <w:sz w:val="21"/>
                      <w:szCs w:val="21"/>
                    </w:rPr>
                    <w:t>用水量</w:t>
                  </w:r>
                  <w:r>
                    <w:rPr>
                      <w:rFonts w:hint="eastAsia" w:cs="Times New Roman"/>
                      <w:color w:val="auto"/>
                      <w:sz w:val="21"/>
                      <w:szCs w:val="21"/>
                      <w:lang w:val="en-US" w:eastAsia="zh-CN"/>
                    </w:rPr>
                    <w:t>195908.4</w:t>
                  </w:r>
                  <w:r>
                    <w:rPr>
                      <w:rFonts w:hint="eastAsia" w:ascii="Times New Roman" w:hAnsi="Times New Roman" w:eastAsia="宋体" w:cs="Times New Roman"/>
                      <w:color w:val="auto"/>
                      <w:sz w:val="21"/>
                      <w:szCs w:val="21"/>
                    </w:rPr>
                    <w:t>m</w:t>
                  </w:r>
                  <w:r>
                    <w:rPr>
                      <w:rFonts w:hint="eastAsia" w:ascii="Times New Roman" w:hAnsi="Times New Roman" w:eastAsia="宋体" w:cs="Times New Roman"/>
                      <w:color w:val="auto"/>
                      <w:sz w:val="21"/>
                      <w:szCs w:val="21"/>
                      <w:vertAlign w:val="superscript"/>
                    </w:rPr>
                    <w:t>3</w:t>
                  </w:r>
                  <w:r>
                    <w:rPr>
                      <w:rFonts w:hint="eastAsia" w:ascii="Times New Roman" w:hAnsi="Times New Roman" w:eastAsia="宋体" w:cs="Times New Roman"/>
                      <w:color w:val="auto"/>
                      <w:sz w:val="21"/>
                      <w:szCs w:val="21"/>
                    </w:rPr>
                    <w:t>/a</w:t>
                  </w:r>
                </w:p>
              </w:tc>
              <w:tc>
                <w:tcPr>
                  <w:tcW w:w="2587" w:type="dxa"/>
                  <w:noWrap w:val="0"/>
                  <w:vAlign w:val="center"/>
                </w:tcPr>
                <w:p w14:paraId="3BC89FD4">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szCs w:val="21"/>
                    </w:rPr>
                  </w:pPr>
                  <w:r>
                    <w:rPr>
                      <w:rFonts w:hint="eastAsia"/>
                      <w:color w:val="auto"/>
                      <w:sz w:val="21"/>
                      <w:szCs w:val="21"/>
                    </w:rPr>
                    <w:t>市政自来水管网供给</w:t>
                  </w:r>
                </w:p>
              </w:tc>
            </w:tr>
            <w:tr w14:paraId="45594F20">
              <w:trPr>
                <w:trHeight w:val="347" w:hRule="atLeast"/>
                <w:jc w:val="center"/>
              </w:trPr>
              <w:tc>
                <w:tcPr>
                  <w:tcW w:w="1144" w:type="dxa"/>
                  <w:gridSpan w:val="2"/>
                  <w:vMerge w:val="continue"/>
                  <w:noWrap w:val="0"/>
                  <w:vAlign w:val="center"/>
                </w:tcPr>
                <w:p w14:paraId="6942E4AD">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rPr>
                  </w:pPr>
                </w:p>
              </w:tc>
              <w:tc>
                <w:tcPr>
                  <w:tcW w:w="1795" w:type="dxa"/>
                  <w:noWrap w:val="0"/>
                  <w:vAlign w:val="center"/>
                </w:tcPr>
                <w:p w14:paraId="0B911BC1">
                  <w:pPr>
                    <w:pStyle w:val="36"/>
                    <w:keepNext w:val="0"/>
                    <w:keepLines w:val="0"/>
                    <w:suppressLineNumbers w:val="0"/>
                    <w:bidi w:val="0"/>
                    <w:spacing w:before="0" w:beforeAutospacing="0" w:after="0" w:afterAutospacing="0"/>
                    <w:ind w:left="0" w:leftChars="0" w:right="0" w:rightChars="0"/>
                    <w:rPr>
                      <w:rFonts w:hint="eastAsia" w:ascii="Times New Roman" w:hAnsi="Times New Roman"/>
                      <w:color w:val="auto"/>
                      <w:sz w:val="21"/>
                    </w:rPr>
                  </w:pPr>
                  <w:r>
                    <w:rPr>
                      <w:rFonts w:hint="eastAsia" w:ascii="Times New Roman" w:hAnsi="Times New Roman"/>
                      <w:color w:val="auto"/>
                      <w:sz w:val="21"/>
                      <w:lang w:val="en-US" w:eastAsia="zh-CN"/>
                    </w:rPr>
                    <w:t>蒸汽系统</w:t>
                  </w:r>
                </w:p>
              </w:tc>
              <w:tc>
                <w:tcPr>
                  <w:tcW w:w="2873" w:type="dxa"/>
                  <w:noWrap w:val="0"/>
                  <w:vAlign w:val="center"/>
                </w:tcPr>
                <w:p w14:paraId="4412C69A">
                  <w:pPr>
                    <w:pStyle w:val="36"/>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sz w:val="21"/>
                      <w:szCs w:val="21"/>
                    </w:rPr>
                  </w:pPr>
                  <w:r>
                    <w:rPr>
                      <w:rFonts w:hint="eastAsia" w:ascii="Times New Roman" w:hAnsi="Times New Roman"/>
                      <w:color w:val="auto"/>
                      <w:sz w:val="21"/>
                      <w:lang w:val="en-US" w:eastAsia="zh-CN"/>
                    </w:rPr>
                    <w:t>蒸汽使用量1万吨/年</w:t>
                  </w:r>
                </w:p>
              </w:tc>
              <w:tc>
                <w:tcPr>
                  <w:tcW w:w="2587" w:type="dxa"/>
                  <w:noWrap w:val="0"/>
                  <w:vAlign w:val="center"/>
                </w:tcPr>
                <w:p w14:paraId="1F901581">
                  <w:pPr>
                    <w:pStyle w:val="36"/>
                    <w:keepNext w:val="0"/>
                    <w:keepLines w:val="0"/>
                    <w:suppressLineNumbers w:val="0"/>
                    <w:bidi w:val="0"/>
                    <w:spacing w:before="0" w:beforeAutospacing="0" w:after="0" w:afterAutospacing="0"/>
                    <w:ind w:left="0" w:leftChars="0" w:right="0" w:rightChars="0"/>
                    <w:rPr>
                      <w:rFonts w:hint="eastAsia" w:ascii="Times New Roman" w:hAnsi="Times New Roman"/>
                      <w:color w:val="auto"/>
                      <w:sz w:val="21"/>
                      <w:szCs w:val="21"/>
                    </w:rPr>
                  </w:pPr>
                  <w:r>
                    <w:rPr>
                      <w:rFonts w:hint="eastAsia" w:ascii="Times New Roman" w:hAnsi="Times New Roman"/>
                      <w:color w:val="auto"/>
                      <w:sz w:val="21"/>
                      <w:lang w:val="en-US" w:eastAsia="zh-CN"/>
                    </w:rPr>
                    <w:t>园区集中供汽</w:t>
                  </w:r>
                </w:p>
              </w:tc>
            </w:tr>
            <w:tr w14:paraId="6BBC0987">
              <w:trPr>
                <w:trHeight w:val="2168" w:hRule="atLeast"/>
                <w:jc w:val="center"/>
              </w:trPr>
              <w:tc>
                <w:tcPr>
                  <w:tcW w:w="1144" w:type="dxa"/>
                  <w:gridSpan w:val="2"/>
                  <w:vMerge w:val="continue"/>
                  <w:noWrap w:val="0"/>
                  <w:vAlign w:val="center"/>
                </w:tcPr>
                <w:p w14:paraId="65856753">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c>
                <w:tcPr>
                  <w:tcW w:w="1795" w:type="dxa"/>
                  <w:noWrap w:val="0"/>
                  <w:vAlign w:val="center"/>
                </w:tcPr>
                <w:p w14:paraId="2A3DA933">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r>
                    <w:rPr>
                      <w:rFonts w:hint="eastAsia"/>
                      <w:color w:val="auto"/>
                      <w:sz w:val="21"/>
                    </w:rPr>
                    <w:t>排水系统</w:t>
                  </w:r>
                </w:p>
              </w:tc>
              <w:tc>
                <w:tcPr>
                  <w:tcW w:w="2873" w:type="dxa"/>
                  <w:noWrap w:val="0"/>
                  <w:vAlign w:val="center"/>
                </w:tcPr>
                <w:p w14:paraId="0891DD20">
                  <w:pPr>
                    <w:pStyle w:val="36"/>
                    <w:keepNext w:val="0"/>
                    <w:keepLines w:val="0"/>
                    <w:suppressLineNumbers w:val="0"/>
                    <w:bidi w:val="0"/>
                    <w:spacing w:before="0" w:beforeAutospacing="0" w:after="0" w:afterAutospacing="0"/>
                    <w:ind w:left="0" w:leftChars="0" w:right="0" w:rightChars="0"/>
                    <w:rPr>
                      <w:rFonts w:hint="default" w:eastAsia="宋体"/>
                      <w:color w:val="auto"/>
                      <w:sz w:val="21"/>
                      <w:szCs w:val="21"/>
                      <w:lang w:val="en-US" w:eastAsia="zh-CN"/>
                    </w:rPr>
                  </w:pPr>
                  <w:r>
                    <w:rPr>
                      <w:rFonts w:hint="eastAsia" w:ascii="Times New Roman" w:hAnsi="Times New Roman"/>
                      <w:color w:val="auto"/>
                      <w:sz w:val="21"/>
                      <w:lang w:val="en-US" w:eastAsia="zh-CN"/>
                    </w:rPr>
                    <w:t>生活污水</w:t>
                  </w:r>
                  <w:r>
                    <w:rPr>
                      <w:rFonts w:hint="eastAsia" w:ascii="Times New Roman"/>
                      <w:color w:val="auto"/>
                      <w:sz w:val="21"/>
                      <w:lang w:val="en-US" w:eastAsia="zh-CN"/>
                    </w:rPr>
                    <w:t>（含食堂废水）</w:t>
                  </w:r>
                  <w:r>
                    <w:rPr>
                      <w:rFonts w:hint="eastAsia" w:ascii="Times New Roman" w:hAnsi="Times New Roman"/>
                      <w:color w:val="auto"/>
                      <w:sz w:val="21"/>
                      <w:lang w:val="en-US" w:eastAsia="zh-CN"/>
                    </w:rPr>
                    <w:t>1320</w:t>
                  </w:r>
                  <w:r>
                    <w:rPr>
                      <w:rFonts w:hint="eastAsia" w:ascii="Times New Roman" w:hAnsi="Times New Roman" w:cs="Times New Roman"/>
                      <w:b w:val="0"/>
                      <w:bCs/>
                      <w:color w:val="auto"/>
                      <w:sz w:val="21"/>
                      <w:lang w:val="en-US" w:eastAsia="zh-CN"/>
                    </w:rPr>
                    <w:t>m</w:t>
                  </w:r>
                  <w:r>
                    <w:rPr>
                      <w:rFonts w:hint="eastAsia" w:ascii="Times New Roman" w:hAnsi="Times New Roman" w:cs="Times New Roman"/>
                      <w:b w:val="0"/>
                      <w:bCs/>
                      <w:color w:val="auto"/>
                      <w:sz w:val="21"/>
                      <w:vertAlign w:val="superscript"/>
                      <w:lang w:val="en-US" w:eastAsia="zh-CN"/>
                    </w:rPr>
                    <w:t>3</w:t>
                  </w:r>
                  <w:r>
                    <w:rPr>
                      <w:rFonts w:hint="eastAsia" w:ascii="Times New Roman" w:hAnsi="Times New Roman" w:cs="Times New Roman"/>
                      <w:b w:val="0"/>
                      <w:bCs/>
                      <w:color w:val="auto"/>
                      <w:sz w:val="21"/>
                      <w:lang w:val="en-US" w:eastAsia="zh-CN"/>
                    </w:rPr>
                    <w:t>/a经隔油池+化粪池处理</w:t>
                  </w:r>
                  <w:r>
                    <w:rPr>
                      <w:rFonts w:hint="eastAsia" w:ascii="Times New Roman" w:cs="Times New Roman"/>
                      <w:b w:val="0"/>
                      <w:bCs/>
                      <w:color w:val="auto"/>
                      <w:sz w:val="21"/>
                      <w:lang w:val="en-US" w:eastAsia="zh-CN"/>
                    </w:rPr>
                    <w:t>，</w:t>
                  </w:r>
                  <w:r>
                    <w:rPr>
                      <w:rFonts w:hint="eastAsia" w:ascii="Times New Roman" w:hAnsi="Times New Roman"/>
                      <w:color w:val="auto"/>
                      <w:sz w:val="21"/>
                      <w:lang w:val="en-US" w:eastAsia="zh-CN"/>
                    </w:rPr>
                    <w:t>生产废水</w:t>
                  </w:r>
                  <w:r>
                    <w:rPr>
                      <w:rFonts w:hint="eastAsia" w:ascii="Times New Roman"/>
                      <w:color w:val="auto"/>
                      <w:sz w:val="21"/>
                      <w:lang w:val="en-US" w:eastAsia="zh-CN"/>
                    </w:rPr>
                    <w:t>55704</w:t>
                  </w:r>
                  <w:r>
                    <w:rPr>
                      <w:rFonts w:hint="eastAsia" w:ascii="Times New Roman" w:hAnsi="Times New Roman" w:cs="Times New Roman"/>
                      <w:b w:val="0"/>
                      <w:bCs/>
                      <w:color w:val="auto"/>
                      <w:sz w:val="21"/>
                      <w:lang w:val="en-US" w:eastAsia="zh-CN"/>
                    </w:rPr>
                    <w:t>m</w:t>
                  </w:r>
                  <w:r>
                    <w:rPr>
                      <w:rFonts w:hint="eastAsia" w:ascii="Times New Roman" w:hAnsi="Times New Roman" w:cs="Times New Roman"/>
                      <w:b w:val="0"/>
                      <w:bCs/>
                      <w:color w:val="auto"/>
                      <w:sz w:val="21"/>
                      <w:vertAlign w:val="superscript"/>
                      <w:lang w:val="en-US" w:eastAsia="zh-CN"/>
                    </w:rPr>
                    <w:t>3</w:t>
                  </w:r>
                  <w:r>
                    <w:rPr>
                      <w:rFonts w:hint="eastAsia" w:ascii="Times New Roman" w:hAnsi="Times New Roman" w:cs="Times New Roman"/>
                      <w:b w:val="0"/>
                      <w:bCs/>
                      <w:color w:val="auto"/>
                      <w:sz w:val="21"/>
                      <w:lang w:val="en-US" w:eastAsia="zh-CN"/>
                    </w:rPr>
                    <w:t>/a经</w:t>
                  </w:r>
                  <w:r>
                    <w:rPr>
                      <w:rFonts w:hint="eastAsia" w:ascii="Times New Roman" w:hAnsi="Times New Roman"/>
                      <w:color w:val="auto"/>
                      <w:sz w:val="21"/>
                      <w:lang w:val="en-US" w:eastAsia="zh-CN"/>
                    </w:rPr>
                    <w:t>厂区污水处理站处理，处理后的</w:t>
                  </w:r>
                  <w:r>
                    <w:rPr>
                      <w:rFonts w:hint="eastAsia" w:ascii="Times New Roman"/>
                      <w:color w:val="auto"/>
                      <w:sz w:val="21"/>
                      <w:lang w:val="en-US" w:eastAsia="zh-CN"/>
                    </w:rPr>
                    <w:t>生活污水（含食堂废水）、生产</w:t>
                  </w:r>
                  <w:r>
                    <w:rPr>
                      <w:rFonts w:hint="eastAsia" w:ascii="Times New Roman" w:hAnsi="Times New Roman"/>
                      <w:color w:val="auto"/>
                      <w:sz w:val="21"/>
                      <w:lang w:val="en-US" w:eastAsia="zh-CN"/>
                    </w:rPr>
                    <w:t>废水与纯水制备废水</w:t>
                  </w:r>
                  <w:r>
                    <w:rPr>
                      <w:rFonts w:hint="eastAsia" w:ascii="Times New Roman"/>
                      <w:color w:val="auto"/>
                      <w:sz w:val="21"/>
                      <w:lang w:val="en-US" w:eastAsia="zh-CN"/>
                    </w:rPr>
                    <w:t>42456</w:t>
                  </w:r>
                  <w:r>
                    <w:rPr>
                      <w:rFonts w:hint="eastAsia" w:ascii="Times New Roman" w:hAnsi="Times New Roman" w:cs="Times New Roman"/>
                      <w:b w:val="0"/>
                      <w:bCs/>
                      <w:color w:val="auto"/>
                      <w:sz w:val="21"/>
                      <w:lang w:val="en-US" w:eastAsia="zh-CN"/>
                    </w:rPr>
                    <w:t>m</w:t>
                  </w:r>
                  <w:r>
                    <w:rPr>
                      <w:rFonts w:hint="eastAsia" w:ascii="Times New Roman" w:hAnsi="Times New Roman" w:cs="Times New Roman"/>
                      <w:b w:val="0"/>
                      <w:bCs/>
                      <w:color w:val="auto"/>
                      <w:sz w:val="21"/>
                      <w:vertAlign w:val="superscript"/>
                      <w:lang w:val="en-US" w:eastAsia="zh-CN"/>
                    </w:rPr>
                    <w:t>3</w:t>
                  </w:r>
                  <w:r>
                    <w:rPr>
                      <w:rFonts w:hint="eastAsia" w:ascii="Times New Roman" w:hAnsi="Times New Roman" w:cs="Times New Roman"/>
                      <w:b w:val="0"/>
                      <w:bCs/>
                      <w:color w:val="auto"/>
                      <w:sz w:val="21"/>
                      <w:lang w:val="en-US" w:eastAsia="zh-CN"/>
                    </w:rPr>
                    <w:t>/a</w:t>
                  </w:r>
                  <w:r>
                    <w:rPr>
                      <w:rFonts w:hint="eastAsia" w:ascii="Times New Roman" w:hAnsi="Times New Roman"/>
                      <w:color w:val="auto"/>
                      <w:sz w:val="21"/>
                      <w:lang w:val="en-US" w:eastAsia="zh-CN"/>
                    </w:rPr>
                    <w:t>接管至涟水经济开发区西区污水处理厂，尾水排入祁六沟汇入公兴河。</w:t>
                  </w:r>
                </w:p>
              </w:tc>
              <w:tc>
                <w:tcPr>
                  <w:tcW w:w="2587" w:type="dxa"/>
                  <w:noWrap w:val="0"/>
                  <w:vAlign w:val="center"/>
                </w:tcPr>
                <w:p w14:paraId="288D0D3A">
                  <w:pPr>
                    <w:pStyle w:val="36"/>
                    <w:keepNext w:val="0"/>
                    <w:keepLines w:val="0"/>
                    <w:suppressLineNumbers w:val="0"/>
                    <w:bidi w:val="0"/>
                    <w:spacing w:before="0" w:beforeAutospacing="0" w:after="0" w:afterAutospacing="0"/>
                    <w:ind w:left="0" w:leftChars="0" w:right="0" w:rightChars="0"/>
                    <w:rPr>
                      <w:rFonts w:hint="default" w:eastAsia="宋体"/>
                      <w:color w:val="auto"/>
                      <w:sz w:val="21"/>
                      <w:szCs w:val="21"/>
                      <w:lang w:val="en-US" w:eastAsia="zh-CN"/>
                    </w:rPr>
                  </w:pPr>
                  <w:r>
                    <w:rPr>
                      <w:rFonts w:hint="eastAsia"/>
                      <w:color w:val="auto"/>
                      <w:lang w:val="en-US" w:eastAsia="zh-CN"/>
                    </w:rPr>
                    <w:t>市政污水管网</w:t>
                  </w:r>
                </w:p>
              </w:tc>
            </w:tr>
            <w:tr w14:paraId="332C7F5C">
              <w:trPr>
                <w:trHeight w:val="347" w:hRule="atLeast"/>
                <w:jc w:val="center"/>
              </w:trPr>
              <w:tc>
                <w:tcPr>
                  <w:tcW w:w="1144" w:type="dxa"/>
                  <w:gridSpan w:val="2"/>
                  <w:vMerge w:val="continue"/>
                  <w:noWrap w:val="0"/>
                  <w:vAlign w:val="center"/>
                </w:tcPr>
                <w:p w14:paraId="52A0DA8A">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c>
                <w:tcPr>
                  <w:tcW w:w="1795" w:type="dxa"/>
                  <w:noWrap w:val="0"/>
                  <w:vAlign w:val="center"/>
                </w:tcPr>
                <w:p w14:paraId="4965F89A">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r>
                    <w:rPr>
                      <w:rFonts w:hint="eastAsia"/>
                      <w:color w:val="auto"/>
                      <w:sz w:val="21"/>
                    </w:rPr>
                    <w:t>供电系统</w:t>
                  </w:r>
                </w:p>
              </w:tc>
              <w:tc>
                <w:tcPr>
                  <w:tcW w:w="2873" w:type="dxa"/>
                  <w:noWrap w:val="0"/>
                  <w:vAlign w:val="center"/>
                </w:tcPr>
                <w:p w14:paraId="4DDB7A6A">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用电量</w:t>
                  </w:r>
                  <w:r>
                    <w:rPr>
                      <w:rFonts w:hint="eastAsia" w:cs="Times New Roman"/>
                      <w:color w:val="auto"/>
                      <w:sz w:val="21"/>
                      <w:szCs w:val="21"/>
                      <w:lang w:val="en-US" w:eastAsia="zh-CN"/>
                    </w:rPr>
                    <w:t>400</w:t>
                  </w:r>
                  <w:r>
                    <w:rPr>
                      <w:rFonts w:hint="eastAsia" w:ascii="Times New Roman" w:hAnsi="Times New Roman" w:eastAsia="宋体" w:cs="Times New Roman"/>
                      <w:color w:val="auto"/>
                      <w:sz w:val="21"/>
                      <w:szCs w:val="21"/>
                    </w:rPr>
                    <w:t>万k·Wh/a</w:t>
                  </w:r>
                </w:p>
              </w:tc>
              <w:tc>
                <w:tcPr>
                  <w:tcW w:w="2587" w:type="dxa"/>
                  <w:noWrap w:val="0"/>
                  <w:vAlign w:val="center"/>
                </w:tcPr>
                <w:p w14:paraId="241C6646">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szCs w:val="21"/>
                    </w:rPr>
                  </w:pPr>
                  <w:r>
                    <w:rPr>
                      <w:rFonts w:hint="eastAsia"/>
                      <w:color w:val="auto"/>
                      <w:sz w:val="21"/>
                      <w:szCs w:val="21"/>
                    </w:rPr>
                    <w:t>市政电网供给</w:t>
                  </w:r>
                </w:p>
              </w:tc>
            </w:tr>
            <w:tr w14:paraId="6E8A3F6B">
              <w:trPr>
                <w:trHeight w:val="1120" w:hRule="atLeast"/>
                <w:jc w:val="center"/>
              </w:trPr>
              <w:tc>
                <w:tcPr>
                  <w:tcW w:w="571" w:type="dxa"/>
                  <w:vMerge w:val="restart"/>
                  <w:noWrap w:val="0"/>
                  <w:vAlign w:val="center"/>
                </w:tcPr>
                <w:p w14:paraId="2BC5ADEA">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r>
                    <w:rPr>
                      <w:rFonts w:hint="eastAsia"/>
                      <w:color w:val="auto"/>
                      <w:sz w:val="21"/>
                    </w:rPr>
                    <w:t>环保工程</w:t>
                  </w:r>
                </w:p>
              </w:tc>
              <w:tc>
                <w:tcPr>
                  <w:tcW w:w="573" w:type="dxa"/>
                  <w:vMerge w:val="restart"/>
                  <w:noWrap w:val="0"/>
                  <w:vAlign w:val="center"/>
                </w:tcPr>
                <w:p w14:paraId="17BC4B61">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lang w:val="en-US" w:eastAsia="zh-CN"/>
                    </w:rPr>
                  </w:pPr>
                  <w:r>
                    <w:rPr>
                      <w:rFonts w:hint="eastAsia"/>
                      <w:color w:val="auto"/>
                      <w:sz w:val="21"/>
                      <w:lang w:val="en-US" w:eastAsia="zh-CN"/>
                    </w:rPr>
                    <w:t>废气处理</w:t>
                  </w:r>
                </w:p>
              </w:tc>
              <w:tc>
                <w:tcPr>
                  <w:tcW w:w="1795" w:type="dxa"/>
                  <w:noWrap w:val="0"/>
                  <w:vAlign w:val="center"/>
                </w:tcPr>
                <w:p w14:paraId="03D41170">
                  <w:pPr>
                    <w:pStyle w:val="16"/>
                    <w:spacing w:after="0" w:line="280" w:lineRule="exact"/>
                    <w:ind w:left="0" w:leftChars="0" w:firstLine="0" w:firstLineChars="0"/>
                    <w:jc w:val="center"/>
                    <w:rPr>
                      <w:rFonts w:hint="default"/>
                      <w:color w:val="auto"/>
                      <w:kern w:val="0"/>
                      <w:sz w:val="21"/>
                      <w:szCs w:val="20"/>
                      <w:lang w:val="en-US" w:eastAsia="zh-CN" w:bidi="ar-SA"/>
                    </w:rPr>
                  </w:pPr>
                  <w:r>
                    <w:rPr>
                      <w:rFonts w:hint="eastAsia"/>
                      <w:color w:val="auto"/>
                      <w:sz w:val="21"/>
                      <w:lang w:val="en-US" w:eastAsia="zh-CN"/>
                    </w:rPr>
                    <w:t>有组织</w:t>
                  </w:r>
                  <w:r>
                    <w:rPr>
                      <w:rFonts w:hint="eastAsia"/>
                      <w:color w:val="auto"/>
                      <w:sz w:val="21"/>
                    </w:rPr>
                    <w:t>废气</w:t>
                  </w:r>
                </w:p>
              </w:tc>
              <w:tc>
                <w:tcPr>
                  <w:tcW w:w="2873" w:type="dxa"/>
                  <w:noWrap w:val="0"/>
                  <w:vAlign w:val="center"/>
                </w:tcPr>
                <w:p w14:paraId="103BCC9A">
                  <w:pPr>
                    <w:pStyle w:val="16"/>
                    <w:keepNext w:val="0"/>
                    <w:keepLines w:val="0"/>
                    <w:pageBreakBefore w:val="0"/>
                    <w:widowControl w:val="0"/>
                    <w:kinsoku/>
                    <w:wordWrap/>
                    <w:overflowPunct/>
                    <w:topLinePunct w:val="0"/>
                    <w:autoSpaceDE/>
                    <w:autoSpaceDN/>
                    <w:bidi w:val="0"/>
                    <w:adjustRightInd/>
                    <w:snapToGrid/>
                    <w:spacing w:after="0" w:line="280" w:lineRule="exact"/>
                    <w:ind w:left="0" w:leftChars="0" w:firstLine="420" w:firstLineChars="200"/>
                    <w:jc w:val="both"/>
                    <w:textAlignment w:val="auto"/>
                    <w:rPr>
                      <w:rFonts w:hint="eastAsia"/>
                      <w:color w:val="auto"/>
                      <w:sz w:val="21"/>
                      <w:highlight w:val="none"/>
                      <w:lang w:eastAsia="zh-CN"/>
                    </w:rPr>
                  </w:pPr>
                  <w:r>
                    <w:rPr>
                      <w:rFonts w:hint="eastAsia"/>
                      <w:color w:val="auto"/>
                      <w:sz w:val="21"/>
                      <w:highlight w:val="none"/>
                      <w:lang w:val="en-US" w:eastAsia="zh-CN"/>
                    </w:rPr>
                    <w:t>消毒废气：密闭收集+碱液喷淋系统（TA001）+15m高排气筒（DA001）排放</w:t>
                  </w:r>
                  <w:r>
                    <w:rPr>
                      <w:rFonts w:hint="eastAsia"/>
                      <w:color w:val="auto"/>
                      <w:sz w:val="21"/>
                      <w:highlight w:val="none"/>
                      <w:lang w:eastAsia="zh-CN"/>
                    </w:rPr>
                    <w:t>；</w:t>
                  </w:r>
                </w:p>
                <w:p w14:paraId="628DD1E8">
                  <w:pPr>
                    <w:pStyle w:val="16"/>
                    <w:keepNext w:val="0"/>
                    <w:keepLines w:val="0"/>
                    <w:pageBreakBefore w:val="0"/>
                    <w:widowControl w:val="0"/>
                    <w:kinsoku/>
                    <w:wordWrap/>
                    <w:overflowPunct/>
                    <w:topLinePunct w:val="0"/>
                    <w:autoSpaceDE/>
                    <w:autoSpaceDN/>
                    <w:bidi w:val="0"/>
                    <w:adjustRightInd/>
                    <w:snapToGrid/>
                    <w:spacing w:after="0" w:line="280" w:lineRule="exact"/>
                    <w:ind w:left="0" w:leftChars="0" w:firstLine="420" w:firstLineChars="200"/>
                    <w:jc w:val="both"/>
                    <w:textAlignment w:val="auto"/>
                    <w:rPr>
                      <w:rFonts w:hint="default"/>
                      <w:color w:val="auto"/>
                      <w:lang w:val="en-US" w:eastAsia="zh-CN"/>
                    </w:rPr>
                  </w:pPr>
                  <w:r>
                    <w:rPr>
                      <w:rFonts w:hint="eastAsia"/>
                      <w:color w:val="auto"/>
                      <w:sz w:val="21"/>
                      <w:highlight w:val="none"/>
                      <w:lang w:val="en-US" w:eastAsia="zh-CN"/>
                    </w:rPr>
                    <w:t>吹瓶废气</w:t>
                  </w:r>
                  <w:r>
                    <w:rPr>
                      <w:rFonts w:hint="eastAsia"/>
                      <w:color w:val="auto"/>
                      <w:sz w:val="21"/>
                      <w:highlight w:val="none"/>
                    </w:rPr>
                    <w:t>：</w:t>
                  </w:r>
                  <w:r>
                    <w:rPr>
                      <w:rFonts w:hint="eastAsia"/>
                      <w:color w:val="auto"/>
                      <w:sz w:val="21"/>
                      <w:highlight w:val="none"/>
                      <w:lang w:val="en-US" w:eastAsia="zh-CN"/>
                    </w:rPr>
                    <w:t>密闭收集</w:t>
                  </w:r>
                  <w:r>
                    <w:rPr>
                      <w:rFonts w:hint="eastAsia"/>
                      <w:color w:val="auto"/>
                      <w:sz w:val="21"/>
                      <w:highlight w:val="none"/>
                    </w:rPr>
                    <w:t>+二级活性炭吸附装置</w:t>
                  </w:r>
                  <w:r>
                    <w:rPr>
                      <w:rFonts w:hint="eastAsia"/>
                      <w:color w:val="auto"/>
                      <w:sz w:val="21"/>
                      <w:highlight w:val="none"/>
                      <w:lang w:eastAsia="zh-CN"/>
                    </w:rPr>
                    <w:t>（</w:t>
                  </w:r>
                  <w:r>
                    <w:rPr>
                      <w:rFonts w:hint="eastAsia"/>
                      <w:color w:val="auto"/>
                      <w:sz w:val="21"/>
                      <w:highlight w:val="none"/>
                      <w:lang w:val="en-US" w:eastAsia="zh-CN"/>
                    </w:rPr>
                    <w:t>TA002</w:t>
                  </w:r>
                  <w:r>
                    <w:rPr>
                      <w:rFonts w:hint="eastAsia"/>
                      <w:color w:val="auto"/>
                      <w:sz w:val="21"/>
                      <w:highlight w:val="none"/>
                      <w:lang w:eastAsia="zh-CN"/>
                    </w:rPr>
                    <w:t>）</w:t>
                  </w:r>
                  <w:r>
                    <w:rPr>
                      <w:rFonts w:hint="eastAsia"/>
                      <w:color w:val="auto"/>
                      <w:sz w:val="21"/>
                      <w:highlight w:val="none"/>
                    </w:rPr>
                    <w:t>+15m高排气筒（DA00</w:t>
                  </w:r>
                  <w:r>
                    <w:rPr>
                      <w:rFonts w:hint="eastAsia"/>
                      <w:color w:val="auto"/>
                      <w:sz w:val="21"/>
                      <w:highlight w:val="none"/>
                      <w:lang w:val="en-US" w:eastAsia="zh-CN"/>
                    </w:rPr>
                    <w:t>2</w:t>
                  </w:r>
                  <w:r>
                    <w:rPr>
                      <w:rFonts w:hint="eastAsia"/>
                      <w:color w:val="auto"/>
                      <w:sz w:val="21"/>
                      <w:highlight w:val="none"/>
                    </w:rPr>
                    <w:t>）排放</w:t>
                  </w:r>
                  <w:r>
                    <w:rPr>
                      <w:rFonts w:hint="eastAsia"/>
                      <w:color w:val="auto"/>
                      <w:sz w:val="21"/>
                      <w:highlight w:val="none"/>
                      <w:lang w:val="en-US" w:eastAsia="zh-CN"/>
                    </w:rPr>
                    <w:t>。</w:t>
                  </w:r>
                </w:p>
              </w:tc>
              <w:tc>
                <w:tcPr>
                  <w:tcW w:w="2587" w:type="dxa"/>
                  <w:vMerge w:val="restart"/>
                  <w:noWrap w:val="0"/>
                  <w:vAlign w:val="center"/>
                </w:tcPr>
                <w:p w14:paraId="52AFF406">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r>
                    <w:rPr>
                      <w:rFonts w:hint="eastAsia"/>
                      <w:color w:val="auto"/>
                      <w:sz w:val="21"/>
                    </w:rPr>
                    <w:t>达标排放</w:t>
                  </w:r>
                </w:p>
              </w:tc>
            </w:tr>
            <w:tr w14:paraId="56A8F17C">
              <w:trPr>
                <w:trHeight w:val="820" w:hRule="atLeast"/>
                <w:jc w:val="center"/>
              </w:trPr>
              <w:tc>
                <w:tcPr>
                  <w:tcW w:w="571" w:type="dxa"/>
                  <w:vMerge w:val="continue"/>
                  <w:noWrap w:val="0"/>
                  <w:vAlign w:val="center"/>
                </w:tcPr>
                <w:p w14:paraId="3DD5ACBD">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c>
                <w:tcPr>
                  <w:tcW w:w="573" w:type="dxa"/>
                  <w:vMerge w:val="continue"/>
                  <w:noWrap w:val="0"/>
                  <w:vAlign w:val="center"/>
                </w:tcPr>
                <w:p w14:paraId="34B5142F">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c>
                <w:tcPr>
                  <w:tcW w:w="1795" w:type="dxa"/>
                  <w:noWrap w:val="0"/>
                  <w:vAlign w:val="center"/>
                </w:tcPr>
                <w:p w14:paraId="3CF9630D">
                  <w:pPr>
                    <w:adjustRightInd w:val="0"/>
                    <w:snapToGrid w:val="0"/>
                    <w:spacing w:line="240" w:lineRule="auto"/>
                    <w:ind w:firstLine="0" w:firstLineChars="0"/>
                    <w:jc w:val="center"/>
                    <w:rPr>
                      <w:color w:val="auto"/>
                      <w:sz w:val="21"/>
                    </w:rPr>
                  </w:pPr>
                  <w:r>
                    <w:rPr>
                      <w:color w:val="auto"/>
                      <w:sz w:val="21"/>
                      <w:szCs w:val="21"/>
                    </w:rPr>
                    <w:t>无组织废气</w:t>
                  </w:r>
                </w:p>
              </w:tc>
              <w:tc>
                <w:tcPr>
                  <w:tcW w:w="2873" w:type="dxa"/>
                  <w:noWrap w:val="0"/>
                  <w:vAlign w:val="center"/>
                </w:tcPr>
                <w:p w14:paraId="7EA1F265">
                  <w:pPr>
                    <w:adjustRightInd w:val="0"/>
                    <w:snapToGrid w:val="0"/>
                    <w:spacing w:line="240" w:lineRule="auto"/>
                    <w:ind w:firstLine="0" w:firstLineChars="0"/>
                    <w:jc w:val="center"/>
                    <w:rPr>
                      <w:rFonts w:hint="default" w:eastAsia="宋体"/>
                      <w:color w:val="auto"/>
                      <w:sz w:val="21"/>
                      <w:lang w:val="en-US" w:eastAsia="zh-CN"/>
                    </w:rPr>
                  </w:pPr>
                  <w:r>
                    <w:rPr>
                      <w:rFonts w:hint="eastAsia"/>
                      <w:color w:val="auto"/>
                      <w:sz w:val="21"/>
                    </w:rPr>
                    <w:t>加强有组织收集效果，</w:t>
                  </w:r>
                  <w:r>
                    <w:rPr>
                      <w:color w:val="auto"/>
                      <w:sz w:val="21"/>
                    </w:rPr>
                    <w:t>车间强制排风系统</w:t>
                  </w:r>
                  <w:r>
                    <w:rPr>
                      <w:rFonts w:hint="eastAsia"/>
                      <w:color w:val="auto"/>
                      <w:sz w:val="21"/>
                    </w:rPr>
                    <w:t>、厂区加强绿化</w:t>
                  </w:r>
                  <w:r>
                    <w:rPr>
                      <w:rFonts w:hint="eastAsia"/>
                      <w:color w:val="auto"/>
                      <w:sz w:val="21"/>
                      <w:lang w:eastAsia="zh-CN"/>
                    </w:rPr>
                    <w:t>、</w:t>
                  </w:r>
                  <w:r>
                    <w:rPr>
                      <w:rFonts w:hint="eastAsia"/>
                      <w:color w:val="auto"/>
                      <w:sz w:val="21"/>
                      <w:lang w:val="en-US" w:eastAsia="zh-CN"/>
                    </w:rPr>
                    <w:t>污水处理站产生恶臭区域加盖处理。</w:t>
                  </w:r>
                </w:p>
              </w:tc>
              <w:tc>
                <w:tcPr>
                  <w:tcW w:w="2587" w:type="dxa"/>
                  <w:vMerge w:val="continue"/>
                  <w:noWrap w:val="0"/>
                  <w:vAlign w:val="center"/>
                </w:tcPr>
                <w:p w14:paraId="15C5C551">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r>
            <w:tr w14:paraId="5ECC76E6">
              <w:trPr>
                <w:trHeight w:val="565" w:hRule="atLeast"/>
                <w:jc w:val="center"/>
              </w:trPr>
              <w:tc>
                <w:tcPr>
                  <w:tcW w:w="571" w:type="dxa"/>
                  <w:vMerge w:val="continue"/>
                  <w:noWrap w:val="0"/>
                  <w:vAlign w:val="center"/>
                </w:tcPr>
                <w:p w14:paraId="14D7E123">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c>
                <w:tcPr>
                  <w:tcW w:w="573" w:type="dxa"/>
                  <w:vMerge w:val="restart"/>
                  <w:noWrap w:val="0"/>
                  <w:vAlign w:val="center"/>
                </w:tcPr>
                <w:p w14:paraId="0C5E4EF8">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lang w:val="en-US" w:eastAsia="zh-CN"/>
                    </w:rPr>
                  </w:pPr>
                  <w:r>
                    <w:rPr>
                      <w:rFonts w:hint="eastAsia"/>
                      <w:color w:val="auto"/>
                      <w:sz w:val="21"/>
                      <w:lang w:val="en-US" w:eastAsia="zh-CN"/>
                    </w:rPr>
                    <w:t>废水处理</w:t>
                  </w:r>
                </w:p>
              </w:tc>
              <w:tc>
                <w:tcPr>
                  <w:tcW w:w="1795" w:type="dxa"/>
                  <w:noWrap w:val="0"/>
                  <w:vAlign w:val="center"/>
                </w:tcPr>
                <w:p w14:paraId="7F6ADE5C">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lang w:eastAsia="zh-CN"/>
                    </w:rPr>
                  </w:pPr>
                  <w:r>
                    <w:rPr>
                      <w:rFonts w:hint="eastAsia"/>
                      <w:color w:val="auto"/>
                      <w:sz w:val="21"/>
                      <w:lang w:val="en-US" w:eastAsia="zh-CN"/>
                    </w:rPr>
                    <w:t>生活污水</w:t>
                  </w:r>
                </w:p>
              </w:tc>
              <w:tc>
                <w:tcPr>
                  <w:tcW w:w="2873" w:type="dxa"/>
                  <w:noWrap w:val="0"/>
                  <w:vAlign w:val="center"/>
                </w:tcPr>
                <w:p w14:paraId="14CB593D">
                  <w:pPr>
                    <w:pStyle w:val="16"/>
                    <w:spacing w:after="0" w:line="280" w:lineRule="exact"/>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color w:val="auto"/>
                      <w:sz w:val="21"/>
                      <w:szCs w:val="21"/>
                    </w:rPr>
                    <w:t>生活污水</w:t>
                  </w:r>
                  <w:r>
                    <w:rPr>
                      <w:rFonts w:hint="eastAsia"/>
                      <w:color w:val="auto"/>
                      <w:sz w:val="21"/>
                      <w:szCs w:val="21"/>
                      <w:lang w:eastAsia="zh-CN"/>
                    </w:rPr>
                    <w:t>（</w:t>
                  </w:r>
                  <w:r>
                    <w:rPr>
                      <w:rFonts w:hint="eastAsia"/>
                      <w:color w:val="auto"/>
                      <w:sz w:val="21"/>
                      <w:szCs w:val="21"/>
                      <w:lang w:val="en-US" w:eastAsia="zh-CN"/>
                    </w:rPr>
                    <w:t>含食堂废水</w:t>
                  </w:r>
                  <w:r>
                    <w:rPr>
                      <w:rFonts w:hint="eastAsia"/>
                      <w:color w:val="auto"/>
                      <w:sz w:val="21"/>
                      <w:szCs w:val="21"/>
                      <w:lang w:eastAsia="zh-CN"/>
                    </w:rPr>
                    <w:t>）</w:t>
                  </w:r>
                  <w:r>
                    <w:rPr>
                      <w:rFonts w:hint="eastAsia"/>
                      <w:color w:val="auto"/>
                      <w:sz w:val="21"/>
                      <w:szCs w:val="21"/>
                    </w:rPr>
                    <w:t>经</w:t>
                  </w:r>
                  <w:r>
                    <w:rPr>
                      <w:rFonts w:hint="eastAsia"/>
                      <w:color w:val="auto"/>
                      <w:sz w:val="21"/>
                      <w:szCs w:val="21"/>
                      <w:lang w:val="en-US" w:eastAsia="zh-CN"/>
                    </w:rPr>
                    <w:t>隔油池+</w:t>
                  </w:r>
                  <w:r>
                    <w:rPr>
                      <w:rFonts w:hint="eastAsia"/>
                      <w:color w:val="auto"/>
                      <w:sz w:val="21"/>
                      <w:szCs w:val="21"/>
                    </w:rPr>
                    <w:t>化粪池处理后</w:t>
                  </w:r>
                  <w:r>
                    <w:rPr>
                      <w:rFonts w:hint="eastAsia"/>
                      <w:color w:val="auto"/>
                      <w:sz w:val="21"/>
                      <w:szCs w:val="21"/>
                      <w:lang w:val="en-US" w:eastAsia="zh-CN"/>
                    </w:rPr>
                    <w:t>接管至涟水经济开发区西区污水处理厂</w:t>
                  </w:r>
                </w:p>
              </w:tc>
              <w:tc>
                <w:tcPr>
                  <w:tcW w:w="2587" w:type="dxa"/>
                  <w:noWrap w:val="0"/>
                  <w:vAlign w:val="center"/>
                </w:tcPr>
                <w:p w14:paraId="03510F5C">
                  <w:pPr>
                    <w:pStyle w:val="16"/>
                    <w:spacing w:after="0" w:line="280" w:lineRule="exact"/>
                    <w:ind w:left="0" w:leftChars="0" w:firstLine="0" w:firstLineChars="0"/>
                    <w:jc w:val="center"/>
                    <w:rPr>
                      <w:rFonts w:hint="default"/>
                      <w:color w:val="auto"/>
                      <w:sz w:val="21"/>
                      <w:lang w:val="en-US"/>
                    </w:rPr>
                  </w:pPr>
                  <w:r>
                    <w:rPr>
                      <w:rFonts w:hint="eastAsia"/>
                      <w:color w:val="auto"/>
                      <w:sz w:val="21"/>
                      <w:lang w:val="en-US" w:eastAsia="zh-CN"/>
                    </w:rPr>
                    <w:t>达标排放</w:t>
                  </w:r>
                </w:p>
              </w:tc>
            </w:tr>
            <w:tr w14:paraId="33B3D038">
              <w:trPr>
                <w:trHeight w:val="843" w:hRule="atLeast"/>
                <w:jc w:val="center"/>
              </w:trPr>
              <w:tc>
                <w:tcPr>
                  <w:tcW w:w="571" w:type="dxa"/>
                  <w:vMerge w:val="continue"/>
                  <w:noWrap w:val="0"/>
                  <w:vAlign w:val="center"/>
                </w:tcPr>
                <w:p w14:paraId="77D10F96">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c>
                <w:tcPr>
                  <w:tcW w:w="573" w:type="dxa"/>
                  <w:vMerge w:val="continue"/>
                  <w:noWrap w:val="0"/>
                  <w:vAlign w:val="center"/>
                </w:tcPr>
                <w:p w14:paraId="7E68B57E">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lang w:val="en-US" w:eastAsia="zh-CN"/>
                    </w:rPr>
                  </w:pPr>
                </w:p>
              </w:tc>
              <w:tc>
                <w:tcPr>
                  <w:tcW w:w="1795" w:type="dxa"/>
                  <w:noWrap w:val="0"/>
                  <w:vAlign w:val="center"/>
                </w:tcPr>
                <w:p w14:paraId="1E9263F7">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lang w:val="en-US" w:eastAsia="zh-CN"/>
                    </w:rPr>
                  </w:pPr>
                  <w:r>
                    <w:rPr>
                      <w:rFonts w:hint="eastAsia"/>
                      <w:color w:val="auto"/>
                      <w:sz w:val="21"/>
                      <w:lang w:val="en-US" w:eastAsia="zh-CN"/>
                    </w:rPr>
                    <w:t>生产废水</w:t>
                  </w:r>
                </w:p>
              </w:tc>
              <w:tc>
                <w:tcPr>
                  <w:tcW w:w="2873" w:type="dxa"/>
                  <w:noWrap w:val="0"/>
                  <w:vAlign w:val="center"/>
                </w:tcPr>
                <w:p w14:paraId="43A6AF99">
                  <w:pPr>
                    <w:pStyle w:val="16"/>
                    <w:spacing w:after="0" w:line="280" w:lineRule="exact"/>
                    <w:ind w:left="0" w:leftChars="0" w:firstLine="0" w:firstLineChars="0"/>
                    <w:jc w:val="center"/>
                    <w:rPr>
                      <w:rFonts w:hint="default" w:cs="Times New Roman"/>
                      <w:color w:val="auto"/>
                      <w:sz w:val="21"/>
                      <w:szCs w:val="21"/>
                      <w:lang w:val="en-US" w:eastAsia="zh-CN"/>
                    </w:rPr>
                  </w:pPr>
                  <w:r>
                    <w:rPr>
                      <w:rFonts w:hint="eastAsia"/>
                      <w:color w:val="auto"/>
                      <w:sz w:val="21"/>
                      <w:szCs w:val="21"/>
                      <w:lang w:val="en-US" w:eastAsia="zh-CN"/>
                    </w:rPr>
                    <w:t>杀菌废水、乙酸雾吸收废水、设备清洗废水、地面清洗废水经污水处理站处理后与纯水制备废水接管至涟水经济开发区西区污水处理厂</w:t>
                  </w:r>
                </w:p>
              </w:tc>
              <w:tc>
                <w:tcPr>
                  <w:tcW w:w="2587" w:type="dxa"/>
                  <w:noWrap w:val="0"/>
                  <w:vAlign w:val="center"/>
                </w:tcPr>
                <w:p w14:paraId="200E109F">
                  <w:pPr>
                    <w:pStyle w:val="16"/>
                    <w:spacing w:after="0" w:line="280" w:lineRule="exact"/>
                    <w:ind w:left="0" w:leftChars="0" w:firstLine="0" w:firstLineChars="0"/>
                    <w:jc w:val="center"/>
                    <w:rPr>
                      <w:rFonts w:hint="default"/>
                      <w:color w:val="auto"/>
                      <w:sz w:val="21"/>
                      <w:szCs w:val="21"/>
                      <w:lang w:val="en-US" w:eastAsia="zh-CN"/>
                    </w:rPr>
                  </w:pPr>
                  <w:r>
                    <w:rPr>
                      <w:rFonts w:hint="eastAsia"/>
                      <w:color w:val="auto"/>
                      <w:sz w:val="21"/>
                      <w:szCs w:val="21"/>
                      <w:lang w:val="en-US" w:eastAsia="zh-CN"/>
                    </w:rPr>
                    <w:t>达标排放</w:t>
                  </w:r>
                </w:p>
              </w:tc>
            </w:tr>
            <w:tr w14:paraId="54A160EE">
              <w:trPr>
                <w:trHeight w:val="549" w:hRule="atLeast"/>
                <w:jc w:val="center"/>
              </w:trPr>
              <w:tc>
                <w:tcPr>
                  <w:tcW w:w="571" w:type="dxa"/>
                  <w:vMerge w:val="continue"/>
                  <w:noWrap w:val="0"/>
                  <w:vAlign w:val="center"/>
                </w:tcPr>
                <w:p w14:paraId="5CD06A43">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c>
                <w:tcPr>
                  <w:tcW w:w="573" w:type="dxa"/>
                  <w:noWrap w:val="0"/>
                  <w:vAlign w:val="center"/>
                </w:tcPr>
                <w:p w14:paraId="7B1024E1">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lang w:val="en-US" w:eastAsia="zh-CN"/>
                    </w:rPr>
                  </w:pPr>
                  <w:r>
                    <w:rPr>
                      <w:rFonts w:hint="eastAsia"/>
                      <w:color w:val="auto"/>
                      <w:sz w:val="21"/>
                      <w:lang w:val="en-US" w:eastAsia="zh-CN"/>
                    </w:rPr>
                    <w:t>噪声处理</w:t>
                  </w:r>
                </w:p>
              </w:tc>
              <w:tc>
                <w:tcPr>
                  <w:tcW w:w="4668" w:type="dxa"/>
                  <w:gridSpan w:val="2"/>
                  <w:noWrap w:val="0"/>
                  <w:vAlign w:val="center"/>
                </w:tcPr>
                <w:p w14:paraId="00014396">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sz w:val="21"/>
                    </w:rPr>
                  </w:pPr>
                  <w:r>
                    <w:rPr>
                      <w:rFonts w:hint="eastAsia"/>
                      <w:color w:val="auto"/>
                      <w:sz w:val="21"/>
                    </w:rPr>
                    <w:t>采用低噪设备、吸声罩、减震垫、隔声门窗等消声、降噪措施</w:t>
                  </w:r>
                </w:p>
              </w:tc>
              <w:tc>
                <w:tcPr>
                  <w:tcW w:w="2587" w:type="dxa"/>
                  <w:noWrap w:val="0"/>
                  <w:vAlign w:val="center"/>
                </w:tcPr>
                <w:p w14:paraId="46B34AC9">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r>
                    <w:rPr>
                      <w:rFonts w:hint="eastAsia"/>
                      <w:color w:val="auto"/>
                      <w:sz w:val="21"/>
                    </w:rPr>
                    <w:t>厂界达标</w:t>
                  </w:r>
                </w:p>
              </w:tc>
            </w:tr>
            <w:tr w14:paraId="242A1D28">
              <w:trPr>
                <w:trHeight w:val="549" w:hRule="atLeast"/>
                <w:jc w:val="center"/>
              </w:trPr>
              <w:tc>
                <w:tcPr>
                  <w:tcW w:w="571" w:type="dxa"/>
                  <w:vMerge w:val="continue"/>
                  <w:noWrap w:val="0"/>
                  <w:vAlign w:val="center"/>
                </w:tcPr>
                <w:p w14:paraId="484BEAD7">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c>
                <w:tcPr>
                  <w:tcW w:w="573" w:type="dxa"/>
                  <w:vMerge w:val="restart"/>
                  <w:noWrap w:val="0"/>
                  <w:vAlign w:val="center"/>
                </w:tcPr>
                <w:p w14:paraId="03362BDC">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lang w:val="en-US" w:eastAsia="zh-CN"/>
                    </w:rPr>
                  </w:pPr>
                  <w:r>
                    <w:rPr>
                      <w:rFonts w:hint="eastAsia"/>
                      <w:color w:val="auto"/>
                      <w:sz w:val="21"/>
                      <w:lang w:val="en-US" w:eastAsia="zh-CN"/>
                    </w:rPr>
                    <w:t>固废处理</w:t>
                  </w:r>
                </w:p>
              </w:tc>
              <w:tc>
                <w:tcPr>
                  <w:tcW w:w="1795" w:type="dxa"/>
                  <w:noWrap w:val="0"/>
                  <w:vAlign w:val="center"/>
                </w:tcPr>
                <w:p w14:paraId="4C714825">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lang w:eastAsia="zh-CN"/>
                    </w:rPr>
                  </w:pPr>
                  <w:r>
                    <w:rPr>
                      <w:rFonts w:hint="eastAsia"/>
                      <w:color w:val="auto"/>
                      <w:sz w:val="21"/>
                      <w:lang w:val="en-US" w:eastAsia="zh-CN"/>
                    </w:rPr>
                    <w:t>一般固废库</w:t>
                  </w:r>
                </w:p>
              </w:tc>
              <w:tc>
                <w:tcPr>
                  <w:tcW w:w="2873" w:type="dxa"/>
                  <w:noWrap w:val="0"/>
                  <w:vAlign w:val="center"/>
                </w:tcPr>
                <w:p w14:paraId="5B7D0D8C">
                  <w:pPr>
                    <w:adjustRightInd w:val="0"/>
                    <w:snapToGrid w:val="0"/>
                    <w:spacing w:line="240" w:lineRule="auto"/>
                    <w:ind w:firstLine="0" w:firstLineChars="0"/>
                    <w:jc w:val="center"/>
                    <w:rPr>
                      <w:rFonts w:hint="eastAsia" w:ascii="Times New Roman" w:hAnsi="Times New Roman" w:eastAsia="宋体" w:cs="Times New Roman"/>
                      <w:color w:val="auto"/>
                      <w:sz w:val="21"/>
                    </w:rPr>
                  </w:pPr>
                  <w:r>
                    <w:rPr>
                      <w:rFonts w:hint="eastAsia"/>
                      <w:color w:val="auto"/>
                      <w:sz w:val="21"/>
                      <w:szCs w:val="21"/>
                      <w:lang w:val="en-US" w:eastAsia="zh-CN"/>
                    </w:rPr>
                    <w:t>1#厂房东北侧</w:t>
                  </w:r>
                  <w:r>
                    <w:rPr>
                      <w:color w:val="auto"/>
                      <w:sz w:val="21"/>
                      <w:szCs w:val="21"/>
                    </w:rPr>
                    <w:t>设置</w:t>
                  </w:r>
                  <w:r>
                    <w:rPr>
                      <w:rFonts w:hint="eastAsia"/>
                      <w:color w:val="auto"/>
                      <w:sz w:val="21"/>
                      <w:szCs w:val="21"/>
                    </w:rPr>
                    <w:t>一般固废仓库</w:t>
                  </w:r>
                  <w:r>
                    <w:rPr>
                      <w:color w:val="auto"/>
                      <w:sz w:val="21"/>
                      <w:szCs w:val="21"/>
                    </w:rPr>
                    <w:t>，面积约</w:t>
                  </w:r>
                  <w:r>
                    <w:rPr>
                      <w:rFonts w:hint="eastAsia"/>
                      <w:color w:val="auto"/>
                      <w:sz w:val="21"/>
                      <w:szCs w:val="21"/>
                      <w:lang w:val="en-US" w:eastAsia="zh-CN"/>
                    </w:rPr>
                    <w:t>150</w:t>
                  </w:r>
                  <w:r>
                    <w:rPr>
                      <w:color w:val="auto"/>
                      <w:sz w:val="21"/>
                      <w:szCs w:val="21"/>
                    </w:rPr>
                    <w:t>m</w:t>
                  </w:r>
                  <w:r>
                    <w:rPr>
                      <w:color w:val="auto"/>
                      <w:sz w:val="21"/>
                      <w:szCs w:val="21"/>
                      <w:vertAlign w:val="superscript"/>
                    </w:rPr>
                    <w:t>2</w:t>
                  </w:r>
                </w:p>
              </w:tc>
              <w:tc>
                <w:tcPr>
                  <w:tcW w:w="2587" w:type="dxa"/>
                  <w:vMerge w:val="restart"/>
                  <w:noWrap w:val="0"/>
                  <w:vAlign w:val="center"/>
                </w:tcPr>
                <w:p w14:paraId="42B0EF02">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r>
                    <w:rPr>
                      <w:rFonts w:hint="eastAsia"/>
                      <w:color w:val="auto"/>
                      <w:sz w:val="21"/>
                    </w:rPr>
                    <w:t>零排放</w:t>
                  </w:r>
                </w:p>
              </w:tc>
            </w:tr>
            <w:tr w14:paraId="2B8B39E3">
              <w:trPr>
                <w:trHeight w:val="549" w:hRule="atLeast"/>
                <w:jc w:val="center"/>
              </w:trPr>
              <w:tc>
                <w:tcPr>
                  <w:tcW w:w="571" w:type="dxa"/>
                  <w:vMerge w:val="continue"/>
                  <w:noWrap w:val="0"/>
                  <w:vAlign w:val="center"/>
                </w:tcPr>
                <w:p w14:paraId="5EE83690">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c>
                <w:tcPr>
                  <w:tcW w:w="573" w:type="dxa"/>
                  <w:vMerge w:val="continue"/>
                  <w:noWrap w:val="0"/>
                  <w:vAlign w:val="center"/>
                </w:tcPr>
                <w:p w14:paraId="44560D9E">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c>
                <w:tcPr>
                  <w:tcW w:w="1795" w:type="dxa"/>
                  <w:noWrap w:val="0"/>
                  <w:vAlign w:val="center"/>
                </w:tcPr>
                <w:p w14:paraId="7CBDC274">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lang w:val="en-US" w:eastAsia="zh-CN"/>
                    </w:rPr>
                  </w:pPr>
                  <w:r>
                    <w:rPr>
                      <w:rFonts w:hint="eastAsia"/>
                      <w:color w:val="auto"/>
                      <w:sz w:val="21"/>
                      <w:lang w:val="en-US" w:eastAsia="zh-CN"/>
                    </w:rPr>
                    <w:t>危废库</w:t>
                  </w:r>
                </w:p>
              </w:tc>
              <w:tc>
                <w:tcPr>
                  <w:tcW w:w="2873" w:type="dxa"/>
                  <w:noWrap w:val="0"/>
                  <w:vAlign w:val="center"/>
                </w:tcPr>
                <w:p w14:paraId="70340200">
                  <w:pPr>
                    <w:adjustRightInd w:val="0"/>
                    <w:snapToGrid w:val="0"/>
                    <w:spacing w:line="240" w:lineRule="auto"/>
                    <w:ind w:firstLine="0" w:firstLineChars="0"/>
                    <w:jc w:val="center"/>
                    <w:rPr>
                      <w:rFonts w:hint="eastAsia" w:eastAsia="宋体"/>
                      <w:color w:val="auto"/>
                      <w:lang w:val="en-US" w:eastAsia="zh-CN"/>
                    </w:rPr>
                  </w:pPr>
                  <w:r>
                    <w:rPr>
                      <w:rFonts w:hint="eastAsia"/>
                      <w:color w:val="auto"/>
                      <w:sz w:val="21"/>
                      <w:szCs w:val="21"/>
                      <w:lang w:val="en-US" w:eastAsia="zh-CN"/>
                    </w:rPr>
                    <w:t>一般固废库南侧</w:t>
                  </w:r>
                  <w:r>
                    <w:rPr>
                      <w:color w:val="auto"/>
                      <w:sz w:val="21"/>
                      <w:szCs w:val="21"/>
                    </w:rPr>
                    <w:t>设置</w:t>
                  </w:r>
                  <w:r>
                    <w:rPr>
                      <w:rFonts w:hint="eastAsia"/>
                      <w:color w:val="auto"/>
                      <w:sz w:val="21"/>
                      <w:szCs w:val="21"/>
                      <w:lang w:eastAsia="zh-CN"/>
                    </w:rPr>
                    <w:t>危废库</w:t>
                  </w:r>
                  <w:r>
                    <w:rPr>
                      <w:color w:val="auto"/>
                      <w:sz w:val="21"/>
                      <w:szCs w:val="21"/>
                    </w:rPr>
                    <w:t>，面积约</w:t>
                  </w:r>
                  <w:r>
                    <w:rPr>
                      <w:rFonts w:hint="eastAsia"/>
                      <w:color w:val="auto"/>
                      <w:sz w:val="21"/>
                      <w:szCs w:val="21"/>
                      <w:lang w:val="en-US" w:eastAsia="zh-CN"/>
                    </w:rPr>
                    <w:t>50</w:t>
                  </w:r>
                  <w:r>
                    <w:rPr>
                      <w:color w:val="auto"/>
                      <w:sz w:val="21"/>
                      <w:szCs w:val="21"/>
                    </w:rPr>
                    <w:t>m</w:t>
                  </w:r>
                  <w:r>
                    <w:rPr>
                      <w:color w:val="auto"/>
                      <w:sz w:val="21"/>
                      <w:szCs w:val="21"/>
                      <w:vertAlign w:val="superscript"/>
                    </w:rPr>
                    <w:t>2</w:t>
                  </w:r>
                </w:p>
              </w:tc>
              <w:tc>
                <w:tcPr>
                  <w:tcW w:w="2587" w:type="dxa"/>
                  <w:vMerge w:val="continue"/>
                  <w:noWrap w:val="0"/>
                  <w:vAlign w:val="top"/>
                </w:tcPr>
                <w:p w14:paraId="34D0B5F0">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r>
            <w:tr w14:paraId="5A56973D">
              <w:trPr>
                <w:trHeight w:val="377" w:hRule="atLeast"/>
                <w:jc w:val="center"/>
              </w:trPr>
              <w:tc>
                <w:tcPr>
                  <w:tcW w:w="571" w:type="dxa"/>
                  <w:vMerge w:val="continue"/>
                  <w:noWrap w:val="0"/>
                  <w:vAlign w:val="center"/>
                </w:tcPr>
                <w:p w14:paraId="4D8093D0">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c>
                <w:tcPr>
                  <w:tcW w:w="573" w:type="dxa"/>
                  <w:vMerge w:val="continue"/>
                  <w:noWrap w:val="0"/>
                  <w:vAlign w:val="center"/>
                </w:tcPr>
                <w:p w14:paraId="7990C394">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c>
                <w:tcPr>
                  <w:tcW w:w="1795" w:type="dxa"/>
                  <w:noWrap w:val="0"/>
                  <w:vAlign w:val="center"/>
                </w:tcPr>
                <w:p w14:paraId="581F4CCF">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lang w:val="en-US" w:eastAsia="zh-CN"/>
                    </w:rPr>
                  </w:pPr>
                  <w:r>
                    <w:rPr>
                      <w:rFonts w:hint="eastAsia"/>
                      <w:color w:val="auto"/>
                      <w:sz w:val="21"/>
                      <w:lang w:val="en-US" w:eastAsia="zh-CN"/>
                    </w:rPr>
                    <w:t>生活垃圾等</w:t>
                  </w:r>
                </w:p>
              </w:tc>
              <w:tc>
                <w:tcPr>
                  <w:tcW w:w="2873" w:type="dxa"/>
                  <w:noWrap w:val="0"/>
                  <w:vAlign w:val="center"/>
                </w:tcPr>
                <w:p w14:paraId="7057D4D5">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sz w:val="21"/>
                      <w:lang w:eastAsia="zh-CN"/>
                    </w:rPr>
                  </w:pPr>
                  <w:r>
                    <w:rPr>
                      <w:rFonts w:hint="eastAsia" w:ascii="Times New Roman" w:hAnsi="Times New Roman" w:eastAsia="宋体" w:cs="Times New Roman"/>
                      <w:color w:val="auto"/>
                      <w:sz w:val="21"/>
                    </w:rPr>
                    <w:t>生活垃圾</w:t>
                  </w:r>
                  <w:r>
                    <w:rPr>
                      <w:rFonts w:hint="eastAsia" w:cs="Times New Roman"/>
                      <w:color w:val="auto"/>
                      <w:sz w:val="21"/>
                      <w:lang w:val="en-US" w:eastAsia="zh-CN"/>
                    </w:rPr>
                    <w:t>收集桶</w:t>
                  </w:r>
                </w:p>
              </w:tc>
              <w:tc>
                <w:tcPr>
                  <w:tcW w:w="2587" w:type="dxa"/>
                  <w:vMerge w:val="continue"/>
                  <w:noWrap w:val="0"/>
                  <w:vAlign w:val="top"/>
                </w:tcPr>
                <w:p w14:paraId="0131F633">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r>
          </w:tbl>
          <w:p w14:paraId="4306DF8E">
            <w:pPr>
              <w:pStyle w:val="16"/>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auto"/>
              </w:rPr>
            </w:pPr>
            <w:r>
              <w:rPr>
                <w:rFonts w:hint="eastAsia"/>
                <w:color w:val="auto"/>
                <w:lang w:eastAsia="zh-CN"/>
              </w:rPr>
              <w:t>9.</w:t>
            </w:r>
            <w:r>
              <w:rPr>
                <w:rFonts w:hint="eastAsia"/>
                <w:color w:val="auto"/>
              </w:rPr>
              <w:t>项目平面布置及周边关系</w:t>
            </w:r>
          </w:p>
          <w:p w14:paraId="2C0DC875">
            <w:pPr>
              <w:pStyle w:val="16"/>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auto"/>
              </w:rPr>
            </w:pPr>
            <w:r>
              <w:rPr>
                <w:color w:val="auto"/>
              </w:rPr>
              <w:t>平面布置：本项目</w:t>
            </w:r>
            <w:r>
              <w:rPr>
                <w:rFonts w:hint="eastAsia"/>
                <w:color w:val="auto"/>
                <w:lang w:eastAsia="zh-CN"/>
              </w:rPr>
              <w:t>位置</w:t>
            </w:r>
            <w:r>
              <w:rPr>
                <w:color w:val="auto"/>
              </w:rPr>
              <w:t>涟水县</w:t>
            </w:r>
            <w:r>
              <w:rPr>
                <w:rFonts w:hint="eastAsia"/>
                <w:color w:val="auto"/>
                <w:lang w:val="en-US" w:eastAsia="zh-CN"/>
              </w:rPr>
              <w:t>经济开发区兴旺路28号</w:t>
            </w:r>
            <w:r>
              <w:rPr>
                <w:rFonts w:hint="eastAsia" w:ascii="Times New Roman" w:hAnsi="Times New Roman"/>
                <w:b w:val="0"/>
                <w:bCs w:val="0"/>
                <w:color w:val="auto"/>
                <w:lang w:val="en-US" w:eastAsia="zh-CN"/>
              </w:rPr>
              <w:t>（兴旺路北侧、高坚科技东侧）</w:t>
            </w:r>
            <w:r>
              <w:rPr>
                <w:rFonts w:hint="eastAsia"/>
                <w:color w:val="auto"/>
                <w:lang w:val="en-US" w:eastAsia="zh-CN"/>
              </w:rPr>
              <w:t>工业用地新建生产厂房及辅助用房，项目</w:t>
            </w:r>
            <w:r>
              <w:rPr>
                <w:rFonts w:hint="eastAsia"/>
                <w:color w:val="auto"/>
              </w:rPr>
              <w:t>占地面积为</w:t>
            </w:r>
            <w:r>
              <w:rPr>
                <w:rFonts w:hint="eastAsia"/>
                <w:color w:val="auto"/>
                <w:lang w:val="en-US" w:eastAsia="zh-CN"/>
              </w:rPr>
              <w:t>19442</w:t>
            </w:r>
            <w:r>
              <w:rPr>
                <w:rFonts w:hint="eastAsia"/>
                <w:color w:val="auto"/>
              </w:rPr>
              <w:t>m</w:t>
            </w:r>
            <w:r>
              <w:rPr>
                <w:rFonts w:hint="eastAsia"/>
                <w:color w:val="auto"/>
                <w:vertAlign w:val="superscript"/>
              </w:rPr>
              <w:t>2</w:t>
            </w:r>
            <w:r>
              <w:rPr>
                <w:rFonts w:hint="eastAsia"/>
                <w:color w:val="auto"/>
              </w:rPr>
              <w:t>，</w:t>
            </w:r>
            <w:r>
              <w:rPr>
                <w:color w:val="auto"/>
              </w:rPr>
              <w:t>建筑面积为</w:t>
            </w:r>
            <w:r>
              <w:rPr>
                <w:rFonts w:hint="eastAsia"/>
                <w:color w:val="auto"/>
                <w:lang w:val="en-US" w:eastAsia="zh-CN"/>
              </w:rPr>
              <w:t>12000</w:t>
            </w:r>
            <w:r>
              <w:rPr>
                <w:color w:val="auto"/>
              </w:rPr>
              <w:t>m</w:t>
            </w:r>
            <w:r>
              <w:rPr>
                <w:color w:val="auto"/>
                <w:vertAlign w:val="superscript"/>
              </w:rPr>
              <w:t>2</w:t>
            </w:r>
            <w:r>
              <w:rPr>
                <w:rFonts w:hint="eastAsia"/>
                <w:color w:val="auto"/>
                <w:lang w:eastAsia="zh-CN"/>
              </w:rPr>
              <w:t>。</w:t>
            </w:r>
            <w:r>
              <w:rPr>
                <w:rFonts w:hint="eastAsia"/>
                <w:color w:val="auto"/>
                <w:lang w:val="en-US" w:eastAsia="zh-CN"/>
              </w:rPr>
              <w:t>1#厂房设置办公区（3层）及生产区（1层）、2#厂房设置成品库、3#厂房设置为辅助用房，原料库设置在1#厂房东北侧、冷库设置在1#厂房东侧，一般固废库设置原料库南侧，危废库设置在固废库南侧，危废库和一般固废库均单独设置，</w:t>
            </w:r>
            <w:r>
              <w:rPr>
                <w:color w:val="auto"/>
              </w:rPr>
              <w:t>本项目平面布置图详见附图</w:t>
            </w:r>
            <w:r>
              <w:rPr>
                <w:rFonts w:hint="eastAsia"/>
                <w:color w:val="auto"/>
                <w:lang w:val="en-US" w:eastAsia="zh-CN"/>
              </w:rPr>
              <w:t>5</w:t>
            </w:r>
            <w:r>
              <w:rPr>
                <w:rFonts w:hint="eastAsia"/>
                <w:color w:val="auto"/>
                <w:lang w:eastAsia="zh-CN"/>
              </w:rPr>
              <w:t>，</w:t>
            </w:r>
            <w:r>
              <w:rPr>
                <w:rFonts w:hint="eastAsia"/>
                <w:color w:val="auto"/>
                <w:lang w:val="en-US" w:eastAsia="zh-CN"/>
              </w:rPr>
              <w:t>与经济开发区位置关系图见附图7</w:t>
            </w:r>
            <w:r>
              <w:rPr>
                <w:color w:val="auto"/>
              </w:rPr>
              <w:t>。</w:t>
            </w:r>
          </w:p>
          <w:p w14:paraId="7CEEFAAA">
            <w:pPr>
              <w:pStyle w:val="16"/>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auto"/>
              </w:rPr>
            </w:pPr>
            <w:r>
              <w:rPr>
                <w:color w:val="auto"/>
              </w:rPr>
              <w:t>周边关系：</w:t>
            </w:r>
            <w:r>
              <w:rPr>
                <w:rFonts w:hint="eastAsia"/>
                <w:color w:val="auto"/>
              </w:rPr>
              <w:t>本</w:t>
            </w:r>
            <w:r>
              <w:rPr>
                <w:color w:val="auto"/>
              </w:rPr>
              <w:t>项目东侧</w:t>
            </w:r>
            <w:r>
              <w:rPr>
                <w:rFonts w:hint="eastAsia"/>
                <w:color w:val="auto"/>
              </w:rPr>
              <w:t>为</w:t>
            </w:r>
            <w:r>
              <w:rPr>
                <w:rFonts w:hint="eastAsia"/>
                <w:color w:val="auto"/>
                <w:lang w:val="en-US" w:eastAsia="zh-CN"/>
              </w:rPr>
              <w:t>精准扶贫产业园</w:t>
            </w:r>
            <w:r>
              <w:rPr>
                <w:rFonts w:hint="eastAsia"/>
                <w:color w:val="auto"/>
              </w:rPr>
              <w:t>；南</w:t>
            </w:r>
            <w:r>
              <w:rPr>
                <w:color w:val="auto"/>
              </w:rPr>
              <w:t>侧为</w:t>
            </w:r>
            <w:r>
              <w:rPr>
                <w:rFonts w:hint="eastAsia"/>
                <w:color w:val="auto"/>
                <w:lang w:val="en-US" w:eastAsia="zh-CN"/>
              </w:rPr>
              <w:t>兴旺路</w:t>
            </w:r>
            <w:r>
              <w:rPr>
                <w:color w:val="auto"/>
              </w:rPr>
              <w:t>；</w:t>
            </w:r>
            <w:r>
              <w:rPr>
                <w:rFonts w:hint="eastAsia" w:ascii="Times New Roman" w:hAnsi="Times New Roman" w:eastAsia="宋体" w:cs="Times New Roman"/>
                <w:color w:val="auto"/>
              </w:rPr>
              <w:t>西侧为</w:t>
            </w:r>
            <w:r>
              <w:rPr>
                <w:rFonts w:hint="eastAsia" w:cs="Times New Roman"/>
                <w:color w:val="auto"/>
                <w:lang w:val="en-US" w:eastAsia="zh-CN"/>
              </w:rPr>
              <w:t>在建厂房</w:t>
            </w:r>
            <w:r>
              <w:rPr>
                <w:rFonts w:hint="eastAsia" w:ascii="Times New Roman" w:hAnsi="Times New Roman" w:eastAsia="宋体" w:cs="Times New Roman"/>
                <w:color w:val="auto"/>
              </w:rPr>
              <w:t>；</w:t>
            </w:r>
            <w:r>
              <w:rPr>
                <w:rFonts w:hint="eastAsia"/>
                <w:color w:val="auto"/>
              </w:rPr>
              <w:t>北侧为</w:t>
            </w:r>
            <w:r>
              <w:rPr>
                <w:rFonts w:hint="eastAsia"/>
                <w:color w:val="auto"/>
                <w:lang w:val="en-US" w:eastAsia="zh-CN"/>
              </w:rPr>
              <w:t>空地</w:t>
            </w:r>
            <w:r>
              <w:rPr>
                <w:color w:val="auto"/>
              </w:rPr>
              <w:t>。本项目周边环境状况图详见附图</w:t>
            </w:r>
            <w:r>
              <w:rPr>
                <w:rFonts w:hint="eastAsia"/>
                <w:color w:val="auto"/>
                <w:lang w:val="en-US" w:eastAsia="zh-CN"/>
              </w:rPr>
              <w:t>6</w:t>
            </w:r>
            <w:r>
              <w:rPr>
                <w:color w:val="auto"/>
              </w:rPr>
              <w:t>。</w:t>
            </w:r>
          </w:p>
          <w:p w14:paraId="06F5D006">
            <w:pPr>
              <w:pStyle w:val="16"/>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auto"/>
              </w:rPr>
            </w:pPr>
            <w:r>
              <w:rPr>
                <w:rFonts w:hint="eastAsia"/>
                <w:color w:val="auto"/>
                <w:lang w:eastAsia="zh-CN"/>
              </w:rPr>
              <w:t>10.</w:t>
            </w:r>
            <w:r>
              <w:rPr>
                <w:rFonts w:hint="eastAsia"/>
                <w:color w:val="auto"/>
              </w:rPr>
              <w:t>劳动制度及定员</w:t>
            </w:r>
          </w:p>
          <w:p w14:paraId="3D7B57A5">
            <w:pPr>
              <w:pStyle w:val="16"/>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auto"/>
              </w:rPr>
            </w:pPr>
            <w:r>
              <w:rPr>
                <w:color w:val="auto"/>
              </w:rPr>
              <w:t>项目劳动定员</w:t>
            </w:r>
            <w:r>
              <w:rPr>
                <w:rFonts w:hint="eastAsia"/>
                <w:color w:val="auto"/>
                <w:lang w:val="en-US" w:eastAsia="zh-CN"/>
              </w:rPr>
              <w:t>50</w:t>
            </w:r>
            <w:r>
              <w:rPr>
                <w:color w:val="auto"/>
              </w:rPr>
              <w:t>人，年运行</w:t>
            </w:r>
            <w:r>
              <w:rPr>
                <w:rFonts w:hint="eastAsia"/>
                <w:color w:val="auto"/>
                <w:lang w:val="en-US" w:eastAsia="zh-CN"/>
              </w:rPr>
              <w:t>33</w:t>
            </w:r>
            <w:r>
              <w:rPr>
                <w:color w:val="auto"/>
              </w:rPr>
              <w:t>0天，</w:t>
            </w:r>
            <w:r>
              <w:rPr>
                <w:rFonts w:hint="eastAsia"/>
                <w:color w:val="auto"/>
              </w:rPr>
              <w:t>实行</w:t>
            </w:r>
            <w:r>
              <w:rPr>
                <w:rFonts w:hint="eastAsia"/>
                <w:color w:val="auto"/>
                <w:lang w:val="en-US" w:eastAsia="zh-CN"/>
              </w:rPr>
              <w:t>3</w:t>
            </w:r>
            <w:r>
              <w:rPr>
                <w:rFonts w:hint="eastAsia"/>
                <w:color w:val="auto"/>
              </w:rPr>
              <w:t>班工作制，每班</w:t>
            </w:r>
            <w:r>
              <w:rPr>
                <w:rFonts w:hint="eastAsia"/>
                <w:color w:val="auto"/>
                <w:lang w:val="en-US" w:eastAsia="zh-CN"/>
              </w:rPr>
              <w:t>8</w:t>
            </w:r>
            <w:r>
              <w:rPr>
                <w:rFonts w:hint="eastAsia"/>
                <w:color w:val="auto"/>
              </w:rPr>
              <w:t>小时</w:t>
            </w:r>
            <w:r>
              <w:rPr>
                <w:color w:val="auto"/>
              </w:rPr>
              <w:t>，年运行时间</w:t>
            </w:r>
            <w:r>
              <w:rPr>
                <w:rFonts w:hint="eastAsia"/>
                <w:color w:val="auto"/>
                <w:lang w:val="en-US" w:eastAsia="zh-CN"/>
              </w:rPr>
              <w:t>7920</w:t>
            </w:r>
            <w:r>
              <w:rPr>
                <w:color w:val="auto"/>
              </w:rPr>
              <w:t>小时</w:t>
            </w:r>
            <w:r>
              <w:rPr>
                <w:rFonts w:hint="eastAsia"/>
                <w:color w:val="auto"/>
              </w:rPr>
              <w:t>，</w:t>
            </w:r>
            <w:r>
              <w:rPr>
                <w:rFonts w:hint="eastAsia"/>
                <w:color w:val="auto"/>
                <w:lang w:val="en-US" w:eastAsia="zh-CN"/>
              </w:rPr>
              <w:t>本项目不提供食宿</w:t>
            </w:r>
            <w:r>
              <w:rPr>
                <w:rFonts w:hint="eastAsia"/>
                <w:color w:val="auto"/>
              </w:rPr>
              <w:t>。</w:t>
            </w:r>
          </w:p>
          <w:p w14:paraId="775CF82D">
            <w:pPr>
              <w:pStyle w:val="16"/>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auto"/>
              </w:rPr>
            </w:pPr>
            <w:r>
              <w:rPr>
                <w:rFonts w:hint="eastAsia"/>
                <w:color w:val="auto"/>
                <w:lang w:eastAsia="zh-CN"/>
              </w:rPr>
              <w:t>11.</w:t>
            </w:r>
            <w:r>
              <w:rPr>
                <w:rFonts w:hint="eastAsia"/>
                <w:color w:val="auto"/>
              </w:rPr>
              <w:t>给排水及供电</w:t>
            </w:r>
          </w:p>
          <w:p w14:paraId="3FCB52CA">
            <w:pPr>
              <w:pStyle w:val="16"/>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auto"/>
              </w:rPr>
            </w:pPr>
            <w:r>
              <w:rPr>
                <w:color w:val="auto"/>
              </w:rPr>
              <w:t>给水：本项目用水由市政给水管网供给。</w:t>
            </w:r>
            <w:r>
              <w:rPr>
                <w:rFonts w:hint="eastAsia"/>
                <w:color w:val="auto"/>
                <w:lang w:val="en-US" w:eastAsia="zh-CN"/>
              </w:rPr>
              <w:t>新鲜</w:t>
            </w:r>
            <w:r>
              <w:rPr>
                <w:color w:val="auto"/>
              </w:rPr>
              <w:t>用水量为</w:t>
            </w:r>
            <w:r>
              <w:rPr>
                <w:rFonts w:hint="eastAsia"/>
                <w:b w:val="0"/>
                <w:color w:val="auto"/>
                <w:lang w:val="en-US" w:eastAsia="zh-CN"/>
              </w:rPr>
              <w:t>195908.4m</w:t>
            </w:r>
            <w:r>
              <w:rPr>
                <w:rFonts w:hint="eastAsia"/>
                <w:b w:val="0"/>
                <w:color w:val="auto"/>
                <w:vertAlign w:val="superscript"/>
                <w:lang w:val="en-US" w:eastAsia="zh-CN"/>
              </w:rPr>
              <w:t>3</w:t>
            </w:r>
            <w:r>
              <w:rPr>
                <w:rFonts w:hint="eastAsia" w:ascii="Times New Roman" w:hAnsi="Times New Roman"/>
                <w:color w:val="auto"/>
                <w:sz w:val="24"/>
                <w:szCs w:val="24"/>
                <w:lang w:val="en-US" w:eastAsia="zh-CN"/>
              </w:rPr>
              <w:t>/a</w:t>
            </w:r>
            <w:r>
              <w:rPr>
                <w:color w:val="auto"/>
              </w:rPr>
              <w:t>。</w:t>
            </w:r>
          </w:p>
          <w:p w14:paraId="64A8BAE8">
            <w:pPr>
              <w:pStyle w:val="16"/>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auto"/>
              </w:rPr>
            </w:pPr>
            <w:r>
              <w:rPr>
                <w:color w:val="auto"/>
              </w:rPr>
              <w:t>排水：</w:t>
            </w:r>
            <w:r>
              <w:rPr>
                <w:rFonts w:hint="eastAsia"/>
                <w:color w:val="auto"/>
                <w:lang w:eastAsia="zh-CN"/>
              </w:rPr>
              <w:t>本项目生活污水（</w:t>
            </w:r>
            <w:r>
              <w:rPr>
                <w:rFonts w:hint="eastAsia"/>
                <w:color w:val="auto"/>
                <w:lang w:val="en-US" w:eastAsia="zh-CN"/>
              </w:rPr>
              <w:t>含食堂废水</w:t>
            </w:r>
            <w:r>
              <w:rPr>
                <w:rFonts w:hint="eastAsia"/>
                <w:color w:val="auto"/>
                <w:lang w:eastAsia="zh-CN"/>
              </w:rPr>
              <w:t>）经隔油池+</w:t>
            </w:r>
            <w:r>
              <w:rPr>
                <w:rFonts w:hint="eastAsia"/>
                <w:color w:val="auto"/>
                <w:lang w:val="en-US" w:eastAsia="zh-CN"/>
              </w:rPr>
              <w:t>化粪池</w:t>
            </w:r>
            <w:r>
              <w:rPr>
                <w:rFonts w:hint="eastAsia"/>
                <w:color w:val="auto"/>
                <w:lang w:eastAsia="zh-CN"/>
              </w:rPr>
              <w:t>处理，生产废水（</w:t>
            </w:r>
            <w:r>
              <w:rPr>
                <w:rFonts w:hint="eastAsia"/>
                <w:color w:val="auto"/>
                <w:lang w:val="en-US" w:eastAsia="zh-CN"/>
              </w:rPr>
              <w:t>杀菌废水、</w:t>
            </w:r>
            <w:r>
              <w:rPr>
                <w:rFonts w:hint="eastAsia"/>
                <w:color w:val="auto"/>
                <w:lang w:eastAsia="zh-CN"/>
              </w:rPr>
              <w:t>乙酸雾吸收废水、设备清洗废水、车间地面冲洗废水）经厂区污水处理站处理，处理后的</w:t>
            </w:r>
            <w:r>
              <w:rPr>
                <w:rFonts w:hint="eastAsia"/>
                <w:color w:val="auto"/>
                <w:lang w:val="en-US" w:eastAsia="zh-CN"/>
              </w:rPr>
              <w:t>生活污水（含食堂废水）、生产</w:t>
            </w:r>
            <w:r>
              <w:rPr>
                <w:rFonts w:hint="eastAsia"/>
                <w:color w:val="auto"/>
                <w:lang w:eastAsia="zh-CN"/>
              </w:rPr>
              <w:t>废水与纯水制备系统废水接管至涟水经济开发区西区污水处理厂</w:t>
            </w:r>
            <w:r>
              <w:rPr>
                <w:rFonts w:hint="eastAsia"/>
                <w:color w:val="auto"/>
                <w:lang w:val="en-US" w:eastAsia="zh-CN"/>
              </w:rPr>
              <w:t>深度处理</w:t>
            </w:r>
            <w:r>
              <w:rPr>
                <w:rFonts w:hint="eastAsia"/>
                <w:color w:val="auto"/>
                <w:lang w:eastAsia="zh-CN"/>
              </w:rPr>
              <w:t>，蒸汽冷凝水</w:t>
            </w:r>
            <w:r>
              <w:rPr>
                <w:rFonts w:hint="eastAsia"/>
                <w:color w:val="auto"/>
                <w:lang w:val="en-US" w:eastAsia="zh-CN"/>
              </w:rPr>
              <w:t>冷却后</w:t>
            </w:r>
            <w:r>
              <w:rPr>
                <w:rFonts w:hint="eastAsia"/>
                <w:color w:val="auto"/>
                <w:lang w:eastAsia="zh-CN"/>
              </w:rPr>
              <w:t>排入雨水管网。</w:t>
            </w:r>
          </w:p>
          <w:p w14:paraId="4DEFBDD8">
            <w:pPr>
              <w:pStyle w:val="16"/>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auto"/>
              </w:rPr>
            </w:pPr>
            <w:r>
              <w:rPr>
                <w:color w:val="auto"/>
              </w:rPr>
              <w:t>供电：本项目用电由市政电网供给，年用电量约</w:t>
            </w:r>
            <w:r>
              <w:rPr>
                <w:rFonts w:hint="eastAsia"/>
                <w:color w:val="auto"/>
                <w:lang w:val="en-US" w:eastAsia="zh-CN"/>
              </w:rPr>
              <w:t>400万k·Wh</w:t>
            </w:r>
            <w:r>
              <w:rPr>
                <w:color w:val="auto"/>
              </w:rPr>
              <w:t>。</w:t>
            </w:r>
          </w:p>
          <w:p w14:paraId="75BC6DF8">
            <w:pPr>
              <w:pStyle w:val="16"/>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auto"/>
              </w:rPr>
            </w:pPr>
            <w:r>
              <w:rPr>
                <w:rFonts w:hint="eastAsia"/>
                <w:color w:val="auto"/>
                <w:lang w:eastAsia="zh-CN"/>
              </w:rPr>
              <w:t>12.</w:t>
            </w:r>
            <w:r>
              <w:rPr>
                <w:rFonts w:hint="eastAsia"/>
                <w:color w:val="auto"/>
              </w:rPr>
              <w:t>主要生产设备</w:t>
            </w:r>
          </w:p>
          <w:p w14:paraId="40E13602">
            <w:pPr>
              <w:pStyle w:val="16"/>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auto"/>
              </w:rPr>
            </w:pPr>
            <w:r>
              <w:rPr>
                <w:rFonts w:hint="eastAsia"/>
                <w:color w:val="auto"/>
              </w:rPr>
              <w:t>根据生产工艺要求，项目配备的主要生产设备详见表2-</w:t>
            </w:r>
            <w:r>
              <w:rPr>
                <w:rFonts w:hint="eastAsia"/>
                <w:color w:val="auto"/>
                <w:lang w:val="en-US" w:eastAsia="zh-CN"/>
              </w:rPr>
              <w:t>4</w:t>
            </w:r>
            <w:r>
              <w:rPr>
                <w:rFonts w:hint="eastAsia"/>
                <w:color w:val="auto"/>
              </w:rPr>
              <w:t>。</w:t>
            </w:r>
          </w:p>
          <w:p w14:paraId="0F117A29">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b/>
                <w:bCs/>
                <w:color w:val="auto"/>
                <w:sz w:val="21"/>
                <w:szCs w:val="21"/>
              </w:rPr>
            </w:pPr>
            <w:r>
              <w:rPr>
                <w:rFonts w:hint="eastAsia"/>
                <w:b/>
                <w:bCs/>
                <w:color w:val="auto"/>
                <w:sz w:val="21"/>
                <w:szCs w:val="21"/>
              </w:rPr>
              <w:t>表2-</w:t>
            </w:r>
            <w:r>
              <w:rPr>
                <w:rFonts w:hint="eastAsia"/>
                <w:b/>
                <w:bCs/>
                <w:color w:val="auto"/>
                <w:sz w:val="21"/>
                <w:szCs w:val="21"/>
                <w:lang w:val="en-US" w:eastAsia="zh-CN"/>
              </w:rPr>
              <w:t xml:space="preserve">4  </w:t>
            </w:r>
            <w:r>
              <w:rPr>
                <w:rFonts w:hint="eastAsia"/>
                <w:b/>
                <w:bCs/>
                <w:color w:val="auto"/>
                <w:sz w:val="21"/>
                <w:szCs w:val="21"/>
              </w:rPr>
              <w:t>项目主要生产设备表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2515"/>
              <w:gridCol w:w="1815"/>
              <w:gridCol w:w="980"/>
              <w:gridCol w:w="1170"/>
              <w:gridCol w:w="1197"/>
            </w:tblGrid>
            <w:tr w14:paraId="341CE159">
              <w:trPr>
                <w:trHeight w:val="397" w:hRule="exact"/>
                <w:jc w:val="center"/>
              </w:trPr>
              <w:tc>
                <w:tcPr>
                  <w:tcW w:w="440" w:type="pct"/>
                  <w:noWrap w:val="0"/>
                  <w:vAlign w:val="center"/>
                </w:tcPr>
                <w:p w14:paraId="32EA7407">
                  <w:pPr>
                    <w:snapToGrid w:val="0"/>
                    <w:spacing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494" w:type="pct"/>
                  <w:noWrap w:val="0"/>
                  <w:vAlign w:val="center"/>
                </w:tcPr>
                <w:p w14:paraId="1262BCB7">
                  <w:pPr>
                    <w:snapToGrid w:val="0"/>
                    <w:spacing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设备名称</w:t>
                  </w:r>
                </w:p>
              </w:tc>
              <w:tc>
                <w:tcPr>
                  <w:tcW w:w="1078" w:type="pct"/>
                  <w:noWrap w:val="0"/>
                  <w:vAlign w:val="center"/>
                </w:tcPr>
                <w:p w14:paraId="50C92097">
                  <w:pPr>
                    <w:snapToGrid w:val="0"/>
                    <w:spacing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规格型号</w:t>
                  </w:r>
                </w:p>
              </w:tc>
              <w:tc>
                <w:tcPr>
                  <w:tcW w:w="582" w:type="pct"/>
                  <w:noWrap w:val="0"/>
                  <w:vAlign w:val="center"/>
                </w:tcPr>
                <w:p w14:paraId="4A698005">
                  <w:pPr>
                    <w:snapToGrid w:val="0"/>
                    <w:spacing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数量</w:t>
                  </w:r>
                </w:p>
              </w:tc>
              <w:tc>
                <w:tcPr>
                  <w:tcW w:w="695" w:type="pct"/>
                  <w:noWrap w:val="0"/>
                  <w:vAlign w:val="center"/>
                </w:tcPr>
                <w:p w14:paraId="355BD292">
                  <w:pPr>
                    <w:snapToGrid w:val="0"/>
                    <w:spacing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单位</w:t>
                  </w:r>
                </w:p>
              </w:tc>
              <w:tc>
                <w:tcPr>
                  <w:tcW w:w="709" w:type="pct"/>
                  <w:noWrap w:val="0"/>
                  <w:vAlign w:val="center"/>
                </w:tcPr>
                <w:p w14:paraId="538CBE5A">
                  <w:pPr>
                    <w:snapToGrid w:val="0"/>
                    <w:spacing w:line="28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备注</w:t>
                  </w:r>
                </w:p>
              </w:tc>
            </w:tr>
            <w:tr w14:paraId="3FD00BB4">
              <w:trPr>
                <w:trHeight w:val="397" w:hRule="exact"/>
                <w:jc w:val="center"/>
              </w:trPr>
              <w:tc>
                <w:tcPr>
                  <w:tcW w:w="5000" w:type="pct"/>
                  <w:gridSpan w:val="6"/>
                  <w:noWrap w:val="0"/>
                  <w:vAlign w:val="center"/>
                </w:tcPr>
                <w:p w14:paraId="3D4B157D">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1#生产线</w:t>
                  </w:r>
                </w:p>
              </w:tc>
            </w:tr>
            <w:tr w14:paraId="0192E2FB">
              <w:trPr>
                <w:trHeight w:val="397" w:hRule="exact"/>
                <w:jc w:val="center"/>
              </w:trPr>
              <w:tc>
                <w:tcPr>
                  <w:tcW w:w="440" w:type="pct"/>
                  <w:noWrap w:val="0"/>
                  <w:vAlign w:val="center"/>
                </w:tcPr>
                <w:p w14:paraId="4964F8E2">
                  <w:pPr>
                    <w:numPr>
                      <w:ilvl w:val="0"/>
                      <w:numId w:val="7"/>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6EFBA932">
                  <w:pPr>
                    <w:jc w:val="center"/>
                    <w:rPr>
                      <w:rFonts w:hint="default" w:ascii="Times New Roman" w:hAnsi="Times New Roman" w:eastAsia="宋体" w:cs="Times New Roman"/>
                      <w:color w:val="auto"/>
                      <w:kern w:val="2"/>
                      <w:sz w:val="21"/>
                      <w:szCs w:val="21"/>
                      <w:lang w:val="en-US" w:eastAsia="zh-CN" w:bidi="ar-SA"/>
                    </w:rPr>
                  </w:pPr>
                </w:p>
              </w:tc>
              <w:tc>
                <w:tcPr>
                  <w:tcW w:w="1078" w:type="pct"/>
                  <w:noWrap w:val="0"/>
                  <w:vAlign w:val="center"/>
                </w:tcPr>
                <w:p w14:paraId="5820FD54">
                  <w:pPr>
                    <w:jc w:val="center"/>
                    <w:rPr>
                      <w:rFonts w:hint="default" w:ascii="Times New Roman" w:hAnsi="Times New Roman" w:eastAsia="宋体" w:cs="Times New Roman"/>
                      <w:color w:val="auto"/>
                      <w:kern w:val="2"/>
                      <w:sz w:val="21"/>
                      <w:szCs w:val="21"/>
                      <w:lang w:val="en-US" w:eastAsia="zh-CN" w:bidi="ar-SA"/>
                    </w:rPr>
                  </w:pPr>
                </w:p>
              </w:tc>
              <w:tc>
                <w:tcPr>
                  <w:tcW w:w="582" w:type="pct"/>
                  <w:noWrap w:val="0"/>
                  <w:vAlign w:val="center"/>
                </w:tcPr>
                <w:p w14:paraId="0BB3603B">
                  <w:pPr>
                    <w:jc w:val="center"/>
                    <w:rPr>
                      <w:rFonts w:hint="default" w:ascii="Times New Roman" w:hAnsi="Times New Roman" w:eastAsia="宋体" w:cs="Times New Roman"/>
                      <w:color w:val="auto"/>
                      <w:kern w:val="2"/>
                      <w:sz w:val="21"/>
                      <w:szCs w:val="21"/>
                      <w:lang w:val="en-US" w:eastAsia="zh-CN" w:bidi="ar-SA"/>
                    </w:rPr>
                  </w:pPr>
                </w:p>
              </w:tc>
              <w:tc>
                <w:tcPr>
                  <w:tcW w:w="695" w:type="pct"/>
                  <w:noWrap w:val="0"/>
                  <w:vAlign w:val="center"/>
                </w:tcPr>
                <w:p w14:paraId="2B7144B0">
                  <w:pPr>
                    <w:jc w:val="center"/>
                    <w:rPr>
                      <w:rFonts w:hint="default" w:ascii="Times New Roman" w:hAnsi="Times New Roman" w:cs="Times New Roman"/>
                      <w:color w:val="auto"/>
                      <w:kern w:val="2"/>
                      <w:sz w:val="21"/>
                      <w:szCs w:val="21"/>
                      <w:lang w:val="en-US" w:eastAsia="zh-CN" w:bidi="ar-SA"/>
                    </w:rPr>
                  </w:pPr>
                </w:p>
              </w:tc>
              <w:tc>
                <w:tcPr>
                  <w:tcW w:w="709" w:type="pct"/>
                  <w:noWrap w:val="0"/>
                  <w:vAlign w:val="center"/>
                </w:tcPr>
                <w:p w14:paraId="35C29D41">
                  <w:pPr>
                    <w:jc w:val="center"/>
                    <w:rPr>
                      <w:rFonts w:hint="default" w:ascii="Times New Roman" w:hAnsi="Times New Roman" w:cs="Times New Roman"/>
                      <w:color w:val="auto"/>
                      <w:sz w:val="21"/>
                      <w:szCs w:val="21"/>
                    </w:rPr>
                  </w:pPr>
                </w:p>
              </w:tc>
            </w:tr>
            <w:tr w14:paraId="791B604D">
              <w:trPr>
                <w:trHeight w:val="397" w:hRule="exact"/>
                <w:jc w:val="center"/>
              </w:trPr>
              <w:tc>
                <w:tcPr>
                  <w:tcW w:w="440" w:type="pct"/>
                  <w:noWrap w:val="0"/>
                  <w:vAlign w:val="center"/>
                </w:tcPr>
                <w:p w14:paraId="00573D26">
                  <w:pPr>
                    <w:numPr>
                      <w:ilvl w:val="0"/>
                      <w:numId w:val="7"/>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7EEFE8C0">
                  <w:pPr>
                    <w:jc w:val="center"/>
                    <w:rPr>
                      <w:rFonts w:hint="default" w:ascii="Times New Roman" w:hAnsi="Times New Roman" w:eastAsia="宋体" w:cs="Times New Roman"/>
                      <w:color w:val="auto"/>
                      <w:kern w:val="2"/>
                      <w:sz w:val="21"/>
                      <w:szCs w:val="21"/>
                      <w:lang w:val="en-US" w:eastAsia="zh-CN" w:bidi="ar-SA"/>
                    </w:rPr>
                  </w:pPr>
                </w:p>
              </w:tc>
              <w:tc>
                <w:tcPr>
                  <w:tcW w:w="1078" w:type="pct"/>
                  <w:noWrap w:val="0"/>
                  <w:vAlign w:val="center"/>
                </w:tcPr>
                <w:p w14:paraId="7743F474">
                  <w:pPr>
                    <w:jc w:val="center"/>
                    <w:rPr>
                      <w:rFonts w:hint="default" w:ascii="Times New Roman" w:hAnsi="Times New Roman" w:eastAsia="宋体" w:cs="Times New Roman"/>
                      <w:color w:val="auto"/>
                      <w:kern w:val="2"/>
                      <w:sz w:val="21"/>
                      <w:szCs w:val="21"/>
                      <w:lang w:val="en-US" w:eastAsia="zh-CN" w:bidi="ar-SA"/>
                    </w:rPr>
                  </w:pPr>
                </w:p>
              </w:tc>
              <w:tc>
                <w:tcPr>
                  <w:tcW w:w="582" w:type="pct"/>
                  <w:noWrap w:val="0"/>
                  <w:vAlign w:val="center"/>
                </w:tcPr>
                <w:p w14:paraId="340BEA03">
                  <w:pPr>
                    <w:jc w:val="center"/>
                    <w:rPr>
                      <w:rFonts w:hint="default" w:ascii="Times New Roman" w:hAnsi="Times New Roman" w:eastAsia="宋体" w:cs="Times New Roman"/>
                      <w:color w:val="auto"/>
                      <w:kern w:val="2"/>
                      <w:sz w:val="21"/>
                      <w:szCs w:val="21"/>
                      <w:lang w:val="en-US" w:eastAsia="zh-CN" w:bidi="ar-SA"/>
                    </w:rPr>
                  </w:pPr>
                </w:p>
              </w:tc>
              <w:tc>
                <w:tcPr>
                  <w:tcW w:w="695" w:type="pct"/>
                  <w:noWrap w:val="0"/>
                  <w:vAlign w:val="center"/>
                </w:tcPr>
                <w:p w14:paraId="7979E94A">
                  <w:pPr>
                    <w:jc w:val="center"/>
                    <w:rPr>
                      <w:rFonts w:hint="default" w:ascii="Times New Roman" w:hAnsi="Times New Roman" w:cs="Times New Roman"/>
                      <w:color w:val="auto"/>
                      <w:kern w:val="2"/>
                      <w:sz w:val="21"/>
                      <w:szCs w:val="21"/>
                      <w:lang w:val="en-US" w:eastAsia="zh-CN" w:bidi="ar-SA"/>
                    </w:rPr>
                  </w:pPr>
                </w:p>
              </w:tc>
              <w:tc>
                <w:tcPr>
                  <w:tcW w:w="709" w:type="pct"/>
                  <w:noWrap w:val="0"/>
                  <w:vAlign w:val="center"/>
                </w:tcPr>
                <w:p w14:paraId="17620E72">
                  <w:pPr>
                    <w:jc w:val="center"/>
                    <w:rPr>
                      <w:rFonts w:hint="default" w:ascii="Times New Roman" w:hAnsi="Times New Roman" w:cs="Times New Roman"/>
                      <w:color w:val="auto"/>
                      <w:sz w:val="21"/>
                      <w:szCs w:val="21"/>
                    </w:rPr>
                  </w:pPr>
                </w:p>
              </w:tc>
            </w:tr>
            <w:tr w14:paraId="23382912">
              <w:trPr>
                <w:trHeight w:val="397" w:hRule="exact"/>
                <w:jc w:val="center"/>
              </w:trPr>
              <w:tc>
                <w:tcPr>
                  <w:tcW w:w="440" w:type="pct"/>
                  <w:noWrap w:val="0"/>
                  <w:vAlign w:val="center"/>
                </w:tcPr>
                <w:p w14:paraId="00DBDD20">
                  <w:pPr>
                    <w:numPr>
                      <w:ilvl w:val="0"/>
                      <w:numId w:val="7"/>
                    </w:numPr>
                    <w:ind w:left="0" w:leftChars="0" w:firstLine="0" w:firstLineChars="0"/>
                    <w:jc w:val="center"/>
                    <w:rPr>
                      <w:rFonts w:hint="default" w:ascii="Times New Roman" w:hAnsi="Times New Roman" w:cs="Times New Roman"/>
                      <w:color w:val="auto"/>
                      <w:kern w:val="2"/>
                      <w:sz w:val="21"/>
                      <w:szCs w:val="21"/>
                      <w:lang w:val="en-US" w:eastAsia="zh-CN" w:bidi="ar-SA"/>
                    </w:rPr>
                  </w:pPr>
                </w:p>
              </w:tc>
              <w:tc>
                <w:tcPr>
                  <w:tcW w:w="1494" w:type="pct"/>
                  <w:noWrap w:val="0"/>
                  <w:vAlign w:val="center"/>
                </w:tcPr>
                <w:p w14:paraId="244371BA">
                  <w:pPr>
                    <w:jc w:val="center"/>
                    <w:rPr>
                      <w:rFonts w:hint="default" w:ascii="Times New Roman" w:hAnsi="Times New Roman" w:eastAsia="宋体" w:cs="Times New Roman"/>
                      <w:color w:val="auto"/>
                      <w:kern w:val="2"/>
                      <w:sz w:val="21"/>
                      <w:szCs w:val="21"/>
                      <w:lang w:val="en-US" w:eastAsia="zh-CN" w:bidi="ar-SA"/>
                    </w:rPr>
                  </w:pPr>
                </w:p>
              </w:tc>
              <w:tc>
                <w:tcPr>
                  <w:tcW w:w="1078" w:type="pct"/>
                  <w:noWrap w:val="0"/>
                  <w:vAlign w:val="center"/>
                </w:tcPr>
                <w:p w14:paraId="76263693">
                  <w:pPr>
                    <w:jc w:val="center"/>
                    <w:rPr>
                      <w:rFonts w:hint="default" w:ascii="Times New Roman" w:hAnsi="Times New Roman" w:eastAsia="宋体" w:cs="Times New Roman"/>
                      <w:color w:val="auto"/>
                      <w:kern w:val="2"/>
                      <w:sz w:val="21"/>
                      <w:szCs w:val="21"/>
                      <w:lang w:val="en-US" w:eastAsia="zh-CN" w:bidi="ar-SA"/>
                    </w:rPr>
                  </w:pPr>
                </w:p>
              </w:tc>
              <w:tc>
                <w:tcPr>
                  <w:tcW w:w="582" w:type="pct"/>
                  <w:noWrap w:val="0"/>
                  <w:vAlign w:val="center"/>
                </w:tcPr>
                <w:p w14:paraId="6B68CE3B">
                  <w:pPr>
                    <w:jc w:val="center"/>
                    <w:rPr>
                      <w:rFonts w:hint="default" w:ascii="Times New Roman" w:hAnsi="Times New Roman" w:eastAsia="宋体" w:cs="Times New Roman"/>
                      <w:color w:val="auto"/>
                      <w:kern w:val="2"/>
                      <w:sz w:val="21"/>
                      <w:szCs w:val="21"/>
                      <w:lang w:val="en-US" w:eastAsia="zh-CN" w:bidi="ar-SA"/>
                    </w:rPr>
                  </w:pPr>
                </w:p>
              </w:tc>
              <w:tc>
                <w:tcPr>
                  <w:tcW w:w="695" w:type="pct"/>
                  <w:noWrap w:val="0"/>
                  <w:vAlign w:val="center"/>
                </w:tcPr>
                <w:p w14:paraId="5598FFE9">
                  <w:pPr>
                    <w:jc w:val="center"/>
                    <w:rPr>
                      <w:rFonts w:hint="default" w:ascii="Times New Roman" w:hAnsi="Times New Roman" w:cs="Times New Roman"/>
                      <w:color w:val="auto"/>
                      <w:kern w:val="2"/>
                      <w:sz w:val="21"/>
                      <w:szCs w:val="21"/>
                      <w:lang w:val="en-US" w:eastAsia="zh-CN" w:bidi="ar-SA"/>
                    </w:rPr>
                  </w:pPr>
                </w:p>
              </w:tc>
              <w:tc>
                <w:tcPr>
                  <w:tcW w:w="709" w:type="pct"/>
                  <w:noWrap w:val="0"/>
                  <w:vAlign w:val="center"/>
                </w:tcPr>
                <w:p w14:paraId="7D11A8D5">
                  <w:pPr>
                    <w:jc w:val="center"/>
                    <w:rPr>
                      <w:rFonts w:hint="default" w:ascii="Times New Roman" w:hAnsi="Times New Roman" w:cs="Times New Roman"/>
                      <w:color w:val="auto"/>
                      <w:sz w:val="21"/>
                      <w:szCs w:val="21"/>
                    </w:rPr>
                  </w:pPr>
                </w:p>
              </w:tc>
            </w:tr>
            <w:tr w14:paraId="61332D7C">
              <w:trPr>
                <w:trHeight w:val="397" w:hRule="exact"/>
                <w:jc w:val="center"/>
              </w:trPr>
              <w:tc>
                <w:tcPr>
                  <w:tcW w:w="440" w:type="pct"/>
                  <w:noWrap w:val="0"/>
                  <w:vAlign w:val="center"/>
                </w:tcPr>
                <w:p w14:paraId="7A23DA15">
                  <w:pPr>
                    <w:numPr>
                      <w:ilvl w:val="0"/>
                      <w:numId w:val="7"/>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40376D69">
                  <w:pPr>
                    <w:jc w:val="center"/>
                    <w:rPr>
                      <w:rFonts w:hint="default" w:ascii="Times New Roman" w:hAnsi="Times New Roman" w:cs="Times New Roman"/>
                      <w:color w:val="auto"/>
                      <w:kern w:val="2"/>
                      <w:sz w:val="21"/>
                      <w:szCs w:val="21"/>
                      <w:lang w:val="en-US" w:eastAsia="zh-CN" w:bidi="ar-SA"/>
                    </w:rPr>
                  </w:pPr>
                </w:p>
              </w:tc>
              <w:tc>
                <w:tcPr>
                  <w:tcW w:w="1078" w:type="pct"/>
                  <w:noWrap w:val="0"/>
                  <w:vAlign w:val="center"/>
                </w:tcPr>
                <w:p w14:paraId="3C6865A0">
                  <w:pPr>
                    <w:jc w:val="center"/>
                    <w:rPr>
                      <w:rFonts w:hint="default" w:ascii="Times New Roman" w:hAnsi="Times New Roman" w:eastAsia="宋体" w:cs="Times New Roman"/>
                      <w:color w:val="auto"/>
                      <w:kern w:val="2"/>
                      <w:sz w:val="21"/>
                      <w:szCs w:val="21"/>
                      <w:lang w:val="en-US" w:eastAsia="zh-CN" w:bidi="ar-SA"/>
                    </w:rPr>
                  </w:pPr>
                </w:p>
              </w:tc>
              <w:tc>
                <w:tcPr>
                  <w:tcW w:w="582" w:type="pct"/>
                  <w:noWrap w:val="0"/>
                  <w:vAlign w:val="center"/>
                </w:tcPr>
                <w:p w14:paraId="304A59F6">
                  <w:pPr>
                    <w:jc w:val="center"/>
                    <w:rPr>
                      <w:rFonts w:hint="default" w:ascii="Times New Roman" w:hAnsi="Times New Roman" w:eastAsia="宋体" w:cs="Times New Roman"/>
                      <w:color w:val="auto"/>
                      <w:kern w:val="2"/>
                      <w:sz w:val="21"/>
                      <w:szCs w:val="21"/>
                      <w:lang w:val="en-US" w:eastAsia="zh-CN" w:bidi="ar-SA"/>
                    </w:rPr>
                  </w:pPr>
                </w:p>
              </w:tc>
              <w:tc>
                <w:tcPr>
                  <w:tcW w:w="695" w:type="pct"/>
                  <w:noWrap w:val="0"/>
                  <w:vAlign w:val="center"/>
                </w:tcPr>
                <w:p w14:paraId="169D82BD">
                  <w:pPr>
                    <w:jc w:val="center"/>
                    <w:rPr>
                      <w:rFonts w:hint="default" w:ascii="Times New Roman" w:hAnsi="Times New Roman" w:cs="Times New Roman"/>
                      <w:color w:val="auto"/>
                      <w:kern w:val="2"/>
                      <w:sz w:val="21"/>
                      <w:szCs w:val="21"/>
                      <w:lang w:val="en-US" w:eastAsia="zh-CN" w:bidi="ar-SA"/>
                    </w:rPr>
                  </w:pPr>
                </w:p>
              </w:tc>
              <w:tc>
                <w:tcPr>
                  <w:tcW w:w="709" w:type="pct"/>
                  <w:noWrap w:val="0"/>
                  <w:vAlign w:val="center"/>
                </w:tcPr>
                <w:p w14:paraId="75EE002E">
                  <w:pPr>
                    <w:jc w:val="center"/>
                    <w:rPr>
                      <w:rFonts w:hint="default" w:ascii="Times New Roman" w:hAnsi="Times New Roman" w:cs="Times New Roman"/>
                      <w:color w:val="auto"/>
                      <w:sz w:val="21"/>
                      <w:szCs w:val="21"/>
                    </w:rPr>
                  </w:pPr>
                </w:p>
              </w:tc>
            </w:tr>
            <w:tr w14:paraId="5C61CE93">
              <w:trPr>
                <w:trHeight w:val="397" w:hRule="exact"/>
                <w:jc w:val="center"/>
              </w:trPr>
              <w:tc>
                <w:tcPr>
                  <w:tcW w:w="440" w:type="pct"/>
                  <w:noWrap w:val="0"/>
                  <w:vAlign w:val="center"/>
                </w:tcPr>
                <w:p w14:paraId="265A8D36">
                  <w:pPr>
                    <w:numPr>
                      <w:ilvl w:val="0"/>
                      <w:numId w:val="7"/>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2CEFB4DE">
                  <w:pPr>
                    <w:jc w:val="center"/>
                    <w:rPr>
                      <w:rFonts w:hint="default" w:ascii="Times New Roman" w:hAnsi="Times New Roman" w:eastAsia="宋体" w:cs="Times New Roman"/>
                      <w:color w:val="auto"/>
                      <w:kern w:val="2"/>
                      <w:sz w:val="21"/>
                      <w:szCs w:val="21"/>
                      <w:lang w:val="en-US" w:eastAsia="zh-CN" w:bidi="ar-SA"/>
                    </w:rPr>
                  </w:pPr>
                </w:p>
              </w:tc>
              <w:tc>
                <w:tcPr>
                  <w:tcW w:w="1078" w:type="pct"/>
                  <w:noWrap w:val="0"/>
                  <w:vAlign w:val="center"/>
                </w:tcPr>
                <w:p w14:paraId="1F1054D1">
                  <w:pPr>
                    <w:jc w:val="center"/>
                    <w:rPr>
                      <w:rFonts w:hint="default" w:ascii="Times New Roman" w:hAnsi="Times New Roman" w:eastAsia="宋体" w:cs="Times New Roman"/>
                      <w:color w:val="auto"/>
                      <w:kern w:val="2"/>
                      <w:sz w:val="21"/>
                      <w:szCs w:val="21"/>
                      <w:lang w:val="en-US" w:eastAsia="zh-CN" w:bidi="ar-SA"/>
                    </w:rPr>
                  </w:pPr>
                </w:p>
              </w:tc>
              <w:tc>
                <w:tcPr>
                  <w:tcW w:w="582" w:type="pct"/>
                  <w:noWrap w:val="0"/>
                  <w:vAlign w:val="center"/>
                </w:tcPr>
                <w:p w14:paraId="3308A369">
                  <w:pPr>
                    <w:jc w:val="center"/>
                    <w:rPr>
                      <w:rFonts w:hint="default" w:ascii="Times New Roman" w:hAnsi="Times New Roman" w:eastAsia="宋体" w:cs="Times New Roman"/>
                      <w:color w:val="auto"/>
                      <w:kern w:val="2"/>
                      <w:sz w:val="21"/>
                      <w:szCs w:val="21"/>
                      <w:lang w:val="en-US" w:eastAsia="zh-CN" w:bidi="ar-SA"/>
                    </w:rPr>
                  </w:pPr>
                </w:p>
              </w:tc>
              <w:tc>
                <w:tcPr>
                  <w:tcW w:w="695" w:type="pct"/>
                  <w:noWrap w:val="0"/>
                  <w:vAlign w:val="center"/>
                </w:tcPr>
                <w:p w14:paraId="106A2515">
                  <w:pPr>
                    <w:jc w:val="center"/>
                    <w:rPr>
                      <w:rFonts w:hint="default" w:ascii="Times New Roman" w:hAnsi="Times New Roman" w:cs="Times New Roman"/>
                      <w:color w:val="auto"/>
                      <w:kern w:val="2"/>
                      <w:sz w:val="21"/>
                      <w:szCs w:val="21"/>
                      <w:lang w:val="en-US" w:eastAsia="zh-CN" w:bidi="ar-SA"/>
                    </w:rPr>
                  </w:pPr>
                </w:p>
              </w:tc>
              <w:tc>
                <w:tcPr>
                  <w:tcW w:w="709" w:type="pct"/>
                  <w:noWrap w:val="0"/>
                  <w:vAlign w:val="center"/>
                </w:tcPr>
                <w:p w14:paraId="7CCE990D">
                  <w:pPr>
                    <w:jc w:val="center"/>
                    <w:rPr>
                      <w:rFonts w:hint="default" w:ascii="Times New Roman" w:hAnsi="Times New Roman" w:cs="Times New Roman"/>
                      <w:color w:val="auto"/>
                      <w:sz w:val="21"/>
                      <w:szCs w:val="21"/>
                    </w:rPr>
                  </w:pPr>
                </w:p>
              </w:tc>
            </w:tr>
            <w:tr w14:paraId="364350E9">
              <w:trPr>
                <w:trHeight w:val="397" w:hRule="exact"/>
                <w:jc w:val="center"/>
              </w:trPr>
              <w:tc>
                <w:tcPr>
                  <w:tcW w:w="440" w:type="pct"/>
                  <w:noWrap w:val="0"/>
                  <w:vAlign w:val="center"/>
                </w:tcPr>
                <w:p w14:paraId="326AA8A7">
                  <w:pPr>
                    <w:numPr>
                      <w:ilvl w:val="0"/>
                      <w:numId w:val="7"/>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635DAB55">
                  <w:pPr>
                    <w:jc w:val="center"/>
                    <w:rPr>
                      <w:rFonts w:hint="default" w:ascii="Times New Roman" w:hAnsi="Times New Roman" w:cs="Times New Roman"/>
                      <w:color w:val="auto"/>
                      <w:szCs w:val="21"/>
                      <w:lang w:val="en-US" w:eastAsia="zh-CN"/>
                    </w:rPr>
                  </w:pPr>
                </w:p>
              </w:tc>
              <w:tc>
                <w:tcPr>
                  <w:tcW w:w="1078" w:type="pct"/>
                  <w:noWrap w:val="0"/>
                  <w:vAlign w:val="center"/>
                </w:tcPr>
                <w:p w14:paraId="1914A735">
                  <w:pPr>
                    <w:jc w:val="center"/>
                    <w:rPr>
                      <w:rFonts w:hint="default" w:ascii="Times New Roman" w:hAnsi="Times New Roman" w:cs="Times New Roman"/>
                      <w:color w:val="auto"/>
                      <w:szCs w:val="21"/>
                      <w:lang w:val="en-US" w:eastAsia="zh-CN"/>
                    </w:rPr>
                  </w:pPr>
                </w:p>
              </w:tc>
              <w:tc>
                <w:tcPr>
                  <w:tcW w:w="582" w:type="pct"/>
                  <w:noWrap w:val="0"/>
                  <w:vAlign w:val="center"/>
                </w:tcPr>
                <w:p w14:paraId="1A396CDF">
                  <w:pPr>
                    <w:jc w:val="center"/>
                    <w:rPr>
                      <w:rFonts w:hint="default" w:ascii="Times New Roman" w:hAnsi="Times New Roman" w:cs="Times New Roman"/>
                      <w:color w:val="auto"/>
                      <w:szCs w:val="21"/>
                      <w:lang w:val="en-US" w:eastAsia="zh-CN"/>
                    </w:rPr>
                  </w:pPr>
                </w:p>
              </w:tc>
              <w:tc>
                <w:tcPr>
                  <w:tcW w:w="695" w:type="pct"/>
                  <w:noWrap w:val="0"/>
                  <w:vAlign w:val="center"/>
                </w:tcPr>
                <w:p w14:paraId="0A66E96C">
                  <w:pPr>
                    <w:jc w:val="center"/>
                    <w:rPr>
                      <w:rFonts w:hint="default" w:ascii="Times New Roman" w:hAnsi="Times New Roman" w:eastAsia="宋体" w:cs="Times New Roman"/>
                      <w:color w:val="auto"/>
                      <w:sz w:val="21"/>
                      <w:szCs w:val="21"/>
                      <w:lang w:val="en-US" w:eastAsia="zh-CN"/>
                    </w:rPr>
                  </w:pPr>
                </w:p>
              </w:tc>
              <w:tc>
                <w:tcPr>
                  <w:tcW w:w="709" w:type="pct"/>
                  <w:noWrap w:val="0"/>
                  <w:vAlign w:val="center"/>
                </w:tcPr>
                <w:p w14:paraId="2F7DCBB0">
                  <w:pPr>
                    <w:jc w:val="center"/>
                    <w:rPr>
                      <w:rFonts w:hint="default" w:ascii="Times New Roman" w:hAnsi="Times New Roman" w:cs="Times New Roman"/>
                      <w:color w:val="auto"/>
                      <w:sz w:val="21"/>
                      <w:szCs w:val="21"/>
                      <w:lang w:val="en-US" w:eastAsia="zh-CN"/>
                    </w:rPr>
                  </w:pPr>
                </w:p>
              </w:tc>
            </w:tr>
            <w:tr w14:paraId="49417CE5">
              <w:trPr>
                <w:trHeight w:val="397" w:hRule="exact"/>
                <w:jc w:val="center"/>
              </w:trPr>
              <w:tc>
                <w:tcPr>
                  <w:tcW w:w="440" w:type="pct"/>
                  <w:noWrap w:val="0"/>
                  <w:vAlign w:val="center"/>
                </w:tcPr>
                <w:p w14:paraId="5C50EEAB">
                  <w:pPr>
                    <w:numPr>
                      <w:ilvl w:val="0"/>
                      <w:numId w:val="7"/>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51878DD5">
                  <w:pPr>
                    <w:jc w:val="center"/>
                    <w:rPr>
                      <w:rFonts w:hint="default" w:ascii="Times New Roman" w:hAnsi="Times New Roman" w:eastAsia="宋体" w:cs="Times New Roman"/>
                      <w:color w:val="auto"/>
                      <w:szCs w:val="21"/>
                      <w:lang w:val="en-US" w:eastAsia="zh-CN"/>
                    </w:rPr>
                  </w:pPr>
                </w:p>
              </w:tc>
              <w:tc>
                <w:tcPr>
                  <w:tcW w:w="1078" w:type="pct"/>
                  <w:noWrap w:val="0"/>
                  <w:vAlign w:val="center"/>
                </w:tcPr>
                <w:p w14:paraId="62FC0E29">
                  <w:pPr>
                    <w:jc w:val="center"/>
                    <w:rPr>
                      <w:rFonts w:hint="default" w:ascii="Times New Roman" w:hAnsi="Times New Roman" w:cs="Times New Roman"/>
                      <w:color w:val="auto"/>
                      <w:szCs w:val="21"/>
                      <w:lang w:val="en-US" w:eastAsia="zh-CN"/>
                    </w:rPr>
                  </w:pPr>
                </w:p>
              </w:tc>
              <w:tc>
                <w:tcPr>
                  <w:tcW w:w="582" w:type="pct"/>
                  <w:noWrap w:val="0"/>
                  <w:vAlign w:val="center"/>
                </w:tcPr>
                <w:p w14:paraId="1D9DA579">
                  <w:pPr>
                    <w:jc w:val="center"/>
                    <w:rPr>
                      <w:rFonts w:hint="default" w:ascii="Times New Roman" w:hAnsi="Times New Roman" w:cs="Times New Roman"/>
                      <w:color w:val="auto"/>
                      <w:szCs w:val="21"/>
                      <w:lang w:val="en-US" w:eastAsia="zh-CN"/>
                    </w:rPr>
                  </w:pPr>
                </w:p>
              </w:tc>
              <w:tc>
                <w:tcPr>
                  <w:tcW w:w="695" w:type="pct"/>
                  <w:noWrap w:val="0"/>
                  <w:vAlign w:val="center"/>
                </w:tcPr>
                <w:p w14:paraId="20A5243E">
                  <w:pPr>
                    <w:jc w:val="center"/>
                    <w:rPr>
                      <w:rFonts w:hint="default" w:ascii="Times New Roman" w:hAnsi="Times New Roman" w:eastAsia="宋体" w:cs="Times New Roman"/>
                      <w:color w:val="auto"/>
                      <w:sz w:val="21"/>
                      <w:szCs w:val="21"/>
                      <w:lang w:val="en-US" w:eastAsia="zh-CN"/>
                    </w:rPr>
                  </w:pPr>
                </w:p>
              </w:tc>
              <w:tc>
                <w:tcPr>
                  <w:tcW w:w="709" w:type="pct"/>
                  <w:noWrap w:val="0"/>
                  <w:vAlign w:val="center"/>
                </w:tcPr>
                <w:p w14:paraId="318C8601">
                  <w:pPr>
                    <w:jc w:val="center"/>
                    <w:rPr>
                      <w:rFonts w:hint="default" w:ascii="Times New Roman" w:hAnsi="Times New Roman" w:cs="Times New Roman"/>
                      <w:color w:val="auto"/>
                      <w:sz w:val="21"/>
                      <w:szCs w:val="21"/>
                      <w:lang w:val="en-US" w:eastAsia="zh-CN"/>
                    </w:rPr>
                  </w:pPr>
                </w:p>
              </w:tc>
            </w:tr>
            <w:tr w14:paraId="54311806">
              <w:trPr>
                <w:trHeight w:val="602" w:hRule="exact"/>
                <w:jc w:val="center"/>
              </w:trPr>
              <w:tc>
                <w:tcPr>
                  <w:tcW w:w="440" w:type="pct"/>
                  <w:noWrap w:val="0"/>
                  <w:vAlign w:val="center"/>
                </w:tcPr>
                <w:p w14:paraId="4D6BF01A">
                  <w:pPr>
                    <w:numPr>
                      <w:ilvl w:val="0"/>
                      <w:numId w:val="7"/>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06F302EC">
                  <w:pPr>
                    <w:jc w:val="center"/>
                    <w:rPr>
                      <w:rFonts w:hint="default" w:ascii="Times New Roman" w:hAnsi="Times New Roman" w:cs="Times New Roman"/>
                      <w:color w:val="auto"/>
                      <w:szCs w:val="21"/>
                      <w:lang w:val="en-US" w:eastAsia="zh-CN"/>
                    </w:rPr>
                  </w:pPr>
                </w:p>
              </w:tc>
              <w:tc>
                <w:tcPr>
                  <w:tcW w:w="1078" w:type="pct"/>
                  <w:noWrap w:val="0"/>
                  <w:vAlign w:val="center"/>
                </w:tcPr>
                <w:p w14:paraId="3F8730B2">
                  <w:pPr>
                    <w:jc w:val="center"/>
                    <w:rPr>
                      <w:rFonts w:hint="default" w:ascii="Times New Roman" w:hAnsi="Times New Roman" w:cs="Times New Roman"/>
                      <w:color w:val="auto"/>
                      <w:szCs w:val="21"/>
                      <w:lang w:val="en-US" w:eastAsia="zh-CN"/>
                    </w:rPr>
                  </w:pPr>
                </w:p>
              </w:tc>
              <w:tc>
                <w:tcPr>
                  <w:tcW w:w="582" w:type="pct"/>
                  <w:noWrap w:val="0"/>
                  <w:vAlign w:val="center"/>
                </w:tcPr>
                <w:p w14:paraId="582953C9">
                  <w:pPr>
                    <w:jc w:val="center"/>
                    <w:rPr>
                      <w:rFonts w:hint="default" w:ascii="Times New Roman" w:hAnsi="Times New Roman" w:cs="Times New Roman"/>
                      <w:color w:val="auto"/>
                      <w:szCs w:val="21"/>
                      <w:lang w:val="en-US" w:eastAsia="zh-CN"/>
                    </w:rPr>
                  </w:pPr>
                </w:p>
              </w:tc>
              <w:tc>
                <w:tcPr>
                  <w:tcW w:w="695" w:type="pct"/>
                  <w:noWrap w:val="0"/>
                  <w:vAlign w:val="center"/>
                </w:tcPr>
                <w:p w14:paraId="4881B0BB">
                  <w:pPr>
                    <w:jc w:val="center"/>
                    <w:rPr>
                      <w:rFonts w:hint="default" w:ascii="Times New Roman" w:hAnsi="Times New Roman" w:eastAsia="宋体" w:cs="Times New Roman"/>
                      <w:color w:val="auto"/>
                      <w:sz w:val="21"/>
                      <w:szCs w:val="21"/>
                      <w:lang w:val="en-US" w:eastAsia="zh-CN"/>
                    </w:rPr>
                  </w:pPr>
                </w:p>
              </w:tc>
              <w:tc>
                <w:tcPr>
                  <w:tcW w:w="709" w:type="pct"/>
                  <w:noWrap w:val="0"/>
                  <w:vAlign w:val="center"/>
                </w:tcPr>
                <w:p w14:paraId="4880E8E4">
                  <w:pPr>
                    <w:jc w:val="center"/>
                    <w:rPr>
                      <w:rFonts w:hint="default" w:ascii="Times New Roman" w:hAnsi="Times New Roman" w:eastAsia="宋体" w:cs="Times New Roman"/>
                      <w:color w:val="auto"/>
                      <w:sz w:val="21"/>
                      <w:szCs w:val="21"/>
                      <w:lang w:val="en-US" w:eastAsia="zh-CN"/>
                    </w:rPr>
                  </w:pPr>
                </w:p>
              </w:tc>
            </w:tr>
            <w:tr w14:paraId="020A7A7A">
              <w:trPr>
                <w:trHeight w:val="397" w:hRule="exact"/>
                <w:jc w:val="center"/>
              </w:trPr>
              <w:tc>
                <w:tcPr>
                  <w:tcW w:w="440" w:type="pct"/>
                  <w:noWrap w:val="0"/>
                  <w:vAlign w:val="center"/>
                </w:tcPr>
                <w:p w14:paraId="1D8E9A52">
                  <w:pPr>
                    <w:numPr>
                      <w:ilvl w:val="0"/>
                      <w:numId w:val="7"/>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413D8287">
                  <w:pPr>
                    <w:jc w:val="center"/>
                    <w:rPr>
                      <w:rFonts w:hint="default" w:ascii="Times New Roman" w:hAnsi="Times New Roman" w:cs="Times New Roman"/>
                      <w:color w:val="auto"/>
                      <w:szCs w:val="21"/>
                    </w:rPr>
                  </w:pPr>
                </w:p>
              </w:tc>
              <w:tc>
                <w:tcPr>
                  <w:tcW w:w="1078" w:type="pct"/>
                  <w:noWrap w:val="0"/>
                  <w:vAlign w:val="center"/>
                </w:tcPr>
                <w:p w14:paraId="0F3039D8">
                  <w:pPr>
                    <w:jc w:val="center"/>
                    <w:rPr>
                      <w:rFonts w:hint="default" w:ascii="Times New Roman" w:hAnsi="Times New Roman" w:cs="Times New Roman"/>
                      <w:color w:val="auto"/>
                      <w:kern w:val="2"/>
                      <w:sz w:val="21"/>
                      <w:szCs w:val="21"/>
                      <w:lang w:val="en-US" w:eastAsia="zh-CN" w:bidi="ar-SA"/>
                    </w:rPr>
                  </w:pPr>
                </w:p>
              </w:tc>
              <w:tc>
                <w:tcPr>
                  <w:tcW w:w="582" w:type="pct"/>
                  <w:noWrap w:val="0"/>
                  <w:vAlign w:val="center"/>
                </w:tcPr>
                <w:p w14:paraId="595B55BF">
                  <w:pPr>
                    <w:jc w:val="center"/>
                    <w:rPr>
                      <w:rFonts w:hint="default" w:ascii="Times New Roman" w:hAnsi="Times New Roman" w:cs="Times New Roman"/>
                      <w:color w:val="auto"/>
                      <w:szCs w:val="21"/>
                      <w:lang w:val="en-US" w:eastAsia="zh-CN"/>
                    </w:rPr>
                  </w:pPr>
                </w:p>
              </w:tc>
              <w:tc>
                <w:tcPr>
                  <w:tcW w:w="695" w:type="pct"/>
                  <w:noWrap w:val="0"/>
                  <w:vAlign w:val="center"/>
                </w:tcPr>
                <w:p w14:paraId="178B94FE">
                  <w:pPr>
                    <w:jc w:val="center"/>
                    <w:rPr>
                      <w:rFonts w:hint="default" w:ascii="Times New Roman" w:hAnsi="Times New Roman" w:cs="Times New Roman"/>
                      <w:color w:val="auto"/>
                      <w:sz w:val="21"/>
                      <w:szCs w:val="21"/>
                      <w:lang w:val="en-US" w:eastAsia="zh-CN"/>
                    </w:rPr>
                  </w:pPr>
                </w:p>
              </w:tc>
              <w:tc>
                <w:tcPr>
                  <w:tcW w:w="709" w:type="pct"/>
                  <w:noWrap w:val="0"/>
                  <w:vAlign w:val="center"/>
                </w:tcPr>
                <w:p w14:paraId="64360C9B">
                  <w:pPr>
                    <w:jc w:val="center"/>
                    <w:rPr>
                      <w:rFonts w:hint="default" w:ascii="Times New Roman" w:hAnsi="Times New Roman" w:cs="Times New Roman"/>
                      <w:color w:val="auto"/>
                      <w:szCs w:val="21"/>
                      <w:lang w:val="en-US" w:eastAsia="zh-CN"/>
                    </w:rPr>
                  </w:pPr>
                </w:p>
              </w:tc>
            </w:tr>
            <w:tr w14:paraId="4D602FF2">
              <w:trPr>
                <w:trHeight w:val="397" w:hRule="exact"/>
                <w:jc w:val="center"/>
              </w:trPr>
              <w:tc>
                <w:tcPr>
                  <w:tcW w:w="440" w:type="pct"/>
                  <w:noWrap w:val="0"/>
                  <w:vAlign w:val="center"/>
                </w:tcPr>
                <w:p w14:paraId="0A4332F5">
                  <w:pPr>
                    <w:numPr>
                      <w:ilvl w:val="0"/>
                      <w:numId w:val="7"/>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18B853CB">
                  <w:pPr>
                    <w:jc w:val="center"/>
                    <w:rPr>
                      <w:rFonts w:hint="default" w:ascii="Times New Roman" w:hAnsi="Times New Roman" w:cs="Times New Roman"/>
                      <w:color w:val="auto"/>
                      <w:szCs w:val="21"/>
                    </w:rPr>
                  </w:pPr>
                </w:p>
              </w:tc>
              <w:tc>
                <w:tcPr>
                  <w:tcW w:w="1078" w:type="pct"/>
                  <w:noWrap w:val="0"/>
                  <w:vAlign w:val="center"/>
                </w:tcPr>
                <w:p w14:paraId="225CEB03">
                  <w:pPr>
                    <w:jc w:val="center"/>
                    <w:rPr>
                      <w:rFonts w:hint="default" w:ascii="Times New Roman" w:hAnsi="Times New Roman" w:cs="Times New Roman"/>
                      <w:color w:val="auto"/>
                      <w:kern w:val="2"/>
                      <w:sz w:val="21"/>
                      <w:szCs w:val="21"/>
                      <w:lang w:val="en-US" w:eastAsia="zh-CN" w:bidi="ar-SA"/>
                    </w:rPr>
                  </w:pPr>
                </w:p>
              </w:tc>
              <w:tc>
                <w:tcPr>
                  <w:tcW w:w="582" w:type="pct"/>
                  <w:noWrap w:val="0"/>
                  <w:vAlign w:val="center"/>
                </w:tcPr>
                <w:p w14:paraId="2D3033C8">
                  <w:pPr>
                    <w:jc w:val="center"/>
                    <w:rPr>
                      <w:rFonts w:hint="default" w:ascii="Times New Roman" w:hAnsi="Times New Roman" w:cs="Times New Roman"/>
                      <w:color w:val="auto"/>
                      <w:szCs w:val="21"/>
                      <w:lang w:val="en-US" w:eastAsia="zh-CN"/>
                    </w:rPr>
                  </w:pPr>
                </w:p>
              </w:tc>
              <w:tc>
                <w:tcPr>
                  <w:tcW w:w="695" w:type="pct"/>
                  <w:noWrap w:val="0"/>
                  <w:vAlign w:val="center"/>
                </w:tcPr>
                <w:p w14:paraId="7D2ED2F7">
                  <w:pPr>
                    <w:jc w:val="center"/>
                    <w:rPr>
                      <w:rFonts w:hint="default" w:ascii="Times New Roman" w:hAnsi="Times New Roman" w:cs="Times New Roman"/>
                      <w:color w:val="auto"/>
                      <w:sz w:val="21"/>
                      <w:szCs w:val="21"/>
                      <w:lang w:val="en-US" w:eastAsia="zh-CN"/>
                    </w:rPr>
                  </w:pPr>
                </w:p>
              </w:tc>
              <w:tc>
                <w:tcPr>
                  <w:tcW w:w="709" w:type="pct"/>
                  <w:noWrap w:val="0"/>
                  <w:vAlign w:val="center"/>
                </w:tcPr>
                <w:p w14:paraId="516379D6">
                  <w:pPr>
                    <w:jc w:val="center"/>
                    <w:rPr>
                      <w:rFonts w:hint="default" w:ascii="Times New Roman" w:hAnsi="Times New Roman" w:cs="Times New Roman"/>
                      <w:color w:val="auto"/>
                      <w:szCs w:val="21"/>
                      <w:lang w:val="en-US" w:eastAsia="zh-CN"/>
                    </w:rPr>
                  </w:pPr>
                </w:p>
              </w:tc>
            </w:tr>
            <w:tr w14:paraId="4941B88F">
              <w:trPr>
                <w:trHeight w:val="397" w:hRule="exact"/>
                <w:jc w:val="center"/>
              </w:trPr>
              <w:tc>
                <w:tcPr>
                  <w:tcW w:w="440" w:type="pct"/>
                  <w:noWrap w:val="0"/>
                  <w:vAlign w:val="center"/>
                </w:tcPr>
                <w:p w14:paraId="3D1A6485">
                  <w:pPr>
                    <w:numPr>
                      <w:ilvl w:val="0"/>
                      <w:numId w:val="7"/>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0086100D">
                  <w:pPr>
                    <w:jc w:val="center"/>
                    <w:rPr>
                      <w:rFonts w:hint="default" w:ascii="Times New Roman" w:hAnsi="Times New Roman" w:cs="Times New Roman"/>
                      <w:color w:val="auto"/>
                      <w:szCs w:val="21"/>
                    </w:rPr>
                  </w:pPr>
                </w:p>
              </w:tc>
              <w:tc>
                <w:tcPr>
                  <w:tcW w:w="1078" w:type="pct"/>
                  <w:noWrap w:val="0"/>
                  <w:vAlign w:val="center"/>
                </w:tcPr>
                <w:p w14:paraId="2871A4E9">
                  <w:pPr>
                    <w:jc w:val="center"/>
                    <w:rPr>
                      <w:rFonts w:hint="default" w:ascii="Times New Roman" w:hAnsi="Times New Roman" w:cs="Times New Roman"/>
                      <w:color w:val="auto"/>
                      <w:kern w:val="2"/>
                      <w:sz w:val="21"/>
                      <w:szCs w:val="21"/>
                      <w:lang w:val="en-US" w:eastAsia="zh-CN" w:bidi="ar-SA"/>
                    </w:rPr>
                  </w:pPr>
                </w:p>
              </w:tc>
              <w:tc>
                <w:tcPr>
                  <w:tcW w:w="582" w:type="pct"/>
                  <w:noWrap w:val="0"/>
                  <w:vAlign w:val="center"/>
                </w:tcPr>
                <w:p w14:paraId="06812A01">
                  <w:pPr>
                    <w:jc w:val="center"/>
                    <w:rPr>
                      <w:rFonts w:hint="default" w:ascii="Times New Roman" w:hAnsi="Times New Roman" w:cs="Times New Roman"/>
                      <w:color w:val="auto"/>
                      <w:szCs w:val="21"/>
                      <w:lang w:val="en-US" w:eastAsia="zh-CN"/>
                    </w:rPr>
                  </w:pPr>
                </w:p>
              </w:tc>
              <w:tc>
                <w:tcPr>
                  <w:tcW w:w="695" w:type="pct"/>
                  <w:noWrap w:val="0"/>
                  <w:vAlign w:val="center"/>
                </w:tcPr>
                <w:p w14:paraId="19DFDA9A">
                  <w:pPr>
                    <w:jc w:val="center"/>
                    <w:rPr>
                      <w:rFonts w:hint="default" w:ascii="Times New Roman" w:hAnsi="Times New Roman" w:cs="Times New Roman"/>
                      <w:color w:val="auto"/>
                      <w:sz w:val="21"/>
                      <w:szCs w:val="21"/>
                      <w:lang w:val="en-US" w:eastAsia="zh-CN"/>
                    </w:rPr>
                  </w:pPr>
                </w:p>
              </w:tc>
              <w:tc>
                <w:tcPr>
                  <w:tcW w:w="709" w:type="pct"/>
                  <w:noWrap w:val="0"/>
                  <w:vAlign w:val="center"/>
                </w:tcPr>
                <w:p w14:paraId="34488706">
                  <w:pPr>
                    <w:jc w:val="center"/>
                    <w:rPr>
                      <w:rFonts w:hint="default" w:ascii="Times New Roman" w:hAnsi="Times New Roman" w:cs="Times New Roman"/>
                      <w:color w:val="auto"/>
                      <w:szCs w:val="21"/>
                      <w:lang w:val="en-US" w:eastAsia="zh-CN"/>
                    </w:rPr>
                  </w:pPr>
                </w:p>
              </w:tc>
            </w:tr>
            <w:tr w14:paraId="7EAE0F55">
              <w:trPr>
                <w:trHeight w:val="397" w:hRule="exact"/>
                <w:jc w:val="center"/>
              </w:trPr>
              <w:tc>
                <w:tcPr>
                  <w:tcW w:w="440" w:type="pct"/>
                  <w:noWrap w:val="0"/>
                  <w:vAlign w:val="center"/>
                </w:tcPr>
                <w:p w14:paraId="589D3B85">
                  <w:pPr>
                    <w:numPr>
                      <w:ilvl w:val="0"/>
                      <w:numId w:val="7"/>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345DA496">
                  <w:pPr>
                    <w:jc w:val="center"/>
                    <w:rPr>
                      <w:rFonts w:hint="default" w:ascii="Times New Roman" w:hAnsi="Times New Roman" w:cs="Times New Roman"/>
                      <w:color w:val="auto"/>
                      <w:szCs w:val="21"/>
                    </w:rPr>
                  </w:pPr>
                </w:p>
              </w:tc>
              <w:tc>
                <w:tcPr>
                  <w:tcW w:w="1078" w:type="pct"/>
                  <w:noWrap w:val="0"/>
                  <w:vAlign w:val="center"/>
                </w:tcPr>
                <w:p w14:paraId="7A7A3092">
                  <w:pPr>
                    <w:jc w:val="center"/>
                    <w:rPr>
                      <w:rFonts w:hint="default" w:ascii="Times New Roman" w:hAnsi="Times New Roman" w:cs="Times New Roman"/>
                      <w:color w:val="auto"/>
                      <w:kern w:val="2"/>
                      <w:sz w:val="21"/>
                      <w:szCs w:val="21"/>
                      <w:lang w:val="en-US" w:eastAsia="zh-CN" w:bidi="ar-SA"/>
                    </w:rPr>
                  </w:pPr>
                </w:p>
              </w:tc>
              <w:tc>
                <w:tcPr>
                  <w:tcW w:w="582" w:type="pct"/>
                  <w:noWrap w:val="0"/>
                  <w:vAlign w:val="center"/>
                </w:tcPr>
                <w:p w14:paraId="016B8054">
                  <w:pPr>
                    <w:jc w:val="center"/>
                    <w:rPr>
                      <w:rFonts w:hint="default" w:ascii="Times New Roman" w:hAnsi="Times New Roman" w:cs="Times New Roman"/>
                      <w:color w:val="auto"/>
                      <w:szCs w:val="21"/>
                      <w:lang w:val="en-US" w:eastAsia="zh-CN"/>
                    </w:rPr>
                  </w:pPr>
                </w:p>
              </w:tc>
              <w:tc>
                <w:tcPr>
                  <w:tcW w:w="695" w:type="pct"/>
                  <w:noWrap w:val="0"/>
                  <w:vAlign w:val="center"/>
                </w:tcPr>
                <w:p w14:paraId="76BC0599">
                  <w:pPr>
                    <w:jc w:val="center"/>
                    <w:rPr>
                      <w:rFonts w:hint="default" w:ascii="Times New Roman" w:hAnsi="Times New Roman" w:cs="Times New Roman"/>
                      <w:color w:val="auto"/>
                      <w:sz w:val="21"/>
                      <w:szCs w:val="21"/>
                      <w:lang w:val="en-US" w:eastAsia="zh-CN"/>
                    </w:rPr>
                  </w:pPr>
                </w:p>
              </w:tc>
              <w:tc>
                <w:tcPr>
                  <w:tcW w:w="709" w:type="pct"/>
                  <w:noWrap w:val="0"/>
                  <w:vAlign w:val="center"/>
                </w:tcPr>
                <w:p w14:paraId="1CBB122E">
                  <w:pPr>
                    <w:jc w:val="center"/>
                    <w:rPr>
                      <w:rFonts w:hint="default" w:ascii="Times New Roman" w:hAnsi="Times New Roman" w:cs="Times New Roman"/>
                      <w:color w:val="auto"/>
                      <w:szCs w:val="21"/>
                      <w:lang w:val="en-US" w:eastAsia="zh-CN"/>
                    </w:rPr>
                  </w:pPr>
                </w:p>
              </w:tc>
            </w:tr>
            <w:tr w14:paraId="2B761679">
              <w:trPr>
                <w:trHeight w:val="397" w:hRule="exact"/>
                <w:jc w:val="center"/>
              </w:trPr>
              <w:tc>
                <w:tcPr>
                  <w:tcW w:w="440" w:type="pct"/>
                  <w:noWrap w:val="0"/>
                  <w:vAlign w:val="center"/>
                </w:tcPr>
                <w:p w14:paraId="2A5A3A95">
                  <w:pPr>
                    <w:numPr>
                      <w:ilvl w:val="0"/>
                      <w:numId w:val="7"/>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052FF120">
                  <w:pPr>
                    <w:jc w:val="center"/>
                    <w:rPr>
                      <w:rFonts w:hint="default" w:ascii="Times New Roman" w:hAnsi="Times New Roman" w:cs="Times New Roman"/>
                      <w:color w:val="auto"/>
                      <w:szCs w:val="21"/>
                    </w:rPr>
                  </w:pPr>
                </w:p>
              </w:tc>
              <w:tc>
                <w:tcPr>
                  <w:tcW w:w="1078" w:type="pct"/>
                  <w:noWrap w:val="0"/>
                  <w:vAlign w:val="center"/>
                </w:tcPr>
                <w:p w14:paraId="2A338D2C">
                  <w:pPr>
                    <w:jc w:val="center"/>
                    <w:rPr>
                      <w:rFonts w:hint="default" w:ascii="Times New Roman" w:hAnsi="Times New Roman" w:cs="Times New Roman"/>
                      <w:color w:val="auto"/>
                      <w:kern w:val="2"/>
                      <w:sz w:val="21"/>
                      <w:szCs w:val="21"/>
                      <w:lang w:val="en-US" w:eastAsia="zh-CN" w:bidi="ar-SA"/>
                    </w:rPr>
                  </w:pPr>
                </w:p>
              </w:tc>
              <w:tc>
                <w:tcPr>
                  <w:tcW w:w="582" w:type="pct"/>
                  <w:noWrap w:val="0"/>
                  <w:vAlign w:val="center"/>
                </w:tcPr>
                <w:p w14:paraId="5AD53448">
                  <w:pPr>
                    <w:jc w:val="center"/>
                    <w:rPr>
                      <w:rFonts w:hint="default" w:ascii="Times New Roman" w:hAnsi="Times New Roman" w:cs="Times New Roman"/>
                      <w:color w:val="auto"/>
                      <w:szCs w:val="21"/>
                      <w:lang w:val="en-US" w:eastAsia="zh-CN"/>
                    </w:rPr>
                  </w:pPr>
                </w:p>
              </w:tc>
              <w:tc>
                <w:tcPr>
                  <w:tcW w:w="695" w:type="pct"/>
                  <w:noWrap w:val="0"/>
                  <w:vAlign w:val="center"/>
                </w:tcPr>
                <w:p w14:paraId="1ED4BA83">
                  <w:pPr>
                    <w:jc w:val="center"/>
                    <w:rPr>
                      <w:rFonts w:hint="default" w:ascii="Times New Roman" w:hAnsi="Times New Roman" w:cs="Times New Roman"/>
                      <w:color w:val="auto"/>
                      <w:sz w:val="21"/>
                      <w:szCs w:val="21"/>
                      <w:lang w:val="en-US" w:eastAsia="zh-CN"/>
                    </w:rPr>
                  </w:pPr>
                </w:p>
              </w:tc>
              <w:tc>
                <w:tcPr>
                  <w:tcW w:w="709" w:type="pct"/>
                  <w:noWrap w:val="0"/>
                  <w:vAlign w:val="center"/>
                </w:tcPr>
                <w:p w14:paraId="05135427">
                  <w:pPr>
                    <w:jc w:val="center"/>
                    <w:rPr>
                      <w:rFonts w:hint="default" w:ascii="Times New Roman" w:hAnsi="Times New Roman" w:cs="Times New Roman"/>
                      <w:color w:val="auto"/>
                      <w:szCs w:val="21"/>
                      <w:lang w:val="en-US" w:eastAsia="zh-CN"/>
                    </w:rPr>
                  </w:pPr>
                </w:p>
              </w:tc>
            </w:tr>
            <w:tr w14:paraId="6307596D">
              <w:trPr>
                <w:trHeight w:val="397" w:hRule="exact"/>
                <w:jc w:val="center"/>
              </w:trPr>
              <w:tc>
                <w:tcPr>
                  <w:tcW w:w="440" w:type="pct"/>
                  <w:noWrap w:val="0"/>
                  <w:vAlign w:val="center"/>
                </w:tcPr>
                <w:p w14:paraId="7B58F65B">
                  <w:pPr>
                    <w:numPr>
                      <w:ilvl w:val="0"/>
                      <w:numId w:val="7"/>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348CFB60">
                  <w:pPr>
                    <w:jc w:val="center"/>
                    <w:rPr>
                      <w:rFonts w:hint="default" w:ascii="Times New Roman" w:hAnsi="Times New Roman" w:cs="Times New Roman"/>
                      <w:color w:val="auto"/>
                      <w:szCs w:val="21"/>
                    </w:rPr>
                  </w:pPr>
                </w:p>
              </w:tc>
              <w:tc>
                <w:tcPr>
                  <w:tcW w:w="1078" w:type="pct"/>
                  <w:noWrap w:val="0"/>
                  <w:vAlign w:val="center"/>
                </w:tcPr>
                <w:p w14:paraId="1F3AF275">
                  <w:pPr>
                    <w:jc w:val="center"/>
                    <w:rPr>
                      <w:rFonts w:hint="default" w:ascii="Times New Roman" w:hAnsi="Times New Roman" w:cs="Times New Roman"/>
                      <w:color w:val="auto"/>
                      <w:kern w:val="2"/>
                      <w:sz w:val="21"/>
                      <w:szCs w:val="21"/>
                      <w:lang w:val="en-US" w:eastAsia="zh-CN" w:bidi="ar-SA"/>
                    </w:rPr>
                  </w:pPr>
                </w:p>
              </w:tc>
              <w:tc>
                <w:tcPr>
                  <w:tcW w:w="582" w:type="pct"/>
                  <w:noWrap w:val="0"/>
                  <w:vAlign w:val="center"/>
                </w:tcPr>
                <w:p w14:paraId="7A61A2C1">
                  <w:pPr>
                    <w:jc w:val="center"/>
                    <w:rPr>
                      <w:rFonts w:hint="default" w:ascii="Times New Roman" w:hAnsi="Times New Roman" w:cs="Times New Roman"/>
                      <w:color w:val="auto"/>
                      <w:szCs w:val="21"/>
                      <w:lang w:val="en-US" w:eastAsia="zh-CN"/>
                    </w:rPr>
                  </w:pPr>
                </w:p>
              </w:tc>
              <w:tc>
                <w:tcPr>
                  <w:tcW w:w="695" w:type="pct"/>
                  <w:noWrap w:val="0"/>
                  <w:vAlign w:val="center"/>
                </w:tcPr>
                <w:p w14:paraId="59D6ED5E">
                  <w:pPr>
                    <w:jc w:val="center"/>
                    <w:rPr>
                      <w:rFonts w:hint="default" w:ascii="Times New Roman" w:hAnsi="Times New Roman" w:cs="Times New Roman"/>
                      <w:color w:val="auto"/>
                      <w:sz w:val="21"/>
                      <w:szCs w:val="21"/>
                      <w:lang w:val="en-US" w:eastAsia="zh-CN"/>
                    </w:rPr>
                  </w:pPr>
                </w:p>
              </w:tc>
              <w:tc>
                <w:tcPr>
                  <w:tcW w:w="709" w:type="pct"/>
                  <w:noWrap w:val="0"/>
                  <w:vAlign w:val="center"/>
                </w:tcPr>
                <w:p w14:paraId="628211C7">
                  <w:pPr>
                    <w:jc w:val="center"/>
                    <w:rPr>
                      <w:rFonts w:hint="default" w:ascii="Times New Roman" w:hAnsi="Times New Roman" w:cs="Times New Roman"/>
                      <w:color w:val="auto"/>
                      <w:szCs w:val="21"/>
                      <w:lang w:val="en-US" w:eastAsia="zh-CN"/>
                    </w:rPr>
                  </w:pPr>
                </w:p>
              </w:tc>
            </w:tr>
            <w:tr w14:paraId="76C9AA41">
              <w:trPr>
                <w:trHeight w:val="397" w:hRule="exact"/>
                <w:jc w:val="center"/>
              </w:trPr>
              <w:tc>
                <w:tcPr>
                  <w:tcW w:w="440" w:type="pct"/>
                  <w:noWrap w:val="0"/>
                  <w:vAlign w:val="center"/>
                </w:tcPr>
                <w:p w14:paraId="17F5C6D2">
                  <w:pPr>
                    <w:numPr>
                      <w:ilvl w:val="0"/>
                      <w:numId w:val="7"/>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40DD5D89">
                  <w:pPr>
                    <w:jc w:val="center"/>
                    <w:rPr>
                      <w:rFonts w:hint="default" w:ascii="Times New Roman" w:hAnsi="Times New Roman" w:eastAsia="宋体" w:cs="Times New Roman"/>
                      <w:color w:val="auto"/>
                      <w:szCs w:val="21"/>
                      <w:lang w:val="en-US" w:eastAsia="zh-CN"/>
                    </w:rPr>
                  </w:pPr>
                </w:p>
              </w:tc>
              <w:tc>
                <w:tcPr>
                  <w:tcW w:w="1078" w:type="pct"/>
                  <w:noWrap w:val="0"/>
                  <w:vAlign w:val="center"/>
                </w:tcPr>
                <w:p w14:paraId="78741299">
                  <w:pPr>
                    <w:jc w:val="center"/>
                    <w:rPr>
                      <w:rFonts w:hint="default" w:ascii="Times New Roman" w:hAnsi="Times New Roman" w:cs="Times New Roman"/>
                      <w:color w:val="auto"/>
                      <w:kern w:val="2"/>
                      <w:sz w:val="21"/>
                      <w:szCs w:val="21"/>
                      <w:lang w:val="en-US" w:eastAsia="zh-CN" w:bidi="ar-SA"/>
                    </w:rPr>
                  </w:pPr>
                </w:p>
              </w:tc>
              <w:tc>
                <w:tcPr>
                  <w:tcW w:w="582" w:type="pct"/>
                  <w:noWrap w:val="0"/>
                  <w:vAlign w:val="center"/>
                </w:tcPr>
                <w:p w14:paraId="22C16778">
                  <w:pPr>
                    <w:jc w:val="center"/>
                    <w:rPr>
                      <w:rFonts w:hint="default" w:ascii="Times New Roman" w:hAnsi="Times New Roman" w:cs="Times New Roman"/>
                      <w:color w:val="auto"/>
                      <w:szCs w:val="21"/>
                      <w:lang w:val="en-US" w:eastAsia="zh-CN"/>
                    </w:rPr>
                  </w:pPr>
                </w:p>
              </w:tc>
              <w:tc>
                <w:tcPr>
                  <w:tcW w:w="695" w:type="pct"/>
                  <w:noWrap w:val="0"/>
                  <w:vAlign w:val="center"/>
                </w:tcPr>
                <w:p w14:paraId="08525C87">
                  <w:pPr>
                    <w:jc w:val="center"/>
                    <w:rPr>
                      <w:rFonts w:hint="default" w:ascii="Times New Roman" w:hAnsi="Times New Roman" w:cs="Times New Roman"/>
                      <w:color w:val="auto"/>
                      <w:sz w:val="21"/>
                      <w:szCs w:val="21"/>
                      <w:lang w:val="en-US" w:eastAsia="zh-CN"/>
                    </w:rPr>
                  </w:pPr>
                </w:p>
              </w:tc>
              <w:tc>
                <w:tcPr>
                  <w:tcW w:w="709" w:type="pct"/>
                  <w:noWrap w:val="0"/>
                  <w:vAlign w:val="center"/>
                </w:tcPr>
                <w:p w14:paraId="0E09890D">
                  <w:pPr>
                    <w:jc w:val="center"/>
                    <w:rPr>
                      <w:rFonts w:hint="default" w:ascii="Times New Roman" w:hAnsi="Times New Roman" w:cs="Times New Roman"/>
                      <w:color w:val="auto"/>
                      <w:szCs w:val="21"/>
                      <w:lang w:val="en-US" w:eastAsia="zh-CN"/>
                    </w:rPr>
                  </w:pPr>
                </w:p>
              </w:tc>
            </w:tr>
            <w:tr w14:paraId="7DE90466">
              <w:trPr>
                <w:trHeight w:val="397" w:hRule="exact"/>
                <w:jc w:val="center"/>
              </w:trPr>
              <w:tc>
                <w:tcPr>
                  <w:tcW w:w="440" w:type="pct"/>
                  <w:noWrap w:val="0"/>
                  <w:vAlign w:val="center"/>
                </w:tcPr>
                <w:p w14:paraId="6CF57825">
                  <w:pPr>
                    <w:numPr>
                      <w:ilvl w:val="0"/>
                      <w:numId w:val="7"/>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2AB875AD">
                  <w:pPr>
                    <w:jc w:val="center"/>
                    <w:rPr>
                      <w:rFonts w:hint="default" w:ascii="Times New Roman" w:hAnsi="Times New Roman" w:cs="Times New Roman"/>
                      <w:color w:val="auto"/>
                      <w:szCs w:val="21"/>
                    </w:rPr>
                  </w:pPr>
                </w:p>
              </w:tc>
              <w:tc>
                <w:tcPr>
                  <w:tcW w:w="1078" w:type="pct"/>
                  <w:noWrap w:val="0"/>
                  <w:vAlign w:val="center"/>
                </w:tcPr>
                <w:p w14:paraId="5F044498">
                  <w:pPr>
                    <w:jc w:val="center"/>
                    <w:rPr>
                      <w:rFonts w:hint="default" w:ascii="Times New Roman" w:hAnsi="Times New Roman" w:cs="Times New Roman"/>
                      <w:color w:val="auto"/>
                      <w:kern w:val="2"/>
                      <w:sz w:val="21"/>
                      <w:szCs w:val="21"/>
                      <w:lang w:val="en-US" w:eastAsia="zh-CN" w:bidi="ar-SA"/>
                    </w:rPr>
                  </w:pPr>
                </w:p>
              </w:tc>
              <w:tc>
                <w:tcPr>
                  <w:tcW w:w="582" w:type="pct"/>
                  <w:noWrap w:val="0"/>
                  <w:vAlign w:val="center"/>
                </w:tcPr>
                <w:p w14:paraId="290E67AC">
                  <w:pPr>
                    <w:jc w:val="center"/>
                    <w:rPr>
                      <w:rFonts w:hint="default" w:ascii="Times New Roman" w:hAnsi="Times New Roman" w:cs="Times New Roman"/>
                      <w:color w:val="auto"/>
                      <w:szCs w:val="21"/>
                      <w:lang w:val="en-US" w:eastAsia="zh-CN"/>
                    </w:rPr>
                  </w:pPr>
                </w:p>
              </w:tc>
              <w:tc>
                <w:tcPr>
                  <w:tcW w:w="695" w:type="pct"/>
                  <w:noWrap w:val="0"/>
                  <w:vAlign w:val="center"/>
                </w:tcPr>
                <w:p w14:paraId="2397D42B">
                  <w:pPr>
                    <w:jc w:val="center"/>
                    <w:rPr>
                      <w:rFonts w:hint="default" w:ascii="Times New Roman" w:hAnsi="Times New Roman" w:cs="Times New Roman"/>
                      <w:color w:val="auto"/>
                      <w:sz w:val="21"/>
                      <w:szCs w:val="21"/>
                      <w:lang w:val="en-US" w:eastAsia="zh-CN"/>
                    </w:rPr>
                  </w:pPr>
                </w:p>
              </w:tc>
              <w:tc>
                <w:tcPr>
                  <w:tcW w:w="709" w:type="pct"/>
                  <w:noWrap w:val="0"/>
                  <w:vAlign w:val="center"/>
                </w:tcPr>
                <w:p w14:paraId="717D4445">
                  <w:pPr>
                    <w:jc w:val="center"/>
                    <w:rPr>
                      <w:rFonts w:hint="default" w:ascii="Times New Roman" w:hAnsi="Times New Roman" w:cs="Times New Roman"/>
                      <w:color w:val="auto"/>
                      <w:szCs w:val="21"/>
                      <w:lang w:val="en-US" w:eastAsia="zh-CN"/>
                    </w:rPr>
                  </w:pPr>
                </w:p>
              </w:tc>
            </w:tr>
            <w:tr w14:paraId="5CBB68DD">
              <w:trPr>
                <w:trHeight w:val="397" w:hRule="exact"/>
                <w:jc w:val="center"/>
              </w:trPr>
              <w:tc>
                <w:tcPr>
                  <w:tcW w:w="440" w:type="pct"/>
                  <w:noWrap w:val="0"/>
                  <w:vAlign w:val="center"/>
                </w:tcPr>
                <w:p w14:paraId="3B843A51">
                  <w:pPr>
                    <w:numPr>
                      <w:ilvl w:val="0"/>
                      <w:numId w:val="7"/>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71CB198B">
                  <w:pPr>
                    <w:jc w:val="center"/>
                    <w:rPr>
                      <w:rFonts w:hint="default" w:ascii="Times New Roman" w:hAnsi="Times New Roman" w:cs="Times New Roman"/>
                      <w:color w:val="auto"/>
                      <w:szCs w:val="21"/>
                    </w:rPr>
                  </w:pPr>
                </w:p>
              </w:tc>
              <w:tc>
                <w:tcPr>
                  <w:tcW w:w="1078" w:type="pct"/>
                  <w:noWrap w:val="0"/>
                  <w:vAlign w:val="center"/>
                </w:tcPr>
                <w:p w14:paraId="5D84794E">
                  <w:pPr>
                    <w:jc w:val="center"/>
                    <w:rPr>
                      <w:rFonts w:hint="default" w:ascii="Times New Roman" w:hAnsi="Times New Roman" w:cs="Times New Roman"/>
                      <w:color w:val="auto"/>
                      <w:kern w:val="2"/>
                      <w:sz w:val="21"/>
                      <w:szCs w:val="21"/>
                      <w:lang w:val="en-US" w:eastAsia="zh-CN" w:bidi="ar-SA"/>
                    </w:rPr>
                  </w:pPr>
                </w:p>
              </w:tc>
              <w:tc>
                <w:tcPr>
                  <w:tcW w:w="582" w:type="pct"/>
                  <w:noWrap w:val="0"/>
                  <w:vAlign w:val="center"/>
                </w:tcPr>
                <w:p w14:paraId="468E98FE">
                  <w:pPr>
                    <w:jc w:val="center"/>
                    <w:rPr>
                      <w:rFonts w:hint="default" w:ascii="Times New Roman" w:hAnsi="Times New Roman" w:cs="Times New Roman"/>
                      <w:color w:val="auto"/>
                      <w:szCs w:val="21"/>
                      <w:lang w:val="en-US" w:eastAsia="zh-CN"/>
                    </w:rPr>
                  </w:pPr>
                </w:p>
              </w:tc>
              <w:tc>
                <w:tcPr>
                  <w:tcW w:w="695" w:type="pct"/>
                  <w:noWrap w:val="0"/>
                  <w:vAlign w:val="center"/>
                </w:tcPr>
                <w:p w14:paraId="53A1BA1B">
                  <w:pPr>
                    <w:jc w:val="center"/>
                    <w:rPr>
                      <w:rFonts w:hint="default" w:ascii="Times New Roman" w:hAnsi="Times New Roman" w:cs="Times New Roman"/>
                      <w:color w:val="auto"/>
                      <w:sz w:val="21"/>
                      <w:szCs w:val="21"/>
                      <w:lang w:val="en-US" w:eastAsia="zh-CN"/>
                    </w:rPr>
                  </w:pPr>
                </w:p>
              </w:tc>
              <w:tc>
                <w:tcPr>
                  <w:tcW w:w="709" w:type="pct"/>
                  <w:noWrap w:val="0"/>
                  <w:vAlign w:val="center"/>
                </w:tcPr>
                <w:p w14:paraId="6686D268">
                  <w:pPr>
                    <w:jc w:val="center"/>
                    <w:rPr>
                      <w:rFonts w:hint="default" w:ascii="Times New Roman" w:hAnsi="Times New Roman" w:cs="Times New Roman"/>
                      <w:color w:val="auto"/>
                      <w:szCs w:val="21"/>
                      <w:lang w:val="en-US" w:eastAsia="zh-CN"/>
                    </w:rPr>
                  </w:pPr>
                </w:p>
              </w:tc>
            </w:tr>
            <w:tr w14:paraId="18176420">
              <w:trPr>
                <w:trHeight w:val="397" w:hRule="exact"/>
                <w:jc w:val="center"/>
              </w:trPr>
              <w:tc>
                <w:tcPr>
                  <w:tcW w:w="440" w:type="pct"/>
                  <w:noWrap w:val="0"/>
                  <w:vAlign w:val="center"/>
                </w:tcPr>
                <w:p w14:paraId="792DA148">
                  <w:pPr>
                    <w:numPr>
                      <w:ilvl w:val="0"/>
                      <w:numId w:val="7"/>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4A6C3230">
                  <w:pPr>
                    <w:jc w:val="center"/>
                    <w:rPr>
                      <w:rFonts w:hint="default" w:ascii="Times New Roman" w:hAnsi="Times New Roman" w:cs="Times New Roman"/>
                      <w:color w:val="auto"/>
                      <w:szCs w:val="21"/>
                    </w:rPr>
                  </w:pPr>
                </w:p>
              </w:tc>
              <w:tc>
                <w:tcPr>
                  <w:tcW w:w="1078" w:type="pct"/>
                  <w:noWrap w:val="0"/>
                  <w:vAlign w:val="center"/>
                </w:tcPr>
                <w:p w14:paraId="7DA4F0AB">
                  <w:pPr>
                    <w:jc w:val="center"/>
                    <w:rPr>
                      <w:rFonts w:hint="default" w:ascii="Times New Roman" w:hAnsi="Times New Roman" w:cs="Times New Roman"/>
                      <w:color w:val="auto"/>
                      <w:kern w:val="2"/>
                      <w:sz w:val="21"/>
                      <w:szCs w:val="21"/>
                      <w:lang w:val="en-US" w:eastAsia="zh-CN" w:bidi="ar-SA"/>
                    </w:rPr>
                  </w:pPr>
                </w:p>
              </w:tc>
              <w:tc>
                <w:tcPr>
                  <w:tcW w:w="582" w:type="pct"/>
                  <w:noWrap w:val="0"/>
                  <w:vAlign w:val="center"/>
                </w:tcPr>
                <w:p w14:paraId="639A7850">
                  <w:pPr>
                    <w:jc w:val="center"/>
                    <w:rPr>
                      <w:rFonts w:hint="default" w:ascii="Times New Roman" w:hAnsi="Times New Roman" w:cs="Times New Roman"/>
                      <w:color w:val="auto"/>
                      <w:szCs w:val="21"/>
                      <w:lang w:val="en-US" w:eastAsia="zh-CN"/>
                    </w:rPr>
                  </w:pPr>
                </w:p>
              </w:tc>
              <w:tc>
                <w:tcPr>
                  <w:tcW w:w="695" w:type="pct"/>
                  <w:noWrap w:val="0"/>
                  <w:vAlign w:val="center"/>
                </w:tcPr>
                <w:p w14:paraId="5A1C4E02">
                  <w:pPr>
                    <w:jc w:val="center"/>
                    <w:rPr>
                      <w:rFonts w:hint="default" w:ascii="Times New Roman" w:hAnsi="Times New Roman" w:cs="Times New Roman"/>
                      <w:color w:val="auto"/>
                      <w:sz w:val="21"/>
                      <w:szCs w:val="21"/>
                      <w:lang w:val="en-US" w:eastAsia="zh-CN"/>
                    </w:rPr>
                  </w:pPr>
                </w:p>
              </w:tc>
              <w:tc>
                <w:tcPr>
                  <w:tcW w:w="709" w:type="pct"/>
                  <w:noWrap w:val="0"/>
                  <w:vAlign w:val="center"/>
                </w:tcPr>
                <w:p w14:paraId="18D5324F">
                  <w:pPr>
                    <w:jc w:val="center"/>
                    <w:rPr>
                      <w:rFonts w:hint="default" w:ascii="Times New Roman" w:hAnsi="Times New Roman" w:cs="Times New Roman"/>
                      <w:color w:val="auto"/>
                      <w:szCs w:val="21"/>
                      <w:lang w:val="en-US" w:eastAsia="zh-CN"/>
                    </w:rPr>
                  </w:pPr>
                </w:p>
              </w:tc>
            </w:tr>
            <w:tr w14:paraId="4A193864">
              <w:trPr>
                <w:trHeight w:val="397" w:hRule="exact"/>
                <w:jc w:val="center"/>
              </w:trPr>
              <w:tc>
                <w:tcPr>
                  <w:tcW w:w="440" w:type="pct"/>
                  <w:noWrap w:val="0"/>
                  <w:vAlign w:val="center"/>
                </w:tcPr>
                <w:p w14:paraId="5028E850">
                  <w:pPr>
                    <w:numPr>
                      <w:ilvl w:val="0"/>
                      <w:numId w:val="7"/>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5ED8F356">
                  <w:pPr>
                    <w:jc w:val="center"/>
                    <w:rPr>
                      <w:rFonts w:hint="default" w:ascii="Times New Roman" w:hAnsi="Times New Roman" w:cs="Times New Roman"/>
                      <w:color w:val="auto"/>
                      <w:szCs w:val="21"/>
                    </w:rPr>
                  </w:pPr>
                </w:p>
              </w:tc>
              <w:tc>
                <w:tcPr>
                  <w:tcW w:w="1078" w:type="pct"/>
                  <w:noWrap w:val="0"/>
                  <w:vAlign w:val="center"/>
                </w:tcPr>
                <w:p w14:paraId="26C48B2B">
                  <w:pPr>
                    <w:jc w:val="center"/>
                    <w:rPr>
                      <w:rFonts w:hint="default" w:ascii="Times New Roman" w:hAnsi="Times New Roman" w:cs="Times New Roman"/>
                      <w:color w:val="auto"/>
                      <w:kern w:val="2"/>
                      <w:sz w:val="21"/>
                      <w:szCs w:val="21"/>
                      <w:lang w:val="en-US" w:eastAsia="zh-CN" w:bidi="ar-SA"/>
                    </w:rPr>
                  </w:pPr>
                </w:p>
              </w:tc>
              <w:tc>
                <w:tcPr>
                  <w:tcW w:w="582" w:type="pct"/>
                  <w:noWrap w:val="0"/>
                  <w:vAlign w:val="center"/>
                </w:tcPr>
                <w:p w14:paraId="35F0374C">
                  <w:pPr>
                    <w:jc w:val="center"/>
                    <w:rPr>
                      <w:rFonts w:hint="default" w:ascii="Times New Roman" w:hAnsi="Times New Roman" w:cs="Times New Roman"/>
                      <w:color w:val="auto"/>
                      <w:szCs w:val="21"/>
                      <w:lang w:val="en-US" w:eastAsia="zh-CN"/>
                    </w:rPr>
                  </w:pPr>
                </w:p>
              </w:tc>
              <w:tc>
                <w:tcPr>
                  <w:tcW w:w="695" w:type="pct"/>
                  <w:noWrap w:val="0"/>
                  <w:vAlign w:val="center"/>
                </w:tcPr>
                <w:p w14:paraId="43A772B2">
                  <w:pPr>
                    <w:jc w:val="center"/>
                    <w:rPr>
                      <w:rFonts w:hint="default" w:ascii="Times New Roman" w:hAnsi="Times New Roman" w:cs="Times New Roman"/>
                      <w:color w:val="auto"/>
                      <w:sz w:val="21"/>
                      <w:szCs w:val="21"/>
                      <w:lang w:val="en-US" w:eastAsia="zh-CN"/>
                    </w:rPr>
                  </w:pPr>
                </w:p>
              </w:tc>
              <w:tc>
                <w:tcPr>
                  <w:tcW w:w="709" w:type="pct"/>
                  <w:noWrap w:val="0"/>
                  <w:vAlign w:val="center"/>
                </w:tcPr>
                <w:p w14:paraId="70017368">
                  <w:pPr>
                    <w:jc w:val="center"/>
                    <w:rPr>
                      <w:rFonts w:hint="default" w:ascii="Times New Roman" w:hAnsi="Times New Roman" w:cs="Times New Roman"/>
                      <w:color w:val="auto"/>
                      <w:szCs w:val="21"/>
                      <w:lang w:val="en-US" w:eastAsia="zh-CN"/>
                    </w:rPr>
                  </w:pPr>
                </w:p>
              </w:tc>
            </w:tr>
            <w:tr w14:paraId="6B75604B">
              <w:trPr>
                <w:trHeight w:val="397" w:hRule="exact"/>
                <w:jc w:val="center"/>
              </w:trPr>
              <w:tc>
                <w:tcPr>
                  <w:tcW w:w="440" w:type="pct"/>
                  <w:noWrap w:val="0"/>
                  <w:vAlign w:val="center"/>
                </w:tcPr>
                <w:p w14:paraId="22AF4044">
                  <w:pPr>
                    <w:numPr>
                      <w:ilvl w:val="0"/>
                      <w:numId w:val="7"/>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5488DE4C">
                  <w:pPr>
                    <w:jc w:val="center"/>
                    <w:rPr>
                      <w:rFonts w:hint="default" w:ascii="Times New Roman" w:hAnsi="Times New Roman" w:cs="Times New Roman"/>
                      <w:color w:val="auto"/>
                      <w:szCs w:val="21"/>
                    </w:rPr>
                  </w:pPr>
                </w:p>
              </w:tc>
              <w:tc>
                <w:tcPr>
                  <w:tcW w:w="1078" w:type="pct"/>
                  <w:noWrap w:val="0"/>
                  <w:vAlign w:val="center"/>
                </w:tcPr>
                <w:p w14:paraId="16D95AE5">
                  <w:pPr>
                    <w:jc w:val="center"/>
                    <w:rPr>
                      <w:rFonts w:hint="default" w:ascii="Times New Roman" w:hAnsi="Times New Roman" w:cs="Times New Roman"/>
                      <w:color w:val="auto"/>
                      <w:kern w:val="2"/>
                      <w:sz w:val="21"/>
                      <w:szCs w:val="21"/>
                      <w:lang w:val="en-US" w:eastAsia="zh-CN" w:bidi="ar-SA"/>
                    </w:rPr>
                  </w:pPr>
                </w:p>
              </w:tc>
              <w:tc>
                <w:tcPr>
                  <w:tcW w:w="582" w:type="pct"/>
                  <w:noWrap w:val="0"/>
                  <w:vAlign w:val="center"/>
                </w:tcPr>
                <w:p w14:paraId="76F1FCB7">
                  <w:pPr>
                    <w:jc w:val="center"/>
                    <w:rPr>
                      <w:rFonts w:hint="default" w:ascii="Times New Roman" w:hAnsi="Times New Roman" w:cs="Times New Roman"/>
                      <w:color w:val="auto"/>
                      <w:szCs w:val="21"/>
                      <w:lang w:val="en-US" w:eastAsia="zh-CN"/>
                    </w:rPr>
                  </w:pPr>
                </w:p>
              </w:tc>
              <w:tc>
                <w:tcPr>
                  <w:tcW w:w="695" w:type="pct"/>
                  <w:noWrap w:val="0"/>
                  <w:vAlign w:val="center"/>
                </w:tcPr>
                <w:p w14:paraId="56CEE142">
                  <w:pPr>
                    <w:jc w:val="center"/>
                    <w:rPr>
                      <w:rFonts w:hint="default" w:ascii="Times New Roman" w:hAnsi="Times New Roman" w:cs="Times New Roman"/>
                      <w:color w:val="auto"/>
                      <w:sz w:val="21"/>
                      <w:szCs w:val="21"/>
                      <w:lang w:val="en-US" w:eastAsia="zh-CN"/>
                    </w:rPr>
                  </w:pPr>
                </w:p>
              </w:tc>
              <w:tc>
                <w:tcPr>
                  <w:tcW w:w="709" w:type="pct"/>
                  <w:noWrap w:val="0"/>
                  <w:vAlign w:val="center"/>
                </w:tcPr>
                <w:p w14:paraId="7BC8B08A">
                  <w:pPr>
                    <w:jc w:val="center"/>
                    <w:rPr>
                      <w:rFonts w:hint="default" w:ascii="Times New Roman" w:hAnsi="Times New Roman" w:cs="Times New Roman"/>
                      <w:color w:val="auto"/>
                      <w:szCs w:val="21"/>
                      <w:lang w:val="en-US" w:eastAsia="zh-CN"/>
                    </w:rPr>
                  </w:pPr>
                </w:p>
              </w:tc>
            </w:tr>
            <w:tr w14:paraId="41EC9347">
              <w:trPr>
                <w:trHeight w:val="397" w:hRule="exact"/>
                <w:jc w:val="center"/>
              </w:trPr>
              <w:tc>
                <w:tcPr>
                  <w:tcW w:w="440" w:type="pct"/>
                  <w:noWrap w:val="0"/>
                  <w:vAlign w:val="center"/>
                </w:tcPr>
                <w:p w14:paraId="5B6852DA">
                  <w:pPr>
                    <w:numPr>
                      <w:ilvl w:val="0"/>
                      <w:numId w:val="7"/>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300E177D">
                  <w:pPr>
                    <w:jc w:val="center"/>
                    <w:rPr>
                      <w:rFonts w:hint="default" w:ascii="Times New Roman" w:hAnsi="Times New Roman" w:cs="Times New Roman"/>
                      <w:color w:val="auto"/>
                      <w:szCs w:val="21"/>
                    </w:rPr>
                  </w:pPr>
                </w:p>
              </w:tc>
              <w:tc>
                <w:tcPr>
                  <w:tcW w:w="1078" w:type="pct"/>
                  <w:noWrap w:val="0"/>
                  <w:vAlign w:val="center"/>
                </w:tcPr>
                <w:p w14:paraId="30C8B412">
                  <w:pPr>
                    <w:jc w:val="center"/>
                    <w:rPr>
                      <w:rFonts w:hint="default" w:ascii="Times New Roman" w:hAnsi="Times New Roman" w:cs="Times New Roman"/>
                      <w:color w:val="auto"/>
                      <w:kern w:val="2"/>
                      <w:sz w:val="21"/>
                      <w:szCs w:val="21"/>
                      <w:lang w:val="en-US" w:eastAsia="zh-CN" w:bidi="ar-SA"/>
                    </w:rPr>
                  </w:pPr>
                </w:p>
              </w:tc>
              <w:tc>
                <w:tcPr>
                  <w:tcW w:w="582" w:type="pct"/>
                  <w:noWrap w:val="0"/>
                  <w:vAlign w:val="center"/>
                </w:tcPr>
                <w:p w14:paraId="3F878831">
                  <w:pPr>
                    <w:jc w:val="center"/>
                    <w:rPr>
                      <w:rFonts w:hint="default" w:ascii="Times New Roman" w:hAnsi="Times New Roman" w:cs="Times New Roman"/>
                      <w:color w:val="auto"/>
                      <w:szCs w:val="21"/>
                      <w:lang w:val="en-US" w:eastAsia="zh-CN"/>
                    </w:rPr>
                  </w:pPr>
                </w:p>
              </w:tc>
              <w:tc>
                <w:tcPr>
                  <w:tcW w:w="695" w:type="pct"/>
                  <w:noWrap w:val="0"/>
                  <w:vAlign w:val="center"/>
                </w:tcPr>
                <w:p w14:paraId="65712B29">
                  <w:pPr>
                    <w:jc w:val="center"/>
                    <w:rPr>
                      <w:rFonts w:hint="default" w:ascii="Times New Roman" w:hAnsi="Times New Roman" w:cs="Times New Roman"/>
                      <w:color w:val="auto"/>
                      <w:sz w:val="21"/>
                      <w:szCs w:val="21"/>
                      <w:lang w:val="en-US" w:eastAsia="zh-CN"/>
                    </w:rPr>
                  </w:pPr>
                </w:p>
              </w:tc>
              <w:tc>
                <w:tcPr>
                  <w:tcW w:w="709" w:type="pct"/>
                  <w:noWrap w:val="0"/>
                  <w:vAlign w:val="center"/>
                </w:tcPr>
                <w:p w14:paraId="3AF41617">
                  <w:pPr>
                    <w:jc w:val="center"/>
                    <w:rPr>
                      <w:rFonts w:hint="default" w:ascii="Times New Roman" w:hAnsi="Times New Roman" w:cs="Times New Roman"/>
                      <w:color w:val="auto"/>
                      <w:szCs w:val="21"/>
                      <w:lang w:val="en-US" w:eastAsia="zh-CN"/>
                    </w:rPr>
                  </w:pPr>
                </w:p>
              </w:tc>
            </w:tr>
            <w:tr w14:paraId="2AAF8FED">
              <w:trPr>
                <w:trHeight w:val="397" w:hRule="exact"/>
                <w:jc w:val="center"/>
              </w:trPr>
              <w:tc>
                <w:tcPr>
                  <w:tcW w:w="440" w:type="pct"/>
                  <w:noWrap w:val="0"/>
                  <w:vAlign w:val="center"/>
                </w:tcPr>
                <w:p w14:paraId="1F6F1974">
                  <w:pPr>
                    <w:numPr>
                      <w:ilvl w:val="0"/>
                      <w:numId w:val="7"/>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0438075D">
                  <w:pPr>
                    <w:jc w:val="center"/>
                    <w:rPr>
                      <w:rFonts w:hint="default" w:ascii="Times New Roman" w:hAnsi="Times New Roman" w:cs="Times New Roman"/>
                      <w:color w:val="auto"/>
                      <w:szCs w:val="21"/>
                    </w:rPr>
                  </w:pPr>
                </w:p>
              </w:tc>
              <w:tc>
                <w:tcPr>
                  <w:tcW w:w="1078" w:type="pct"/>
                  <w:noWrap w:val="0"/>
                  <w:vAlign w:val="center"/>
                </w:tcPr>
                <w:p w14:paraId="30F2AB2C">
                  <w:pPr>
                    <w:tabs>
                      <w:tab w:val="left" w:pos="365"/>
                    </w:tabs>
                    <w:jc w:val="center"/>
                    <w:rPr>
                      <w:rFonts w:hint="default" w:ascii="Times New Roman" w:hAnsi="Times New Roman" w:cs="Times New Roman"/>
                      <w:color w:val="auto"/>
                      <w:kern w:val="2"/>
                      <w:sz w:val="21"/>
                      <w:szCs w:val="21"/>
                      <w:lang w:val="en-US" w:eastAsia="zh-CN" w:bidi="ar-SA"/>
                    </w:rPr>
                  </w:pPr>
                </w:p>
              </w:tc>
              <w:tc>
                <w:tcPr>
                  <w:tcW w:w="582" w:type="pct"/>
                  <w:noWrap w:val="0"/>
                  <w:vAlign w:val="center"/>
                </w:tcPr>
                <w:p w14:paraId="63575C6B">
                  <w:pPr>
                    <w:jc w:val="center"/>
                    <w:rPr>
                      <w:rFonts w:hint="default" w:ascii="Times New Roman" w:hAnsi="Times New Roman" w:cs="Times New Roman"/>
                      <w:color w:val="auto"/>
                      <w:szCs w:val="21"/>
                      <w:lang w:val="en-US" w:eastAsia="zh-CN"/>
                    </w:rPr>
                  </w:pPr>
                </w:p>
              </w:tc>
              <w:tc>
                <w:tcPr>
                  <w:tcW w:w="695" w:type="pct"/>
                  <w:noWrap w:val="0"/>
                  <w:vAlign w:val="center"/>
                </w:tcPr>
                <w:p w14:paraId="2E6EC270">
                  <w:pPr>
                    <w:jc w:val="center"/>
                    <w:rPr>
                      <w:rFonts w:hint="default" w:ascii="Times New Roman" w:hAnsi="Times New Roman" w:cs="Times New Roman"/>
                      <w:color w:val="auto"/>
                      <w:sz w:val="21"/>
                      <w:szCs w:val="21"/>
                      <w:lang w:val="en-US" w:eastAsia="zh-CN"/>
                    </w:rPr>
                  </w:pPr>
                </w:p>
              </w:tc>
              <w:tc>
                <w:tcPr>
                  <w:tcW w:w="709" w:type="pct"/>
                  <w:noWrap w:val="0"/>
                  <w:vAlign w:val="center"/>
                </w:tcPr>
                <w:p w14:paraId="1CE06D9F">
                  <w:pPr>
                    <w:jc w:val="center"/>
                    <w:rPr>
                      <w:rFonts w:hint="default" w:ascii="Times New Roman" w:hAnsi="Times New Roman" w:cs="Times New Roman"/>
                      <w:color w:val="auto"/>
                      <w:szCs w:val="21"/>
                      <w:lang w:val="en-US" w:eastAsia="zh-CN"/>
                    </w:rPr>
                  </w:pPr>
                </w:p>
              </w:tc>
            </w:tr>
            <w:tr w14:paraId="779BA453">
              <w:trPr>
                <w:trHeight w:val="397" w:hRule="exact"/>
                <w:jc w:val="center"/>
              </w:trPr>
              <w:tc>
                <w:tcPr>
                  <w:tcW w:w="440" w:type="pct"/>
                  <w:noWrap w:val="0"/>
                  <w:vAlign w:val="center"/>
                </w:tcPr>
                <w:p w14:paraId="11F266F9">
                  <w:pPr>
                    <w:numPr>
                      <w:ilvl w:val="0"/>
                      <w:numId w:val="7"/>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0A1055F1">
                  <w:pPr>
                    <w:jc w:val="center"/>
                    <w:rPr>
                      <w:rFonts w:hint="default" w:ascii="Times New Roman" w:hAnsi="Times New Roman" w:cs="Times New Roman"/>
                      <w:color w:val="auto"/>
                      <w:szCs w:val="21"/>
                    </w:rPr>
                  </w:pPr>
                </w:p>
              </w:tc>
              <w:tc>
                <w:tcPr>
                  <w:tcW w:w="1078" w:type="pct"/>
                  <w:noWrap w:val="0"/>
                  <w:vAlign w:val="center"/>
                </w:tcPr>
                <w:p w14:paraId="2E5B8058">
                  <w:pPr>
                    <w:jc w:val="center"/>
                    <w:rPr>
                      <w:rFonts w:hint="default" w:ascii="Times New Roman" w:hAnsi="Times New Roman" w:cs="Times New Roman"/>
                      <w:color w:val="auto"/>
                      <w:kern w:val="2"/>
                      <w:sz w:val="21"/>
                      <w:szCs w:val="21"/>
                      <w:lang w:val="en-US" w:eastAsia="zh-CN" w:bidi="ar-SA"/>
                    </w:rPr>
                  </w:pPr>
                </w:p>
              </w:tc>
              <w:tc>
                <w:tcPr>
                  <w:tcW w:w="582" w:type="pct"/>
                  <w:noWrap w:val="0"/>
                  <w:vAlign w:val="center"/>
                </w:tcPr>
                <w:p w14:paraId="3C23FD38">
                  <w:pPr>
                    <w:jc w:val="center"/>
                    <w:rPr>
                      <w:rFonts w:hint="default" w:ascii="Times New Roman" w:hAnsi="Times New Roman" w:cs="Times New Roman"/>
                      <w:color w:val="auto"/>
                      <w:szCs w:val="21"/>
                      <w:lang w:val="en-US" w:eastAsia="zh-CN"/>
                    </w:rPr>
                  </w:pPr>
                </w:p>
              </w:tc>
              <w:tc>
                <w:tcPr>
                  <w:tcW w:w="695" w:type="pct"/>
                  <w:noWrap w:val="0"/>
                  <w:vAlign w:val="center"/>
                </w:tcPr>
                <w:p w14:paraId="087E642C">
                  <w:pPr>
                    <w:jc w:val="center"/>
                    <w:rPr>
                      <w:rFonts w:hint="default" w:ascii="Times New Roman" w:hAnsi="Times New Roman" w:cs="Times New Roman"/>
                      <w:color w:val="auto"/>
                      <w:sz w:val="21"/>
                      <w:szCs w:val="21"/>
                      <w:lang w:val="en-US" w:eastAsia="zh-CN"/>
                    </w:rPr>
                  </w:pPr>
                </w:p>
              </w:tc>
              <w:tc>
                <w:tcPr>
                  <w:tcW w:w="709" w:type="pct"/>
                  <w:noWrap w:val="0"/>
                  <w:vAlign w:val="center"/>
                </w:tcPr>
                <w:p w14:paraId="1B3047AA">
                  <w:pPr>
                    <w:jc w:val="center"/>
                    <w:rPr>
                      <w:rFonts w:hint="default" w:ascii="Times New Roman" w:hAnsi="Times New Roman" w:cs="Times New Roman"/>
                      <w:color w:val="auto"/>
                      <w:szCs w:val="21"/>
                      <w:lang w:val="en-US" w:eastAsia="zh-CN"/>
                    </w:rPr>
                  </w:pPr>
                </w:p>
              </w:tc>
            </w:tr>
            <w:tr w14:paraId="01AC7F02">
              <w:trPr>
                <w:trHeight w:val="397" w:hRule="exact"/>
                <w:jc w:val="center"/>
              </w:trPr>
              <w:tc>
                <w:tcPr>
                  <w:tcW w:w="440" w:type="pct"/>
                  <w:noWrap w:val="0"/>
                  <w:vAlign w:val="center"/>
                </w:tcPr>
                <w:p w14:paraId="39E299B4">
                  <w:pPr>
                    <w:numPr>
                      <w:ilvl w:val="0"/>
                      <w:numId w:val="7"/>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4A7CE828">
                  <w:pPr>
                    <w:jc w:val="center"/>
                    <w:rPr>
                      <w:rFonts w:hint="default" w:ascii="Times New Roman" w:hAnsi="Times New Roman" w:cs="Times New Roman"/>
                      <w:color w:val="auto"/>
                      <w:szCs w:val="21"/>
                    </w:rPr>
                  </w:pPr>
                </w:p>
              </w:tc>
              <w:tc>
                <w:tcPr>
                  <w:tcW w:w="1078" w:type="pct"/>
                  <w:noWrap w:val="0"/>
                  <w:vAlign w:val="center"/>
                </w:tcPr>
                <w:p w14:paraId="395ED931">
                  <w:pPr>
                    <w:jc w:val="center"/>
                    <w:rPr>
                      <w:rFonts w:hint="default" w:ascii="Times New Roman" w:hAnsi="Times New Roman" w:cs="Times New Roman"/>
                      <w:color w:val="auto"/>
                      <w:kern w:val="2"/>
                      <w:sz w:val="21"/>
                      <w:szCs w:val="21"/>
                      <w:lang w:val="en-US" w:eastAsia="zh-CN" w:bidi="ar-SA"/>
                    </w:rPr>
                  </w:pPr>
                </w:p>
              </w:tc>
              <w:tc>
                <w:tcPr>
                  <w:tcW w:w="582" w:type="pct"/>
                  <w:noWrap w:val="0"/>
                  <w:vAlign w:val="center"/>
                </w:tcPr>
                <w:p w14:paraId="02CBE834">
                  <w:pPr>
                    <w:jc w:val="center"/>
                    <w:rPr>
                      <w:rFonts w:hint="default" w:ascii="Times New Roman" w:hAnsi="Times New Roman" w:cs="Times New Roman"/>
                      <w:color w:val="auto"/>
                      <w:szCs w:val="21"/>
                      <w:lang w:val="en-US" w:eastAsia="zh-CN"/>
                    </w:rPr>
                  </w:pPr>
                </w:p>
              </w:tc>
              <w:tc>
                <w:tcPr>
                  <w:tcW w:w="695" w:type="pct"/>
                  <w:noWrap w:val="0"/>
                  <w:vAlign w:val="center"/>
                </w:tcPr>
                <w:p w14:paraId="20E6D377">
                  <w:pPr>
                    <w:jc w:val="center"/>
                    <w:rPr>
                      <w:rFonts w:hint="default" w:ascii="Times New Roman" w:hAnsi="Times New Roman" w:cs="Times New Roman"/>
                      <w:color w:val="auto"/>
                      <w:sz w:val="21"/>
                      <w:szCs w:val="21"/>
                      <w:lang w:val="en-US" w:eastAsia="zh-CN"/>
                    </w:rPr>
                  </w:pPr>
                </w:p>
              </w:tc>
              <w:tc>
                <w:tcPr>
                  <w:tcW w:w="709" w:type="pct"/>
                  <w:noWrap w:val="0"/>
                  <w:vAlign w:val="center"/>
                </w:tcPr>
                <w:p w14:paraId="31B3799B">
                  <w:pPr>
                    <w:jc w:val="center"/>
                    <w:rPr>
                      <w:rFonts w:hint="default" w:ascii="Times New Roman" w:hAnsi="Times New Roman" w:cs="Times New Roman"/>
                      <w:color w:val="auto"/>
                      <w:szCs w:val="21"/>
                      <w:lang w:val="en-US" w:eastAsia="zh-CN"/>
                    </w:rPr>
                  </w:pPr>
                </w:p>
              </w:tc>
            </w:tr>
            <w:tr w14:paraId="33B0E8AA">
              <w:trPr>
                <w:trHeight w:val="397" w:hRule="exact"/>
                <w:jc w:val="center"/>
              </w:trPr>
              <w:tc>
                <w:tcPr>
                  <w:tcW w:w="440" w:type="pct"/>
                  <w:noWrap w:val="0"/>
                  <w:vAlign w:val="center"/>
                </w:tcPr>
                <w:p w14:paraId="2B27B348">
                  <w:pPr>
                    <w:numPr>
                      <w:ilvl w:val="0"/>
                      <w:numId w:val="7"/>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373B3605">
                  <w:pPr>
                    <w:jc w:val="center"/>
                    <w:rPr>
                      <w:rFonts w:hint="default" w:ascii="Times New Roman" w:hAnsi="Times New Roman" w:cs="Times New Roman"/>
                      <w:color w:val="auto"/>
                      <w:szCs w:val="21"/>
                    </w:rPr>
                  </w:pPr>
                </w:p>
              </w:tc>
              <w:tc>
                <w:tcPr>
                  <w:tcW w:w="1078" w:type="pct"/>
                  <w:noWrap w:val="0"/>
                  <w:vAlign w:val="center"/>
                </w:tcPr>
                <w:p w14:paraId="20D5E7D9">
                  <w:pPr>
                    <w:jc w:val="center"/>
                    <w:rPr>
                      <w:rFonts w:hint="default" w:ascii="Times New Roman" w:hAnsi="Times New Roman" w:cs="Times New Roman"/>
                      <w:color w:val="auto"/>
                      <w:kern w:val="2"/>
                      <w:sz w:val="21"/>
                      <w:szCs w:val="21"/>
                      <w:lang w:val="en-US" w:eastAsia="zh-CN" w:bidi="ar-SA"/>
                    </w:rPr>
                  </w:pPr>
                </w:p>
              </w:tc>
              <w:tc>
                <w:tcPr>
                  <w:tcW w:w="582" w:type="pct"/>
                  <w:noWrap w:val="0"/>
                  <w:vAlign w:val="center"/>
                </w:tcPr>
                <w:p w14:paraId="227A21EC">
                  <w:pPr>
                    <w:jc w:val="center"/>
                    <w:rPr>
                      <w:rFonts w:hint="default" w:ascii="Times New Roman" w:hAnsi="Times New Roman" w:cs="Times New Roman"/>
                      <w:color w:val="auto"/>
                      <w:szCs w:val="21"/>
                      <w:lang w:val="en-US" w:eastAsia="zh-CN"/>
                    </w:rPr>
                  </w:pPr>
                </w:p>
              </w:tc>
              <w:tc>
                <w:tcPr>
                  <w:tcW w:w="695" w:type="pct"/>
                  <w:noWrap w:val="0"/>
                  <w:vAlign w:val="center"/>
                </w:tcPr>
                <w:p w14:paraId="4DCF5969">
                  <w:pPr>
                    <w:jc w:val="center"/>
                    <w:rPr>
                      <w:rFonts w:hint="default" w:ascii="Times New Roman" w:hAnsi="Times New Roman" w:cs="Times New Roman"/>
                      <w:color w:val="auto"/>
                      <w:sz w:val="21"/>
                      <w:szCs w:val="21"/>
                      <w:lang w:val="en-US" w:eastAsia="zh-CN"/>
                    </w:rPr>
                  </w:pPr>
                </w:p>
              </w:tc>
              <w:tc>
                <w:tcPr>
                  <w:tcW w:w="709" w:type="pct"/>
                  <w:noWrap w:val="0"/>
                  <w:vAlign w:val="center"/>
                </w:tcPr>
                <w:p w14:paraId="2DBD7878">
                  <w:pPr>
                    <w:jc w:val="center"/>
                    <w:rPr>
                      <w:rFonts w:hint="default" w:ascii="Times New Roman" w:hAnsi="Times New Roman" w:cs="Times New Roman"/>
                      <w:color w:val="auto"/>
                      <w:szCs w:val="21"/>
                      <w:lang w:val="en-US" w:eastAsia="zh-CN"/>
                    </w:rPr>
                  </w:pPr>
                </w:p>
              </w:tc>
            </w:tr>
            <w:tr w14:paraId="60A8BE1B">
              <w:trPr>
                <w:trHeight w:val="397" w:hRule="exact"/>
                <w:jc w:val="center"/>
              </w:trPr>
              <w:tc>
                <w:tcPr>
                  <w:tcW w:w="440" w:type="pct"/>
                  <w:noWrap w:val="0"/>
                  <w:vAlign w:val="center"/>
                </w:tcPr>
                <w:p w14:paraId="4B0A96A7">
                  <w:pPr>
                    <w:numPr>
                      <w:ilvl w:val="0"/>
                      <w:numId w:val="7"/>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486E4CE7">
                  <w:pPr>
                    <w:jc w:val="center"/>
                    <w:rPr>
                      <w:rFonts w:hint="default" w:ascii="Times New Roman" w:hAnsi="Times New Roman" w:cs="Times New Roman"/>
                      <w:color w:val="auto"/>
                      <w:szCs w:val="21"/>
                    </w:rPr>
                  </w:pPr>
                </w:p>
              </w:tc>
              <w:tc>
                <w:tcPr>
                  <w:tcW w:w="1078" w:type="pct"/>
                  <w:noWrap w:val="0"/>
                  <w:vAlign w:val="center"/>
                </w:tcPr>
                <w:p w14:paraId="4F39E675">
                  <w:pPr>
                    <w:jc w:val="center"/>
                    <w:rPr>
                      <w:rFonts w:hint="default" w:ascii="Times New Roman" w:hAnsi="Times New Roman" w:cs="Times New Roman"/>
                      <w:color w:val="auto"/>
                      <w:kern w:val="2"/>
                      <w:sz w:val="21"/>
                      <w:szCs w:val="21"/>
                      <w:lang w:val="en-US" w:eastAsia="zh-CN" w:bidi="ar-SA"/>
                    </w:rPr>
                  </w:pPr>
                </w:p>
              </w:tc>
              <w:tc>
                <w:tcPr>
                  <w:tcW w:w="582" w:type="pct"/>
                  <w:noWrap w:val="0"/>
                  <w:vAlign w:val="center"/>
                </w:tcPr>
                <w:p w14:paraId="5A225118">
                  <w:pPr>
                    <w:jc w:val="center"/>
                    <w:rPr>
                      <w:rFonts w:hint="default" w:ascii="Times New Roman" w:hAnsi="Times New Roman" w:cs="Times New Roman"/>
                      <w:color w:val="auto"/>
                      <w:szCs w:val="21"/>
                      <w:lang w:val="en-US" w:eastAsia="zh-CN"/>
                    </w:rPr>
                  </w:pPr>
                </w:p>
              </w:tc>
              <w:tc>
                <w:tcPr>
                  <w:tcW w:w="695" w:type="pct"/>
                  <w:noWrap w:val="0"/>
                  <w:vAlign w:val="center"/>
                </w:tcPr>
                <w:p w14:paraId="04A185BE">
                  <w:pPr>
                    <w:jc w:val="center"/>
                    <w:rPr>
                      <w:rFonts w:hint="default" w:ascii="Times New Roman" w:hAnsi="Times New Roman" w:cs="Times New Roman"/>
                      <w:color w:val="auto"/>
                      <w:sz w:val="21"/>
                      <w:szCs w:val="21"/>
                      <w:lang w:val="en-US" w:eastAsia="zh-CN"/>
                    </w:rPr>
                  </w:pPr>
                </w:p>
              </w:tc>
              <w:tc>
                <w:tcPr>
                  <w:tcW w:w="709" w:type="pct"/>
                  <w:noWrap w:val="0"/>
                  <w:vAlign w:val="center"/>
                </w:tcPr>
                <w:p w14:paraId="76107238">
                  <w:pPr>
                    <w:jc w:val="center"/>
                    <w:rPr>
                      <w:rFonts w:hint="default" w:ascii="Times New Roman" w:hAnsi="Times New Roman" w:cs="Times New Roman"/>
                      <w:color w:val="auto"/>
                      <w:szCs w:val="21"/>
                      <w:lang w:val="en-US" w:eastAsia="zh-CN"/>
                    </w:rPr>
                  </w:pPr>
                </w:p>
              </w:tc>
            </w:tr>
            <w:tr w14:paraId="2D4DFA41">
              <w:trPr>
                <w:trHeight w:val="397" w:hRule="exact"/>
                <w:jc w:val="center"/>
              </w:trPr>
              <w:tc>
                <w:tcPr>
                  <w:tcW w:w="440" w:type="pct"/>
                  <w:noWrap w:val="0"/>
                  <w:vAlign w:val="center"/>
                </w:tcPr>
                <w:p w14:paraId="474D982A">
                  <w:pPr>
                    <w:numPr>
                      <w:ilvl w:val="0"/>
                      <w:numId w:val="7"/>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645C1C56">
                  <w:pPr>
                    <w:jc w:val="center"/>
                    <w:rPr>
                      <w:rFonts w:hint="default" w:ascii="Times New Roman" w:hAnsi="Times New Roman" w:cs="Times New Roman"/>
                      <w:color w:val="auto"/>
                      <w:szCs w:val="21"/>
                    </w:rPr>
                  </w:pPr>
                </w:p>
              </w:tc>
              <w:tc>
                <w:tcPr>
                  <w:tcW w:w="1078" w:type="pct"/>
                  <w:noWrap w:val="0"/>
                  <w:vAlign w:val="center"/>
                </w:tcPr>
                <w:p w14:paraId="0983C5A0">
                  <w:pPr>
                    <w:jc w:val="center"/>
                    <w:rPr>
                      <w:rFonts w:hint="default" w:ascii="Times New Roman" w:hAnsi="Times New Roman" w:cs="Times New Roman"/>
                      <w:color w:val="auto"/>
                      <w:kern w:val="2"/>
                      <w:sz w:val="21"/>
                      <w:szCs w:val="21"/>
                      <w:lang w:val="en-US" w:eastAsia="zh-CN" w:bidi="ar-SA"/>
                    </w:rPr>
                  </w:pPr>
                </w:p>
              </w:tc>
              <w:tc>
                <w:tcPr>
                  <w:tcW w:w="582" w:type="pct"/>
                  <w:noWrap w:val="0"/>
                  <w:vAlign w:val="center"/>
                </w:tcPr>
                <w:p w14:paraId="496E24BB">
                  <w:pPr>
                    <w:jc w:val="center"/>
                    <w:rPr>
                      <w:rFonts w:hint="default" w:ascii="Times New Roman" w:hAnsi="Times New Roman" w:cs="Times New Roman"/>
                      <w:color w:val="auto"/>
                      <w:szCs w:val="21"/>
                      <w:lang w:val="en-US" w:eastAsia="zh-CN"/>
                    </w:rPr>
                  </w:pPr>
                </w:p>
              </w:tc>
              <w:tc>
                <w:tcPr>
                  <w:tcW w:w="695" w:type="pct"/>
                  <w:noWrap w:val="0"/>
                  <w:vAlign w:val="center"/>
                </w:tcPr>
                <w:p w14:paraId="411A2E61">
                  <w:pPr>
                    <w:jc w:val="center"/>
                    <w:rPr>
                      <w:rFonts w:hint="default" w:ascii="Times New Roman" w:hAnsi="Times New Roman" w:eastAsia="宋体" w:cs="Times New Roman"/>
                      <w:color w:val="auto"/>
                      <w:sz w:val="21"/>
                      <w:szCs w:val="21"/>
                      <w:lang w:val="en-US" w:eastAsia="zh-CN"/>
                    </w:rPr>
                  </w:pPr>
                </w:p>
              </w:tc>
              <w:tc>
                <w:tcPr>
                  <w:tcW w:w="709" w:type="pct"/>
                  <w:noWrap w:val="0"/>
                  <w:vAlign w:val="center"/>
                </w:tcPr>
                <w:p w14:paraId="09565F34">
                  <w:pPr>
                    <w:jc w:val="center"/>
                    <w:rPr>
                      <w:rFonts w:hint="default" w:ascii="Times New Roman" w:hAnsi="Times New Roman" w:cs="Times New Roman"/>
                      <w:color w:val="auto"/>
                      <w:szCs w:val="21"/>
                      <w:lang w:val="en-US" w:eastAsia="zh-CN"/>
                    </w:rPr>
                  </w:pPr>
                </w:p>
              </w:tc>
            </w:tr>
            <w:tr w14:paraId="6F52A025">
              <w:trPr>
                <w:trHeight w:val="397" w:hRule="exact"/>
                <w:jc w:val="center"/>
              </w:trPr>
              <w:tc>
                <w:tcPr>
                  <w:tcW w:w="440" w:type="pct"/>
                  <w:noWrap w:val="0"/>
                  <w:vAlign w:val="center"/>
                </w:tcPr>
                <w:p w14:paraId="4C027839">
                  <w:pPr>
                    <w:numPr>
                      <w:ilvl w:val="0"/>
                      <w:numId w:val="7"/>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2AEC7E6E">
                  <w:pPr>
                    <w:jc w:val="center"/>
                    <w:rPr>
                      <w:rFonts w:hint="default" w:ascii="Times New Roman" w:hAnsi="Times New Roman" w:cs="Times New Roman"/>
                      <w:color w:val="auto"/>
                      <w:szCs w:val="21"/>
                    </w:rPr>
                  </w:pPr>
                </w:p>
              </w:tc>
              <w:tc>
                <w:tcPr>
                  <w:tcW w:w="1078" w:type="pct"/>
                  <w:noWrap w:val="0"/>
                  <w:vAlign w:val="center"/>
                </w:tcPr>
                <w:p w14:paraId="30816004">
                  <w:pPr>
                    <w:jc w:val="center"/>
                    <w:rPr>
                      <w:rFonts w:hint="default" w:ascii="Times New Roman" w:hAnsi="Times New Roman" w:cs="Times New Roman"/>
                      <w:color w:val="auto"/>
                      <w:kern w:val="2"/>
                      <w:sz w:val="21"/>
                      <w:szCs w:val="21"/>
                      <w:lang w:val="en-US" w:eastAsia="zh-CN" w:bidi="ar-SA"/>
                    </w:rPr>
                  </w:pPr>
                </w:p>
              </w:tc>
              <w:tc>
                <w:tcPr>
                  <w:tcW w:w="582" w:type="pct"/>
                  <w:noWrap w:val="0"/>
                  <w:vAlign w:val="center"/>
                </w:tcPr>
                <w:p w14:paraId="798000C4">
                  <w:pPr>
                    <w:jc w:val="center"/>
                    <w:rPr>
                      <w:rFonts w:hint="default" w:ascii="Times New Roman" w:hAnsi="Times New Roman" w:cs="Times New Roman"/>
                      <w:color w:val="auto"/>
                      <w:szCs w:val="21"/>
                      <w:lang w:val="en-US" w:eastAsia="zh-CN"/>
                    </w:rPr>
                  </w:pPr>
                </w:p>
              </w:tc>
              <w:tc>
                <w:tcPr>
                  <w:tcW w:w="695" w:type="pct"/>
                  <w:noWrap w:val="0"/>
                  <w:vAlign w:val="center"/>
                </w:tcPr>
                <w:p w14:paraId="124C9EB1">
                  <w:pPr>
                    <w:jc w:val="center"/>
                    <w:rPr>
                      <w:rFonts w:hint="default" w:ascii="Times New Roman" w:hAnsi="Times New Roman" w:cs="Times New Roman"/>
                      <w:color w:val="auto"/>
                      <w:sz w:val="21"/>
                      <w:szCs w:val="21"/>
                      <w:lang w:val="en-US" w:eastAsia="zh-CN"/>
                    </w:rPr>
                  </w:pPr>
                </w:p>
              </w:tc>
              <w:tc>
                <w:tcPr>
                  <w:tcW w:w="709" w:type="pct"/>
                  <w:noWrap w:val="0"/>
                  <w:vAlign w:val="center"/>
                </w:tcPr>
                <w:p w14:paraId="7954EF25">
                  <w:pPr>
                    <w:jc w:val="center"/>
                    <w:rPr>
                      <w:rFonts w:hint="default" w:ascii="Times New Roman" w:hAnsi="Times New Roman" w:cs="Times New Roman"/>
                      <w:color w:val="auto"/>
                      <w:szCs w:val="21"/>
                      <w:lang w:val="en-US" w:eastAsia="zh-CN"/>
                    </w:rPr>
                  </w:pPr>
                </w:p>
              </w:tc>
            </w:tr>
            <w:tr w14:paraId="5F0D7C2E">
              <w:trPr>
                <w:trHeight w:val="397" w:hRule="exact"/>
                <w:jc w:val="center"/>
              </w:trPr>
              <w:tc>
                <w:tcPr>
                  <w:tcW w:w="440" w:type="pct"/>
                  <w:noWrap w:val="0"/>
                  <w:vAlign w:val="center"/>
                </w:tcPr>
                <w:p w14:paraId="320E168D">
                  <w:pPr>
                    <w:numPr>
                      <w:ilvl w:val="0"/>
                      <w:numId w:val="7"/>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568086AE">
                  <w:pPr>
                    <w:jc w:val="center"/>
                    <w:rPr>
                      <w:rFonts w:hint="default" w:ascii="Times New Roman" w:hAnsi="Times New Roman" w:cs="Times New Roman"/>
                      <w:color w:val="auto"/>
                      <w:szCs w:val="21"/>
                    </w:rPr>
                  </w:pPr>
                </w:p>
              </w:tc>
              <w:tc>
                <w:tcPr>
                  <w:tcW w:w="1078" w:type="pct"/>
                  <w:noWrap w:val="0"/>
                  <w:vAlign w:val="center"/>
                </w:tcPr>
                <w:p w14:paraId="4D2EF75E">
                  <w:pPr>
                    <w:jc w:val="center"/>
                    <w:rPr>
                      <w:rFonts w:hint="default" w:ascii="Times New Roman" w:hAnsi="Times New Roman" w:cs="Times New Roman"/>
                      <w:color w:val="auto"/>
                      <w:kern w:val="2"/>
                      <w:sz w:val="21"/>
                      <w:szCs w:val="21"/>
                      <w:lang w:val="en-US" w:eastAsia="zh-CN" w:bidi="ar-SA"/>
                    </w:rPr>
                  </w:pPr>
                </w:p>
              </w:tc>
              <w:tc>
                <w:tcPr>
                  <w:tcW w:w="582" w:type="pct"/>
                  <w:noWrap w:val="0"/>
                  <w:vAlign w:val="center"/>
                </w:tcPr>
                <w:p w14:paraId="1FB4AF58">
                  <w:pPr>
                    <w:jc w:val="center"/>
                    <w:rPr>
                      <w:rFonts w:hint="default" w:ascii="Times New Roman" w:hAnsi="Times New Roman" w:cs="Times New Roman"/>
                      <w:color w:val="auto"/>
                      <w:szCs w:val="21"/>
                      <w:lang w:val="en-US" w:eastAsia="zh-CN"/>
                    </w:rPr>
                  </w:pPr>
                </w:p>
              </w:tc>
              <w:tc>
                <w:tcPr>
                  <w:tcW w:w="695" w:type="pct"/>
                  <w:noWrap w:val="0"/>
                  <w:vAlign w:val="center"/>
                </w:tcPr>
                <w:p w14:paraId="235EE942">
                  <w:pPr>
                    <w:jc w:val="center"/>
                    <w:rPr>
                      <w:rFonts w:hint="default" w:ascii="Times New Roman" w:hAnsi="Times New Roman" w:cs="Times New Roman"/>
                      <w:color w:val="auto"/>
                      <w:sz w:val="21"/>
                      <w:szCs w:val="21"/>
                      <w:lang w:val="en-US" w:eastAsia="zh-CN"/>
                    </w:rPr>
                  </w:pPr>
                </w:p>
              </w:tc>
              <w:tc>
                <w:tcPr>
                  <w:tcW w:w="709" w:type="pct"/>
                  <w:noWrap w:val="0"/>
                  <w:vAlign w:val="center"/>
                </w:tcPr>
                <w:p w14:paraId="3E9847DF">
                  <w:pPr>
                    <w:jc w:val="center"/>
                    <w:rPr>
                      <w:rFonts w:hint="default" w:ascii="Times New Roman" w:hAnsi="Times New Roman" w:cs="Times New Roman"/>
                      <w:color w:val="auto"/>
                      <w:szCs w:val="21"/>
                      <w:lang w:val="en-US" w:eastAsia="zh-CN"/>
                    </w:rPr>
                  </w:pPr>
                </w:p>
              </w:tc>
            </w:tr>
            <w:tr w14:paraId="64807FAF">
              <w:trPr>
                <w:trHeight w:val="397" w:hRule="exact"/>
                <w:jc w:val="center"/>
              </w:trPr>
              <w:tc>
                <w:tcPr>
                  <w:tcW w:w="440" w:type="pct"/>
                  <w:noWrap w:val="0"/>
                  <w:vAlign w:val="center"/>
                </w:tcPr>
                <w:p w14:paraId="192FB8B5">
                  <w:pPr>
                    <w:numPr>
                      <w:ilvl w:val="0"/>
                      <w:numId w:val="7"/>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17D4D6C5">
                  <w:pPr>
                    <w:jc w:val="center"/>
                    <w:rPr>
                      <w:rFonts w:hint="default" w:ascii="Times New Roman" w:hAnsi="Times New Roman" w:cs="Times New Roman"/>
                      <w:color w:val="auto"/>
                      <w:szCs w:val="21"/>
                    </w:rPr>
                  </w:pPr>
                </w:p>
              </w:tc>
              <w:tc>
                <w:tcPr>
                  <w:tcW w:w="1078" w:type="pct"/>
                  <w:noWrap w:val="0"/>
                  <w:vAlign w:val="center"/>
                </w:tcPr>
                <w:p w14:paraId="6CD351D9">
                  <w:pPr>
                    <w:jc w:val="center"/>
                    <w:rPr>
                      <w:rFonts w:hint="default" w:ascii="Times New Roman" w:hAnsi="Times New Roman" w:cs="Times New Roman"/>
                      <w:color w:val="auto"/>
                      <w:kern w:val="2"/>
                      <w:sz w:val="21"/>
                      <w:szCs w:val="21"/>
                      <w:lang w:val="en-US" w:eastAsia="zh-CN" w:bidi="ar-SA"/>
                    </w:rPr>
                  </w:pPr>
                </w:p>
              </w:tc>
              <w:tc>
                <w:tcPr>
                  <w:tcW w:w="582" w:type="pct"/>
                  <w:noWrap w:val="0"/>
                  <w:vAlign w:val="center"/>
                </w:tcPr>
                <w:p w14:paraId="22C0C6DB">
                  <w:pPr>
                    <w:jc w:val="center"/>
                    <w:rPr>
                      <w:rFonts w:hint="default" w:ascii="Times New Roman" w:hAnsi="Times New Roman" w:cs="Times New Roman"/>
                      <w:color w:val="auto"/>
                      <w:szCs w:val="21"/>
                      <w:lang w:val="en-US" w:eastAsia="zh-CN"/>
                    </w:rPr>
                  </w:pPr>
                </w:p>
              </w:tc>
              <w:tc>
                <w:tcPr>
                  <w:tcW w:w="695" w:type="pct"/>
                  <w:noWrap w:val="0"/>
                  <w:vAlign w:val="center"/>
                </w:tcPr>
                <w:p w14:paraId="454889DE">
                  <w:pPr>
                    <w:jc w:val="center"/>
                    <w:rPr>
                      <w:rFonts w:hint="default" w:ascii="Times New Roman" w:hAnsi="Times New Roman" w:cs="Times New Roman"/>
                      <w:color w:val="auto"/>
                      <w:sz w:val="21"/>
                      <w:szCs w:val="21"/>
                      <w:lang w:val="en-US" w:eastAsia="zh-CN"/>
                    </w:rPr>
                  </w:pPr>
                </w:p>
              </w:tc>
              <w:tc>
                <w:tcPr>
                  <w:tcW w:w="709" w:type="pct"/>
                  <w:noWrap w:val="0"/>
                  <w:vAlign w:val="center"/>
                </w:tcPr>
                <w:p w14:paraId="73532A75">
                  <w:pPr>
                    <w:jc w:val="center"/>
                    <w:rPr>
                      <w:rFonts w:hint="default" w:ascii="Times New Roman" w:hAnsi="Times New Roman" w:cs="Times New Roman"/>
                      <w:color w:val="auto"/>
                      <w:szCs w:val="21"/>
                      <w:lang w:val="en-US" w:eastAsia="zh-CN"/>
                    </w:rPr>
                  </w:pPr>
                </w:p>
              </w:tc>
            </w:tr>
            <w:tr w14:paraId="7B295F49">
              <w:trPr>
                <w:trHeight w:val="397" w:hRule="exact"/>
                <w:jc w:val="center"/>
              </w:trPr>
              <w:tc>
                <w:tcPr>
                  <w:tcW w:w="440" w:type="pct"/>
                  <w:noWrap w:val="0"/>
                  <w:vAlign w:val="center"/>
                </w:tcPr>
                <w:p w14:paraId="612FBD42">
                  <w:pPr>
                    <w:numPr>
                      <w:ilvl w:val="0"/>
                      <w:numId w:val="7"/>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65AA943E">
                  <w:pPr>
                    <w:jc w:val="center"/>
                    <w:rPr>
                      <w:rFonts w:hint="default" w:ascii="Times New Roman" w:hAnsi="Times New Roman" w:cs="Times New Roman"/>
                      <w:color w:val="auto"/>
                      <w:szCs w:val="21"/>
                    </w:rPr>
                  </w:pPr>
                </w:p>
              </w:tc>
              <w:tc>
                <w:tcPr>
                  <w:tcW w:w="1078" w:type="pct"/>
                  <w:noWrap w:val="0"/>
                  <w:vAlign w:val="center"/>
                </w:tcPr>
                <w:p w14:paraId="238CA202">
                  <w:pPr>
                    <w:jc w:val="center"/>
                    <w:rPr>
                      <w:rFonts w:hint="default" w:ascii="Times New Roman" w:hAnsi="Times New Roman" w:cs="Times New Roman"/>
                      <w:color w:val="auto"/>
                      <w:kern w:val="2"/>
                      <w:sz w:val="21"/>
                      <w:szCs w:val="21"/>
                      <w:lang w:val="en-US" w:eastAsia="zh-CN" w:bidi="ar-SA"/>
                    </w:rPr>
                  </w:pPr>
                </w:p>
              </w:tc>
              <w:tc>
                <w:tcPr>
                  <w:tcW w:w="582" w:type="pct"/>
                  <w:noWrap w:val="0"/>
                  <w:vAlign w:val="center"/>
                </w:tcPr>
                <w:p w14:paraId="3F1D3540">
                  <w:pPr>
                    <w:jc w:val="center"/>
                    <w:rPr>
                      <w:rFonts w:hint="default" w:ascii="Times New Roman" w:hAnsi="Times New Roman" w:cs="Times New Roman"/>
                      <w:color w:val="auto"/>
                      <w:szCs w:val="21"/>
                      <w:lang w:val="en-US" w:eastAsia="zh-CN"/>
                    </w:rPr>
                  </w:pPr>
                </w:p>
              </w:tc>
              <w:tc>
                <w:tcPr>
                  <w:tcW w:w="695" w:type="pct"/>
                  <w:noWrap w:val="0"/>
                  <w:vAlign w:val="center"/>
                </w:tcPr>
                <w:p w14:paraId="2CBFA590">
                  <w:pPr>
                    <w:jc w:val="center"/>
                    <w:rPr>
                      <w:rFonts w:hint="default" w:ascii="Times New Roman" w:hAnsi="Times New Roman" w:cs="Times New Roman"/>
                      <w:color w:val="auto"/>
                      <w:sz w:val="21"/>
                      <w:szCs w:val="21"/>
                      <w:lang w:val="en-US" w:eastAsia="zh-CN"/>
                    </w:rPr>
                  </w:pPr>
                </w:p>
              </w:tc>
              <w:tc>
                <w:tcPr>
                  <w:tcW w:w="709" w:type="pct"/>
                  <w:noWrap w:val="0"/>
                  <w:vAlign w:val="center"/>
                </w:tcPr>
                <w:p w14:paraId="3DEEEB8F">
                  <w:pPr>
                    <w:jc w:val="center"/>
                    <w:rPr>
                      <w:rFonts w:hint="default" w:ascii="Times New Roman" w:hAnsi="Times New Roman" w:cs="Times New Roman"/>
                      <w:color w:val="auto"/>
                      <w:szCs w:val="21"/>
                      <w:lang w:val="en-US" w:eastAsia="zh-CN"/>
                    </w:rPr>
                  </w:pPr>
                </w:p>
              </w:tc>
            </w:tr>
            <w:tr w14:paraId="1D02AED2">
              <w:trPr>
                <w:trHeight w:val="397" w:hRule="exact"/>
                <w:jc w:val="center"/>
              </w:trPr>
              <w:tc>
                <w:tcPr>
                  <w:tcW w:w="440" w:type="pct"/>
                  <w:noWrap w:val="0"/>
                  <w:vAlign w:val="center"/>
                </w:tcPr>
                <w:p w14:paraId="1A396884">
                  <w:pPr>
                    <w:numPr>
                      <w:ilvl w:val="0"/>
                      <w:numId w:val="7"/>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4783B03D">
                  <w:pPr>
                    <w:jc w:val="center"/>
                    <w:rPr>
                      <w:rFonts w:hint="default" w:ascii="Times New Roman" w:hAnsi="Times New Roman" w:cs="Times New Roman"/>
                      <w:color w:val="auto"/>
                      <w:szCs w:val="21"/>
                    </w:rPr>
                  </w:pPr>
                </w:p>
              </w:tc>
              <w:tc>
                <w:tcPr>
                  <w:tcW w:w="1078" w:type="pct"/>
                  <w:noWrap w:val="0"/>
                  <w:vAlign w:val="center"/>
                </w:tcPr>
                <w:p w14:paraId="5C4337F6">
                  <w:pPr>
                    <w:jc w:val="center"/>
                    <w:rPr>
                      <w:rFonts w:hint="default" w:ascii="Times New Roman" w:hAnsi="Times New Roman" w:cs="Times New Roman"/>
                      <w:color w:val="auto"/>
                      <w:kern w:val="2"/>
                      <w:sz w:val="21"/>
                      <w:szCs w:val="21"/>
                      <w:lang w:val="en-US" w:eastAsia="zh-CN" w:bidi="ar-SA"/>
                    </w:rPr>
                  </w:pPr>
                </w:p>
              </w:tc>
              <w:tc>
                <w:tcPr>
                  <w:tcW w:w="582" w:type="pct"/>
                  <w:noWrap w:val="0"/>
                  <w:vAlign w:val="center"/>
                </w:tcPr>
                <w:p w14:paraId="757A29C2">
                  <w:pPr>
                    <w:jc w:val="center"/>
                    <w:rPr>
                      <w:rFonts w:hint="default" w:ascii="Times New Roman" w:hAnsi="Times New Roman" w:cs="Times New Roman"/>
                      <w:color w:val="auto"/>
                      <w:szCs w:val="21"/>
                      <w:lang w:val="en-US" w:eastAsia="zh-CN"/>
                    </w:rPr>
                  </w:pPr>
                </w:p>
              </w:tc>
              <w:tc>
                <w:tcPr>
                  <w:tcW w:w="695" w:type="pct"/>
                  <w:noWrap w:val="0"/>
                  <w:vAlign w:val="center"/>
                </w:tcPr>
                <w:p w14:paraId="64F78F0E">
                  <w:pPr>
                    <w:jc w:val="center"/>
                    <w:rPr>
                      <w:rFonts w:hint="default" w:ascii="Times New Roman" w:hAnsi="Times New Roman" w:cs="Times New Roman"/>
                      <w:color w:val="auto"/>
                      <w:sz w:val="21"/>
                      <w:szCs w:val="21"/>
                      <w:lang w:val="en-US" w:eastAsia="zh-CN"/>
                    </w:rPr>
                  </w:pPr>
                </w:p>
              </w:tc>
              <w:tc>
                <w:tcPr>
                  <w:tcW w:w="709" w:type="pct"/>
                  <w:noWrap w:val="0"/>
                  <w:vAlign w:val="center"/>
                </w:tcPr>
                <w:p w14:paraId="1FDA18AC">
                  <w:pPr>
                    <w:jc w:val="center"/>
                    <w:rPr>
                      <w:rFonts w:hint="default" w:ascii="Times New Roman" w:hAnsi="Times New Roman" w:cs="Times New Roman"/>
                      <w:color w:val="auto"/>
                      <w:szCs w:val="21"/>
                      <w:lang w:val="en-US" w:eastAsia="zh-CN"/>
                    </w:rPr>
                  </w:pPr>
                </w:p>
              </w:tc>
            </w:tr>
            <w:tr w14:paraId="01A9D2AD">
              <w:trPr>
                <w:trHeight w:val="397" w:hRule="exact"/>
                <w:jc w:val="center"/>
              </w:trPr>
              <w:tc>
                <w:tcPr>
                  <w:tcW w:w="440" w:type="pct"/>
                  <w:noWrap w:val="0"/>
                  <w:vAlign w:val="center"/>
                </w:tcPr>
                <w:p w14:paraId="51A335B4">
                  <w:pPr>
                    <w:numPr>
                      <w:ilvl w:val="0"/>
                      <w:numId w:val="7"/>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2EE8FCC1">
                  <w:pPr>
                    <w:jc w:val="center"/>
                    <w:rPr>
                      <w:rFonts w:hint="default" w:ascii="Times New Roman" w:hAnsi="Times New Roman" w:cs="Times New Roman"/>
                      <w:color w:val="auto"/>
                      <w:szCs w:val="21"/>
                    </w:rPr>
                  </w:pPr>
                </w:p>
              </w:tc>
              <w:tc>
                <w:tcPr>
                  <w:tcW w:w="1078" w:type="pct"/>
                  <w:noWrap w:val="0"/>
                  <w:vAlign w:val="center"/>
                </w:tcPr>
                <w:p w14:paraId="728D49A8">
                  <w:pPr>
                    <w:jc w:val="center"/>
                    <w:rPr>
                      <w:rFonts w:hint="default" w:ascii="Times New Roman" w:hAnsi="Times New Roman" w:cs="Times New Roman"/>
                      <w:color w:val="auto"/>
                      <w:kern w:val="2"/>
                      <w:sz w:val="21"/>
                      <w:szCs w:val="21"/>
                      <w:lang w:val="en-US" w:eastAsia="zh-CN" w:bidi="ar-SA"/>
                    </w:rPr>
                  </w:pPr>
                </w:p>
              </w:tc>
              <w:tc>
                <w:tcPr>
                  <w:tcW w:w="582" w:type="pct"/>
                  <w:noWrap w:val="0"/>
                  <w:vAlign w:val="center"/>
                </w:tcPr>
                <w:p w14:paraId="515BC2E0">
                  <w:pPr>
                    <w:jc w:val="center"/>
                    <w:rPr>
                      <w:rFonts w:hint="default" w:ascii="Times New Roman" w:hAnsi="Times New Roman" w:cs="Times New Roman"/>
                      <w:color w:val="auto"/>
                      <w:szCs w:val="21"/>
                      <w:lang w:val="en-US" w:eastAsia="zh-CN"/>
                    </w:rPr>
                  </w:pPr>
                </w:p>
              </w:tc>
              <w:tc>
                <w:tcPr>
                  <w:tcW w:w="695" w:type="pct"/>
                  <w:noWrap w:val="0"/>
                  <w:vAlign w:val="center"/>
                </w:tcPr>
                <w:p w14:paraId="25078E6E">
                  <w:pPr>
                    <w:jc w:val="center"/>
                    <w:rPr>
                      <w:rFonts w:hint="default" w:ascii="Times New Roman" w:hAnsi="Times New Roman" w:cs="Times New Roman"/>
                      <w:color w:val="auto"/>
                      <w:sz w:val="21"/>
                      <w:szCs w:val="21"/>
                      <w:lang w:val="en-US" w:eastAsia="zh-CN"/>
                    </w:rPr>
                  </w:pPr>
                </w:p>
              </w:tc>
              <w:tc>
                <w:tcPr>
                  <w:tcW w:w="709" w:type="pct"/>
                  <w:noWrap w:val="0"/>
                  <w:vAlign w:val="center"/>
                </w:tcPr>
                <w:p w14:paraId="0499B31F">
                  <w:pPr>
                    <w:jc w:val="center"/>
                    <w:rPr>
                      <w:rFonts w:hint="default" w:ascii="Times New Roman" w:hAnsi="Times New Roman" w:cs="Times New Roman"/>
                      <w:color w:val="auto"/>
                      <w:szCs w:val="21"/>
                      <w:lang w:val="en-US" w:eastAsia="zh-CN"/>
                    </w:rPr>
                  </w:pPr>
                </w:p>
              </w:tc>
            </w:tr>
            <w:tr w14:paraId="10E71F20">
              <w:trPr>
                <w:trHeight w:val="397" w:hRule="exact"/>
                <w:jc w:val="center"/>
              </w:trPr>
              <w:tc>
                <w:tcPr>
                  <w:tcW w:w="5000" w:type="pct"/>
                  <w:gridSpan w:val="6"/>
                  <w:noWrap w:val="0"/>
                  <w:vAlign w:val="center"/>
                </w:tcPr>
                <w:p w14:paraId="6102C481">
                  <w:pPr>
                    <w:jc w:val="center"/>
                    <w:rPr>
                      <w:rFonts w:hint="default" w:ascii="Times New Roman" w:hAnsi="Times New Roman" w:cs="Times New Roman"/>
                      <w:color w:val="auto"/>
                      <w:szCs w:val="21"/>
                      <w:lang w:val="en-US" w:eastAsia="zh-CN"/>
                    </w:rPr>
                  </w:pPr>
                </w:p>
              </w:tc>
            </w:tr>
            <w:tr w14:paraId="783330CE">
              <w:trPr>
                <w:trHeight w:val="397" w:hRule="exact"/>
                <w:jc w:val="center"/>
              </w:trPr>
              <w:tc>
                <w:tcPr>
                  <w:tcW w:w="440" w:type="pct"/>
                  <w:noWrap w:val="0"/>
                  <w:vAlign w:val="center"/>
                </w:tcPr>
                <w:p w14:paraId="286AF47B">
                  <w:pPr>
                    <w:numPr>
                      <w:ilvl w:val="0"/>
                      <w:numId w:val="8"/>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62A51D66">
                  <w:pPr>
                    <w:jc w:val="center"/>
                    <w:rPr>
                      <w:rFonts w:hint="default" w:ascii="Times New Roman" w:hAnsi="Times New Roman" w:cs="Times New Roman"/>
                      <w:color w:val="auto"/>
                      <w:sz w:val="21"/>
                      <w:szCs w:val="21"/>
                    </w:rPr>
                  </w:pPr>
                </w:p>
              </w:tc>
              <w:tc>
                <w:tcPr>
                  <w:tcW w:w="1078" w:type="pct"/>
                  <w:noWrap w:val="0"/>
                  <w:vAlign w:val="center"/>
                </w:tcPr>
                <w:p w14:paraId="5ADD6FC8">
                  <w:pPr>
                    <w:jc w:val="center"/>
                    <w:rPr>
                      <w:rFonts w:hint="default" w:ascii="Times New Roman" w:hAnsi="Times New Roman" w:cs="Times New Roman"/>
                      <w:color w:val="auto"/>
                      <w:kern w:val="2"/>
                      <w:sz w:val="21"/>
                      <w:szCs w:val="21"/>
                      <w:lang w:val="en-US" w:eastAsia="zh-CN" w:bidi="ar-SA"/>
                    </w:rPr>
                  </w:pPr>
                </w:p>
              </w:tc>
              <w:tc>
                <w:tcPr>
                  <w:tcW w:w="582" w:type="pct"/>
                  <w:noWrap w:val="0"/>
                  <w:vAlign w:val="center"/>
                </w:tcPr>
                <w:p w14:paraId="45CC6D1D">
                  <w:pPr>
                    <w:jc w:val="center"/>
                    <w:rPr>
                      <w:rFonts w:hint="default" w:ascii="Times New Roman" w:hAnsi="Times New Roman" w:cs="Times New Roman"/>
                      <w:color w:val="auto"/>
                      <w:sz w:val="21"/>
                      <w:szCs w:val="21"/>
                      <w:lang w:val="en-US" w:eastAsia="zh-CN"/>
                    </w:rPr>
                  </w:pPr>
                </w:p>
              </w:tc>
              <w:tc>
                <w:tcPr>
                  <w:tcW w:w="695" w:type="pct"/>
                  <w:noWrap w:val="0"/>
                  <w:vAlign w:val="center"/>
                </w:tcPr>
                <w:p w14:paraId="6402AAA5">
                  <w:pPr>
                    <w:jc w:val="center"/>
                    <w:rPr>
                      <w:rFonts w:hint="default" w:ascii="Times New Roman" w:hAnsi="Times New Roman" w:cs="Times New Roman"/>
                      <w:color w:val="auto"/>
                      <w:sz w:val="21"/>
                      <w:szCs w:val="21"/>
                      <w:lang w:val="en-US" w:eastAsia="zh-CN"/>
                    </w:rPr>
                  </w:pPr>
                </w:p>
              </w:tc>
              <w:tc>
                <w:tcPr>
                  <w:tcW w:w="709" w:type="pct"/>
                  <w:noWrap w:val="0"/>
                  <w:vAlign w:val="center"/>
                </w:tcPr>
                <w:p w14:paraId="37894F6D">
                  <w:pPr>
                    <w:jc w:val="center"/>
                    <w:rPr>
                      <w:rFonts w:hint="default" w:ascii="Times New Roman" w:hAnsi="Times New Roman" w:cs="Times New Roman"/>
                      <w:color w:val="auto"/>
                      <w:szCs w:val="21"/>
                      <w:lang w:val="en-US" w:eastAsia="zh-CN"/>
                    </w:rPr>
                  </w:pPr>
                </w:p>
              </w:tc>
            </w:tr>
            <w:tr w14:paraId="5BE60F03">
              <w:trPr>
                <w:trHeight w:val="397" w:hRule="exact"/>
                <w:jc w:val="center"/>
              </w:trPr>
              <w:tc>
                <w:tcPr>
                  <w:tcW w:w="440" w:type="pct"/>
                  <w:noWrap w:val="0"/>
                  <w:vAlign w:val="center"/>
                </w:tcPr>
                <w:p w14:paraId="744C4C6F">
                  <w:pPr>
                    <w:numPr>
                      <w:ilvl w:val="0"/>
                      <w:numId w:val="8"/>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688F4EAA">
                  <w:pPr>
                    <w:jc w:val="center"/>
                    <w:rPr>
                      <w:rFonts w:hint="default" w:ascii="Times New Roman" w:hAnsi="Times New Roman" w:cs="Times New Roman"/>
                      <w:color w:val="auto"/>
                      <w:sz w:val="21"/>
                      <w:szCs w:val="21"/>
                    </w:rPr>
                  </w:pPr>
                </w:p>
              </w:tc>
              <w:tc>
                <w:tcPr>
                  <w:tcW w:w="1078" w:type="pct"/>
                  <w:noWrap w:val="0"/>
                  <w:vAlign w:val="center"/>
                </w:tcPr>
                <w:p w14:paraId="387B009B">
                  <w:pPr>
                    <w:jc w:val="center"/>
                    <w:rPr>
                      <w:rFonts w:hint="default" w:ascii="Times New Roman" w:hAnsi="Times New Roman" w:cs="Times New Roman"/>
                      <w:color w:val="auto"/>
                      <w:kern w:val="2"/>
                      <w:sz w:val="21"/>
                      <w:szCs w:val="21"/>
                      <w:lang w:val="en-US" w:eastAsia="zh-CN" w:bidi="ar-SA"/>
                    </w:rPr>
                  </w:pPr>
                </w:p>
              </w:tc>
              <w:tc>
                <w:tcPr>
                  <w:tcW w:w="582" w:type="pct"/>
                  <w:noWrap w:val="0"/>
                  <w:vAlign w:val="center"/>
                </w:tcPr>
                <w:p w14:paraId="52CE6D77">
                  <w:pPr>
                    <w:jc w:val="center"/>
                    <w:rPr>
                      <w:rFonts w:hint="default" w:ascii="Times New Roman" w:hAnsi="Times New Roman" w:cs="Times New Roman"/>
                      <w:color w:val="auto"/>
                      <w:sz w:val="21"/>
                      <w:szCs w:val="21"/>
                      <w:lang w:val="en-US" w:eastAsia="zh-CN"/>
                    </w:rPr>
                  </w:pPr>
                </w:p>
              </w:tc>
              <w:tc>
                <w:tcPr>
                  <w:tcW w:w="695" w:type="pct"/>
                  <w:noWrap w:val="0"/>
                  <w:vAlign w:val="center"/>
                </w:tcPr>
                <w:p w14:paraId="41351E1C">
                  <w:pPr>
                    <w:jc w:val="center"/>
                    <w:rPr>
                      <w:rFonts w:hint="default" w:ascii="Times New Roman" w:hAnsi="Times New Roman" w:cs="Times New Roman"/>
                      <w:color w:val="auto"/>
                      <w:sz w:val="21"/>
                      <w:szCs w:val="21"/>
                      <w:lang w:val="en-US" w:eastAsia="zh-CN"/>
                    </w:rPr>
                  </w:pPr>
                </w:p>
              </w:tc>
              <w:tc>
                <w:tcPr>
                  <w:tcW w:w="709" w:type="pct"/>
                  <w:noWrap w:val="0"/>
                  <w:vAlign w:val="center"/>
                </w:tcPr>
                <w:p w14:paraId="220A2C8A">
                  <w:pPr>
                    <w:jc w:val="center"/>
                    <w:rPr>
                      <w:rFonts w:hint="default" w:ascii="Times New Roman" w:hAnsi="Times New Roman" w:cs="Times New Roman"/>
                      <w:color w:val="auto"/>
                      <w:szCs w:val="21"/>
                      <w:lang w:val="en-US" w:eastAsia="zh-CN"/>
                    </w:rPr>
                  </w:pPr>
                </w:p>
              </w:tc>
            </w:tr>
            <w:tr w14:paraId="23F07CC1">
              <w:trPr>
                <w:trHeight w:val="397" w:hRule="exact"/>
                <w:jc w:val="center"/>
              </w:trPr>
              <w:tc>
                <w:tcPr>
                  <w:tcW w:w="440" w:type="pct"/>
                  <w:noWrap w:val="0"/>
                  <w:vAlign w:val="center"/>
                </w:tcPr>
                <w:p w14:paraId="7138942C">
                  <w:pPr>
                    <w:numPr>
                      <w:ilvl w:val="0"/>
                      <w:numId w:val="8"/>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7955381C">
                  <w:pPr>
                    <w:jc w:val="center"/>
                    <w:rPr>
                      <w:rFonts w:hint="default" w:ascii="Times New Roman" w:hAnsi="Times New Roman" w:cs="Times New Roman"/>
                      <w:color w:val="auto"/>
                      <w:sz w:val="21"/>
                      <w:szCs w:val="21"/>
                    </w:rPr>
                  </w:pPr>
                </w:p>
              </w:tc>
              <w:tc>
                <w:tcPr>
                  <w:tcW w:w="1078" w:type="pct"/>
                  <w:noWrap w:val="0"/>
                  <w:vAlign w:val="center"/>
                </w:tcPr>
                <w:p w14:paraId="38E516EE">
                  <w:pPr>
                    <w:jc w:val="center"/>
                    <w:rPr>
                      <w:rFonts w:hint="default" w:ascii="Times New Roman" w:hAnsi="Times New Roman" w:cs="Times New Roman"/>
                      <w:color w:val="auto"/>
                      <w:kern w:val="2"/>
                      <w:sz w:val="21"/>
                      <w:szCs w:val="21"/>
                      <w:lang w:val="en-US" w:eastAsia="zh-CN" w:bidi="ar-SA"/>
                    </w:rPr>
                  </w:pPr>
                </w:p>
              </w:tc>
              <w:tc>
                <w:tcPr>
                  <w:tcW w:w="582" w:type="pct"/>
                  <w:noWrap w:val="0"/>
                  <w:vAlign w:val="center"/>
                </w:tcPr>
                <w:p w14:paraId="63FBA173">
                  <w:pPr>
                    <w:jc w:val="center"/>
                    <w:rPr>
                      <w:rFonts w:hint="default" w:ascii="Times New Roman" w:hAnsi="Times New Roman" w:cs="Times New Roman"/>
                      <w:color w:val="auto"/>
                      <w:sz w:val="21"/>
                      <w:szCs w:val="21"/>
                      <w:lang w:val="en-US" w:eastAsia="zh-CN"/>
                    </w:rPr>
                  </w:pPr>
                </w:p>
              </w:tc>
              <w:tc>
                <w:tcPr>
                  <w:tcW w:w="695" w:type="pct"/>
                  <w:noWrap w:val="0"/>
                  <w:vAlign w:val="center"/>
                </w:tcPr>
                <w:p w14:paraId="346869C2">
                  <w:pPr>
                    <w:jc w:val="center"/>
                    <w:rPr>
                      <w:rFonts w:hint="default" w:ascii="Times New Roman" w:hAnsi="Times New Roman" w:cs="Times New Roman"/>
                      <w:color w:val="auto"/>
                      <w:sz w:val="21"/>
                      <w:szCs w:val="21"/>
                      <w:lang w:val="en-US" w:eastAsia="zh-CN"/>
                    </w:rPr>
                  </w:pPr>
                </w:p>
              </w:tc>
              <w:tc>
                <w:tcPr>
                  <w:tcW w:w="709" w:type="pct"/>
                  <w:noWrap w:val="0"/>
                  <w:vAlign w:val="center"/>
                </w:tcPr>
                <w:p w14:paraId="0E9167C3">
                  <w:pPr>
                    <w:jc w:val="center"/>
                    <w:rPr>
                      <w:rFonts w:hint="default" w:ascii="Times New Roman" w:hAnsi="Times New Roman" w:cs="Times New Roman"/>
                      <w:color w:val="auto"/>
                      <w:szCs w:val="21"/>
                      <w:lang w:val="en-US" w:eastAsia="zh-CN"/>
                    </w:rPr>
                  </w:pPr>
                </w:p>
              </w:tc>
            </w:tr>
            <w:tr w14:paraId="7CEA3545">
              <w:trPr>
                <w:trHeight w:val="397" w:hRule="exact"/>
                <w:jc w:val="center"/>
              </w:trPr>
              <w:tc>
                <w:tcPr>
                  <w:tcW w:w="440" w:type="pct"/>
                  <w:noWrap w:val="0"/>
                  <w:vAlign w:val="center"/>
                </w:tcPr>
                <w:p w14:paraId="6424106B">
                  <w:pPr>
                    <w:numPr>
                      <w:ilvl w:val="0"/>
                      <w:numId w:val="8"/>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35A7BA60">
                  <w:pPr>
                    <w:jc w:val="center"/>
                    <w:rPr>
                      <w:rFonts w:hint="default" w:ascii="Times New Roman" w:hAnsi="Times New Roman" w:cs="Times New Roman"/>
                      <w:color w:val="auto"/>
                      <w:sz w:val="21"/>
                      <w:szCs w:val="21"/>
                    </w:rPr>
                  </w:pPr>
                </w:p>
              </w:tc>
              <w:tc>
                <w:tcPr>
                  <w:tcW w:w="1078" w:type="pct"/>
                  <w:noWrap w:val="0"/>
                  <w:vAlign w:val="center"/>
                </w:tcPr>
                <w:p w14:paraId="20D6CC6A">
                  <w:pPr>
                    <w:jc w:val="center"/>
                    <w:rPr>
                      <w:rFonts w:hint="default" w:ascii="Times New Roman" w:hAnsi="Times New Roman" w:cs="Times New Roman"/>
                      <w:color w:val="auto"/>
                      <w:kern w:val="2"/>
                      <w:sz w:val="21"/>
                      <w:szCs w:val="21"/>
                      <w:lang w:val="en-US" w:eastAsia="zh-CN" w:bidi="ar-SA"/>
                    </w:rPr>
                  </w:pPr>
                </w:p>
              </w:tc>
              <w:tc>
                <w:tcPr>
                  <w:tcW w:w="582" w:type="pct"/>
                  <w:noWrap w:val="0"/>
                  <w:vAlign w:val="center"/>
                </w:tcPr>
                <w:p w14:paraId="0E94FD78">
                  <w:pPr>
                    <w:jc w:val="center"/>
                    <w:rPr>
                      <w:rFonts w:hint="default" w:ascii="Times New Roman" w:hAnsi="Times New Roman" w:cs="Times New Roman"/>
                      <w:color w:val="auto"/>
                      <w:sz w:val="21"/>
                      <w:szCs w:val="21"/>
                      <w:lang w:val="en-US" w:eastAsia="zh-CN"/>
                    </w:rPr>
                  </w:pPr>
                </w:p>
              </w:tc>
              <w:tc>
                <w:tcPr>
                  <w:tcW w:w="695" w:type="pct"/>
                  <w:noWrap w:val="0"/>
                  <w:vAlign w:val="center"/>
                </w:tcPr>
                <w:p w14:paraId="465E4382">
                  <w:pPr>
                    <w:jc w:val="center"/>
                    <w:rPr>
                      <w:rFonts w:hint="default" w:ascii="Times New Roman" w:hAnsi="Times New Roman" w:cs="Times New Roman"/>
                      <w:color w:val="auto"/>
                      <w:sz w:val="21"/>
                      <w:szCs w:val="21"/>
                      <w:lang w:val="en-US" w:eastAsia="zh-CN"/>
                    </w:rPr>
                  </w:pPr>
                </w:p>
              </w:tc>
              <w:tc>
                <w:tcPr>
                  <w:tcW w:w="709" w:type="pct"/>
                  <w:noWrap w:val="0"/>
                  <w:vAlign w:val="center"/>
                </w:tcPr>
                <w:p w14:paraId="73B18A57">
                  <w:pPr>
                    <w:jc w:val="center"/>
                    <w:rPr>
                      <w:rFonts w:hint="default" w:ascii="Times New Roman" w:hAnsi="Times New Roman" w:cs="Times New Roman"/>
                      <w:color w:val="auto"/>
                      <w:szCs w:val="21"/>
                      <w:lang w:val="en-US" w:eastAsia="zh-CN"/>
                    </w:rPr>
                  </w:pPr>
                </w:p>
              </w:tc>
            </w:tr>
            <w:tr w14:paraId="4BD17725">
              <w:trPr>
                <w:trHeight w:val="397" w:hRule="exact"/>
                <w:jc w:val="center"/>
              </w:trPr>
              <w:tc>
                <w:tcPr>
                  <w:tcW w:w="440" w:type="pct"/>
                  <w:noWrap w:val="0"/>
                  <w:vAlign w:val="center"/>
                </w:tcPr>
                <w:p w14:paraId="1CF57D6D">
                  <w:pPr>
                    <w:numPr>
                      <w:ilvl w:val="0"/>
                      <w:numId w:val="8"/>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266EEBCE">
                  <w:pPr>
                    <w:jc w:val="center"/>
                    <w:rPr>
                      <w:rFonts w:hint="default" w:ascii="Times New Roman" w:hAnsi="Times New Roman" w:cs="Times New Roman"/>
                      <w:color w:val="auto"/>
                      <w:sz w:val="21"/>
                      <w:szCs w:val="21"/>
                    </w:rPr>
                  </w:pPr>
                </w:p>
              </w:tc>
              <w:tc>
                <w:tcPr>
                  <w:tcW w:w="1078" w:type="pct"/>
                  <w:noWrap w:val="0"/>
                  <w:vAlign w:val="center"/>
                </w:tcPr>
                <w:p w14:paraId="756F37C5">
                  <w:pPr>
                    <w:jc w:val="center"/>
                    <w:rPr>
                      <w:rFonts w:hint="default" w:ascii="Times New Roman" w:hAnsi="Times New Roman" w:cs="Times New Roman"/>
                      <w:color w:val="auto"/>
                      <w:kern w:val="2"/>
                      <w:sz w:val="21"/>
                      <w:szCs w:val="21"/>
                      <w:lang w:val="en-US" w:eastAsia="zh-CN" w:bidi="ar-SA"/>
                    </w:rPr>
                  </w:pPr>
                </w:p>
              </w:tc>
              <w:tc>
                <w:tcPr>
                  <w:tcW w:w="582" w:type="pct"/>
                  <w:noWrap w:val="0"/>
                  <w:vAlign w:val="center"/>
                </w:tcPr>
                <w:p w14:paraId="6A381BAF">
                  <w:pPr>
                    <w:jc w:val="center"/>
                    <w:rPr>
                      <w:rFonts w:hint="default" w:ascii="Times New Roman" w:hAnsi="Times New Roman" w:cs="Times New Roman"/>
                      <w:color w:val="auto"/>
                      <w:sz w:val="21"/>
                      <w:szCs w:val="21"/>
                      <w:lang w:val="en-US" w:eastAsia="zh-CN"/>
                    </w:rPr>
                  </w:pPr>
                </w:p>
              </w:tc>
              <w:tc>
                <w:tcPr>
                  <w:tcW w:w="695" w:type="pct"/>
                  <w:noWrap w:val="0"/>
                  <w:vAlign w:val="center"/>
                </w:tcPr>
                <w:p w14:paraId="1B0C5CD7">
                  <w:pPr>
                    <w:jc w:val="center"/>
                    <w:rPr>
                      <w:rFonts w:hint="default" w:ascii="Times New Roman" w:hAnsi="Times New Roman" w:cs="Times New Roman"/>
                      <w:color w:val="auto"/>
                      <w:sz w:val="21"/>
                      <w:szCs w:val="21"/>
                      <w:lang w:val="en-US" w:eastAsia="zh-CN"/>
                    </w:rPr>
                  </w:pPr>
                </w:p>
              </w:tc>
              <w:tc>
                <w:tcPr>
                  <w:tcW w:w="709" w:type="pct"/>
                  <w:noWrap w:val="0"/>
                  <w:vAlign w:val="center"/>
                </w:tcPr>
                <w:p w14:paraId="16026792">
                  <w:pPr>
                    <w:jc w:val="center"/>
                    <w:rPr>
                      <w:rFonts w:hint="default" w:ascii="Times New Roman" w:hAnsi="Times New Roman" w:cs="Times New Roman"/>
                      <w:color w:val="auto"/>
                      <w:szCs w:val="21"/>
                      <w:lang w:val="en-US" w:eastAsia="zh-CN"/>
                    </w:rPr>
                  </w:pPr>
                </w:p>
              </w:tc>
            </w:tr>
            <w:tr w14:paraId="13FCD1B9">
              <w:trPr>
                <w:trHeight w:val="397" w:hRule="exact"/>
                <w:jc w:val="center"/>
              </w:trPr>
              <w:tc>
                <w:tcPr>
                  <w:tcW w:w="440" w:type="pct"/>
                  <w:noWrap w:val="0"/>
                  <w:vAlign w:val="center"/>
                </w:tcPr>
                <w:p w14:paraId="21965786">
                  <w:pPr>
                    <w:numPr>
                      <w:ilvl w:val="0"/>
                      <w:numId w:val="8"/>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36BC99C2">
                  <w:pPr>
                    <w:jc w:val="center"/>
                    <w:rPr>
                      <w:rFonts w:hint="default" w:ascii="Times New Roman" w:hAnsi="Times New Roman" w:cs="Times New Roman"/>
                      <w:color w:val="auto"/>
                      <w:sz w:val="21"/>
                      <w:szCs w:val="21"/>
                    </w:rPr>
                  </w:pPr>
                </w:p>
              </w:tc>
              <w:tc>
                <w:tcPr>
                  <w:tcW w:w="1078" w:type="pct"/>
                  <w:noWrap w:val="0"/>
                  <w:vAlign w:val="center"/>
                </w:tcPr>
                <w:p w14:paraId="54CD0C9B">
                  <w:pPr>
                    <w:tabs>
                      <w:tab w:val="left" w:pos="365"/>
                    </w:tabs>
                    <w:jc w:val="center"/>
                    <w:rPr>
                      <w:rFonts w:hint="default" w:ascii="Times New Roman" w:hAnsi="Times New Roman" w:cs="Times New Roman"/>
                      <w:color w:val="auto"/>
                      <w:kern w:val="2"/>
                      <w:sz w:val="21"/>
                      <w:szCs w:val="21"/>
                      <w:lang w:val="en-US" w:eastAsia="zh-CN" w:bidi="ar-SA"/>
                    </w:rPr>
                  </w:pPr>
                </w:p>
              </w:tc>
              <w:tc>
                <w:tcPr>
                  <w:tcW w:w="582" w:type="pct"/>
                  <w:noWrap w:val="0"/>
                  <w:vAlign w:val="center"/>
                </w:tcPr>
                <w:p w14:paraId="72064342">
                  <w:pPr>
                    <w:jc w:val="center"/>
                    <w:rPr>
                      <w:rFonts w:hint="default" w:ascii="Times New Roman" w:hAnsi="Times New Roman" w:cs="Times New Roman"/>
                      <w:color w:val="auto"/>
                      <w:sz w:val="21"/>
                      <w:szCs w:val="21"/>
                      <w:lang w:val="en-US" w:eastAsia="zh-CN"/>
                    </w:rPr>
                  </w:pPr>
                </w:p>
              </w:tc>
              <w:tc>
                <w:tcPr>
                  <w:tcW w:w="695" w:type="pct"/>
                  <w:noWrap w:val="0"/>
                  <w:vAlign w:val="center"/>
                </w:tcPr>
                <w:p w14:paraId="11227664">
                  <w:pPr>
                    <w:jc w:val="center"/>
                    <w:rPr>
                      <w:rFonts w:hint="default" w:ascii="Times New Roman" w:hAnsi="Times New Roman" w:cs="Times New Roman"/>
                      <w:color w:val="auto"/>
                      <w:sz w:val="21"/>
                      <w:szCs w:val="21"/>
                      <w:lang w:val="en-US" w:eastAsia="zh-CN"/>
                    </w:rPr>
                  </w:pPr>
                </w:p>
              </w:tc>
              <w:tc>
                <w:tcPr>
                  <w:tcW w:w="709" w:type="pct"/>
                  <w:noWrap w:val="0"/>
                  <w:vAlign w:val="center"/>
                </w:tcPr>
                <w:p w14:paraId="76F0264D">
                  <w:pPr>
                    <w:jc w:val="center"/>
                    <w:rPr>
                      <w:rFonts w:hint="default" w:ascii="Times New Roman" w:hAnsi="Times New Roman" w:cs="Times New Roman"/>
                      <w:color w:val="auto"/>
                      <w:szCs w:val="21"/>
                      <w:lang w:val="en-US" w:eastAsia="zh-CN"/>
                    </w:rPr>
                  </w:pPr>
                </w:p>
              </w:tc>
            </w:tr>
            <w:tr w14:paraId="659EFDA7">
              <w:trPr>
                <w:trHeight w:val="397" w:hRule="exact"/>
                <w:jc w:val="center"/>
              </w:trPr>
              <w:tc>
                <w:tcPr>
                  <w:tcW w:w="440" w:type="pct"/>
                  <w:noWrap w:val="0"/>
                  <w:vAlign w:val="center"/>
                </w:tcPr>
                <w:p w14:paraId="79C3CF50">
                  <w:pPr>
                    <w:numPr>
                      <w:ilvl w:val="0"/>
                      <w:numId w:val="8"/>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73DAA636">
                  <w:pPr>
                    <w:jc w:val="center"/>
                    <w:rPr>
                      <w:rFonts w:hint="default" w:ascii="Times New Roman" w:hAnsi="Times New Roman" w:cs="Times New Roman"/>
                      <w:color w:val="auto"/>
                      <w:sz w:val="21"/>
                      <w:szCs w:val="21"/>
                    </w:rPr>
                  </w:pPr>
                </w:p>
              </w:tc>
              <w:tc>
                <w:tcPr>
                  <w:tcW w:w="1078" w:type="pct"/>
                  <w:noWrap w:val="0"/>
                  <w:vAlign w:val="center"/>
                </w:tcPr>
                <w:p w14:paraId="6CA59C30">
                  <w:pPr>
                    <w:jc w:val="center"/>
                    <w:rPr>
                      <w:rFonts w:hint="default" w:ascii="Times New Roman" w:hAnsi="Times New Roman" w:cs="Times New Roman"/>
                      <w:color w:val="auto"/>
                      <w:kern w:val="2"/>
                      <w:sz w:val="21"/>
                      <w:szCs w:val="21"/>
                      <w:lang w:val="en-US" w:eastAsia="zh-CN" w:bidi="ar-SA"/>
                    </w:rPr>
                  </w:pPr>
                </w:p>
              </w:tc>
              <w:tc>
                <w:tcPr>
                  <w:tcW w:w="582" w:type="pct"/>
                  <w:noWrap w:val="0"/>
                  <w:vAlign w:val="center"/>
                </w:tcPr>
                <w:p w14:paraId="08BBBEEF">
                  <w:pPr>
                    <w:jc w:val="center"/>
                    <w:rPr>
                      <w:rFonts w:hint="default" w:ascii="Times New Roman" w:hAnsi="Times New Roman" w:cs="Times New Roman"/>
                      <w:color w:val="auto"/>
                      <w:sz w:val="21"/>
                      <w:szCs w:val="21"/>
                      <w:lang w:val="en-US" w:eastAsia="zh-CN"/>
                    </w:rPr>
                  </w:pPr>
                </w:p>
              </w:tc>
              <w:tc>
                <w:tcPr>
                  <w:tcW w:w="695" w:type="pct"/>
                  <w:noWrap w:val="0"/>
                  <w:vAlign w:val="center"/>
                </w:tcPr>
                <w:p w14:paraId="059A8F0D">
                  <w:pPr>
                    <w:jc w:val="center"/>
                    <w:rPr>
                      <w:rFonts w:hint="default" w:ascii="Times New Roman" w:hAnsi="Times New Roman" w:cs="Times New Roman"/>
                      <w:color w:val="auto"/>
                      <w:sz w:val="21"/>
                      <w:szCs w:val="21"/>
                      <w:lang w:val="en-US" w:eastAsia="zh-CN"/>
                    </w:rPr>
                  </w:pPr>
                </w:p>
              </w:tc>
              <w:tc>
                <w:tcPr>
                  <w:tcW w:w="709" w:type="pct"/>
                  <w:noWrap w:val="0"/>
                  <w:vAlign w:val="center"/>
                </w:tcPr>
                <w:p w14:paraId="3A215882">
                  <w:pPr>
                    <w:jc w:val="center"/>
                    <w:rPr>
                      <w:rFonts w:hint="default" w:ascii="Times New Roman" w:hAnsi="Times New Roman" w:cs="Times New Roman"/>
                      <w:color w:val="auto"/>
                      <w:szCs w:val="21"/>
                      <w:lang w:val="en-US" w:eastAsia="zh-CN"/>
                    </w:rPr>
                  </w:pPr>
                </w:p>
              </w:tc>
            </w:tr>
            <w:tr w14:paraId="4786DB09">
              <w:trPr>
                <w:trHeight w:val="397" w:hRule="exact"/>
                <w:jc w:val="center"/>
              </w:trPr>
              <w:tc>
                <w:tcPr>
                  <w:tcW w:w="440" w:type="pct"/>
                  <w:noWrap w:val="0"/>
                  <w:vAlign w:val="center"/>
                </w:tcPr>
                <w:p w14:paraId="3833F193">
                  <w:pPr>
                    <w:numPr>
                      <w:ilvl w:val="0"/>
                      <w:numId w:val="8"/>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1942F622">
                  <w:pPr>
                    <w:jc w:val="center"/>
                    <w:rPr>
                      <w:rFonts w:hint="default" w:ascii="Times New Roman" w:hAnsi="Times New Roman" w:cs="Times New Roman"/>
                      <w:color w:val="auto"/>
                      <w:sz w:val="21"/>
                      <w:szCs w:val="21"/>
                    </w:rPr>
                  </w:pPr>
                </w:p>
              </w:tc>
              <w:tc>
                <w:tcPr>
                  <w:tcW w:w="1078" w:type="pct"/>
                  <w:noWrap w:val="0"/>
                  <w:vAlign w:val="center"/>
                </w:tcPr>
                <w:p w14:paraId="126057DF">
                  <w:pPr>
                    <w:jc w:val="center"/>
                    <w:rPr>
                      <w:rFonts w:hint="default" w:ascii="Times New Roman" w:hAnsi="Times New Roman" w:cs="Times New Roman"/>
                      <w:color w:val="auto"/>
                      <w:kern w:val="2"/>
                      <w:sz w:val="21"/>
                      <w:szCs w:val="21"/>
                      <w:lang w:val="en-US" w:eastAsia="zh-CN" w:bidi="ar-SA"/>
                    </w:rPr>
                  </w:pPr>
                </w:p>
              </w:tc>
              <w:tc>
                <w:tcPr>
                  <w:tcW w:w="582" w:type="pct"/>
                  <w:noWrap w:val="0"/>
                  <w:vAlign w:val="center"/>
                </w:tcPr>
                <w:p w14:paraId="041EFAC2">
                  <w:pPr>
                    <w:jc w:val="center"/>
                    <w:rPr>
                      <w:rFonts w:hint="default" w:ascii="Times New Roman" w:hAnsi="Times New Roman" w:cs="Times New Roman"/>
                      <w:color w:val="auto"/>
                      <w:sz w:val="21"/>
                      <w:szCs w:val="21"/>
                      <w:lang w:val="en-US" w:eastAsia="zh-CN"/>
                    </w:rPr>
                  </w:pPr>
                </w:p>
              </w:tc>
              <w:tc>
                <w:tcPr>
                  <w:tcW w:w="695" w:type="pct"/>
                  <w:noWrap w:val="0"/>
                  <w:vAlign w:val="center"/>
                </w:tcPr>
                <w:p w14:paraId="134CAA80">
                  <w:pPr>
                    <w:jc w:val="center"/>
                    <w:rPr>
                      <w:rFonts w:hint="default" w:ascii="Times New Roman" w:hAnsi="Times New Roman" w:cs="Times New Roman"/>
                      <w:color w:val="auto"/>
                      <w:sz w:val="21"/>
                      <w:szCs w:val="21"/>
                      <w:lang w:val="en-US" w:eastAsia="zh-CN"/>
                    </w:rPr>
                  </w:pPr>
                </w:p>
              </w:tc>
              <w:tc>
                <w:tcPr>
                  <w:tcW w:w="709" w:type="pct"/>
                  <w:noWrap w:val="0"/>
                  <w:vAlign w:val="center"/>
                </w:tcPr>
                <w:p w14:paraId="5E4422EF">
                  <w:pPr>
                    <w:jc w:val="center"/>
                    <w:rPr>
                      <w:rFonts w:hint="default" w:ascii="Times New Roman" w:hAnsi="Times New Roman" w:cs="Times New Roman"/>
                      <w:color w:val="auto"/>
                      <w:szCs w:val="21"/>
                      <w:lang w:val="en-US" w:eastAsia="zh-CN"/>
                    </w:rPr>
                  </w:pPr>
                </w:p>
              </w:tc>
            </w:tr>
            <w:tr w14:paraId="5A35C966">
              <w:trPr>
                <w:trHeight w:val="397" w:hRule="exact"/>
                <w:jc w:val="center"/>
              </w:trPr>
              <w:tc>
                <w:tcPr>
                  <w:tcW w:w="440" w:type="pct"/>
                  <w:noWrap w:val="0"/>
                  <w:vAlign w:val="center"/>
                </w:tcPr>
                <w:p w14:paraId="32134554">
                  <w:pPr>
                    <w:numPr>
                      <w:ilvl w:val="0"/>
                      <w:numId w:val="8"/>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437B07DC">
                  <w:pPr>
                    <w:jc w:val="center"/>
                    <w:rPr>
                      <w:rFonts w:hint="default" w:ascii="Times New Roman" w:hAnsi="Times New Roman" w:cs="Times New Roman"/>
                      <w:color w:val="auto"/>
                      <w:sz w:val="21"/>
                      <w:szCs w:val="21"/>
                    </w:rPr>
                  </w:pPr>
                </w:p>
              </w:tc>
              <w:tc>
                <w:tcPr>
                  <w:tcW w:w="1078" w:type="pct"/>
                  <w:noWrap w:val="0"/>
                  <w:vAlign w:val="center"/>
                </w:tcPr>
                <w:p w14:paraId="250994E8">
                  <w:pPr>
                    <w:jc w:val="center"/>
                    <w:rPr>
                      <w:rFonts w:hint="default" w:ascii="Times New Roman" w:hAnsi="Times New Roman" w:cs="Times New Roman"/>
                      <w:color w:val="auto"/>
                      <w:kern w:val="2"/>
                      <w:sz w:val="21"/>
                      <w:szCs w:val="21"/>
                      <w:lang w:val="en-US" w:eastAsia="zh-CN" w:bidi="ar-SA"/>
                    </w:rPr>
                  </w:pPr>
                </w:p>
              </w:tc>
              <w:tc>
                <w:tcPr>
                  <w:tcW w:w="582" w:type="pct"/>
                  <w:noWrap w:val="0"/>
                  <w:vAlign w:val="center"/>
                </w:tcPr>
                <w:p w14:paraId="79B0AE63">
                  <w:pPr>
                    <w:jc w:val="center"/>
                    <w:rPr>
                      <w:rFonts w:hint="default" w:ascii="Times New Roman" w:hAnsi="Times New Roman" w:cs="Times New Roman"/>
                      <w:color w:val="auto"/>
                      <w:sz w:val="21"/>
                      <w:szCs w:val="21"/>
                      <w:lang w:val="en-US" w:eastAsia="zh-CN"/>
                    </w:rPr>
                  </w:pPr>
                </w:p>
              </w:tc>
              <w:tc>
                <w:tcPr>
                  <w:tcW w:w="695" w:type="pct"/>
                  <w:noWrap w:val="0"/>
                  <w:vAlign w:val="center"/>
                </w:tcPr>
                <w:p w14:paraId="7622140F">
                  <w:pPr>
                    <w:jc w:val="center"/>
                    <w:rPr>
                      <w:rFonts w:hint="default" w:ascii="Times New Roman" w:hAnsi="Times New Roman" w:cs="Times New Roman"/>
                      <w:color w:val="auto"/>
                      <w:sz w:val="21"/>
                      <w:szCs w:val="21"/>
                      <w:lang w:val="en-US" w:eastAsia="zh-CN"/>
                    </w:rPr>
                  </w:pPr>
                </w:p>
              </w:tc>
              <w:tc>
                <w:tcPr>
                  <w:tcW w:w="709" w:type="pct"/>
                  <w:noWrap w:val="0"/>
                  <w:vAlign w:val="center"/>
                </w:tcPr>
                <w:p w14:paraId="04E3E488">
                  <w:pPr>
                    <w:jc w:val="center"/>
                    <w:rPr>
                      <w:rFonts w:hint="default" w:ascii="Times New Roman" w:hAnsi="Times New Roman" w:cs="Times New Roman"/>
                      <w:color w:val="auto"/>
                      <w:szCs w:val="21"/>
                      <w:lang w:val="en-US" w:eastAsia="zh-CN"/>
                    </w:rPr>
                  </w:pPr>
                </w:p>
              </w:tc>
            </w:tr>
            <w:tr w14:paraId="3B027AC3">
              <w:trPr>
                <w:trHeight w:val="397" w:hRule="exact"/>
                <w:jc w:val="center"/>
              </w:trPr>
              <w:tc>
                <w:tcPr>
                  <w:tcW w:w="440" w:type="pct"/>
                  <w:noWrap w:val="0"/>
                  <w:vAlign w:val="center"/>
                </w:tcPr>
                <w:p w14:paraId="2A51AADD">
                  <w:pPr>
                    <w:numPr>
                      <w:ilvl w:val="0"/>
                      <w:numId w:val="8"/>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0EFAD0D2">
                  <w:pPr>
                    <w:jc w:val="center"/>
                    <w:rPr>
                      <w:rFonts w:hint="default" w:ascii="Times New Roman" w:hAnsi="Times New Roman" w:cs="Times New Roman"/>
                      <w:color w:val="auto"/>
                      <w:sz w:val="21"/>
                      <w:szCs w:val="21"/>
                    </w:rPr>
                  </w:pPr>
                </w:p>
              </w:tc>
              <w:tc>
                <w:tcPr>
                  <w:tcW w:w="1078" w:type="pct"/>
                  <w:noWrap w:val="0"/>
                  <w:vAlign w:val="center"/>
                </w:tcPr>
                <w:p w14:paraId="68297BB6">
                  <w:pPr>
                    <w:jc w:val="center"/>
                    <w:rPr>
                      <w:rFonts w:hint="default" w:ascii="Times New Roman" w:hAnsi="Times New Roman" w:cs="Times New Roman"/>
                      <w:color w:val="auto"/>
                      <w:kern w:val="2"/>
                      <w:sz w:val="21"/>
                      <w:szCs w:val="21"/>
                      <w:lang w:val="en-US" w:eastAsia="zh-CN" w:bidi="ar-SA"/>
                    </w:rPr>
                  </w:pPr>
                </w:p>
              </w:tc>
              <w:tc>
                <w:tcPr>
                  <w:tcW w:w="582" w:type="pct"/>
                  <w:noWrap w:val="0"/>
                  <w:vAlign w:val="center"/>
                </w:tcPr>
                <w:p w14:paraId="52C0A98E">
                  <w:pPr>
                    <w:jc w:val="center"/>
                    <w:rPr>
                      <w:rFonts w:hint="default" w:ascii="Times New Roman" w:hAnsi="Times New Roman" w:cs="Times New Roman"/>
                      <w:color w:val="auto"/>
                      <w:sz w:val="21"/>
                      <w:szCs w:val="21"/>
                      <w:lang w:val="en-US" w:eastAsia="zh-CN"/>
                    </w:rPr>
                  </w:pPr>
                </w:p>
              </w:tc>
              <w:tc>
                <w:tcPr>
                  <w:tcW w:w="695" w:type="pct"/>
                  <w:noWrap w:val="0"/>
                  <w:vAlign w:val="center"/>
                </w:tcPr>
                <w:p w14:paraId="6A10B9F6">
                  <w:pPr>
                    <w:jc w:val="center"/>
                    <w:rPr>
                      <w:rFonts w:hint="default" w:ascii="Times New Roman" w:hAnsi="Times New Roman" w:eastAsia="宋体" w:cs="Times New Roman"/>
                      <w:color w:val="auto"/>
                      <w:sz w:val="21"/>
                      <w:szCs w:val="21"/>
                      <w:lang w:val="en-US" w:eastAsia="zh-CN"/>
                    </w:rPr>
                  </w:pPr>
                </w:p>
              </w:tc>
              <w:tc>
                <w:tcPr>
                  <w:tcW w:w="709" w:type="pct"/>
                  <w:noWrap w:val="0"/>
                  <w:vAlign w:val="center"/>
                </w:tcPr>
                <w:p w14:paraId="3BB05139">
                  <w:pPr>
                    <w:jc w:val="center"/>
                    <w:rPr>
                      <w:rFonts w:hint="default" w:ascii="Times New Roman" w:hAnsi="Times New Roman" w:cs="Times New Roman"/>
                      <w:color w:val="auto"/>
                      <w:szCs w:val="21"/>
                      <w:lang w:val="en-US" w:eastAsia="zh-CN"/>
                    </w:rPr>
                  </w:pPr>
                </w:p>
              </w:tc>
            </w:tr>
            <w:tr w14:paraId="6A8EAB7C">
              <w:trPr>
                <w:trHeight w:val="397" w:hRule="exact"/>
                <w:jc w:val="center"/>
              </w:trPr>
              <w:tc>
                <w:tcPr>
                  <w:tcW w:w="440" w:type="pct"/>
                  <w:noWrap w:val="0"/>
                  <w:vAlign w:val="center"/>
                </w:tcPr>
                <w:p w14:paraId="09EA6E3F">
                  <w:pPr>
                    <w:numPr>
                      <w:ilvl w:val="0"/>
                      <w:numId w:val="8"/>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76E295F5">
                  <w:pPr>
                    <w:jc w:val="center"/>
                    <w:rPr>
                      <w:rFonts w:hint="default" w:ascii="Times New Roman" w:hAnsi="Times New Roman" w:cs="Times New Roman"/>
                      <w:color w:val="auto"/>
                      <w:sz w:val="21"/>
                      <w:szCs w:val="21"/>
                    </w:rPr>
                  </w:pPr>
                </w:p>
              </w:tc>
              <w:tc>
                <w:tcPr>
                  <w:tcW w:w="1078" w:type="pct"/>
                  <w:noWrap w:val="0"/>
                  <w:vAlign w:val="center"/>
                </w:tcPr>
                <w:p w14:paraId="55851548">
                  <w:pPr>
                    <w:jc w:val="center"/>
                    <w:rPr>
                      <w:rFonts w:hint="default" w:ascii="Times New Roman" w:hAnsi="Times New Roman" w:cs="Times New Roman"/>
                      <w:color w:val="auto"/>
                      <w:kern w:val="2"/>
                      <w:sz w:val="21"/>
                      <w:szCs w:val="21"/>
                      <w:lang w:val="en-US" w:eastAsia="zh-CN" w:bidi="ar-SA"/>
                    </w:rPr>
                  </w:pPr>
                </w:p>
              </w:tc>
              <w:tc>
                <w:tcPr>
                  <w:tcW w:w="582" w:type="pct"/>
                  <w:noWrap w:val="0"/>
                  <w:vAlign w:val="center"/>
                </w:tcPr>
                <w:p w14:paraId="5A00D50F">
                  <w:pPr>
                    <w:jc w:val="center"/>
                    <w:rPr>
                      <w:rFonts w:hint="default" w:ascii="Times New Roman" w:hAnsi="Times New Roman" w:cs="Times New Roman"/>
                      <w:color w:val="auto"/>
                      <w:sz w:val="21"/>
                      <w:szCs w:val="21"/>
                      <w:lang w:val="en-US" w:eastAsia="zh-CN"/>
                    </w:rPr>
                  </w:pPr>
                </w:p>
              </w:tc>
              <w:tc>
                <w:tcPr>
                  <w:tcW w:w="695" w:type="pct"/>
                  <w:noWrap w:val="0"/>
                  <w:vAlign w:val="center"/>
                </w:tcPr>
                <w:p w14:paraId="68480E4E">
                  <w:pPr>
                    <w:jc w:val="center"/>
                    <w:rPr>
                      <w:rFonts w:hint="default" w:ascii="Times New Roman" w:hAnsi="Times New Roman" w:cs="Times New Roman"/>
                      <w:color w:val="auto"/>
                      <w:sz w:val="21"/>
                      <w:szCs w:val="21"/>
                      <w:lang w:val="en-US" w:eastAsia="zh-CN"/>
                    </w:rPr>
                  </w:pPr>
                </w:p>
              </w:tc>
              <w:tc>
                <w:tcPr>
                  <w:tcW w:w="709" w:type="pct"/>
                  <w:noWrap w:val="0"/>
                  <w:vAlign w:val="center"/>
                </w:tcPr>
                <w:p w14:paraId="1A8D6A8F">
                  <w:pPr>
                    <w:jc w:val="center"/>
                    <w:rPr>
                      <w:rFonts w:hint="default" w:ascii="Times New Roman" w:hAnsi="Times New Roman" w:cs="Times New Roman"/>
                      <w:color w:val="auto"/>
                      <w:szCs w:val="21"/>
                      <w:lang w:val="en-US" w:eastAsia="zh-CN"/>
                    </w:rPr>
                  </w:pPr>
                </w:p>
              </w:tc>
            </w:tr>
            <w:tr w14:paraId="155A0B21">
              <w:trPr>
                <w:trHeight w:val="397" w:hRule="exact"/>
                <w:jc w:val="center"/>
              </w:trPr>
              <w:tc>
                <w:tcPr>
                  <w:tcW w:w="440" w:type="pct"/>
                  <w:noWrap w:val="0"/>
                  <w:vAlign w:val="center"/>
                </w:tcPr>
                <w:p w14:paraId="214F9552">
                  <w:pPr>
                    <w:numPr>
                      <w:ilvl w:val="0"/>
                      <w:numId w:val="8"/>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7E0E2522">
                  <w:pPr>
                    <w:jc w:val="center"/>
                    <w:rPr>
                      <w:rFonts w:hint="default" w:ascii="Times New Roman" w:hAnsi="Times New Roman" w:cs="Times New Roman"/>
                      <w:color w:val="auto"/>
                      <w:sz w:val="21"/>
                      <w:szCs w:val="21"/>
                    </w:rPr>
                  </w:pPr>
                </w:p>
              </w:tc>
              <w:tc>
                <w:tcPr>
                  <w:tcW w:w="1078" w:type="pct"/>
                  <w:noWrap w:val="0"/>
                  <w:vAlign w:val="center"/>
                </w:tcPr>
                <w:p w14:paraId="2D83D49D">
                  <w:pPr>
                    <w:jc w:val="center"/>
                    <w:rPr>
                      <w:rFonts w:hint="default" w:ascii="Times New Roman" w:hAnsi="Times New Roman" w:cs="Times New Roman"/>
                      <w:color w:val="auto"/>
                      <w:kern w:val="2"/>
                      <w:sz w:val="21"/>
                      <w:szCs w:val="21"/>
                      <w:lang w:val="en-US" w:eastAsia="zh-CN" w:bidi="ar-SA"/>
                    </w:rPr>
                  </w:pPr>
                </w:p>
              </w:tc>
              <w:tc>
                <w:tcPr>
                  <w:tcW w:w="582" w:type="pct"/>
                  <w:noWrap w:val="0"/>
                  <w:vAlign w:val="center"/>
                </w:tcPr>
                <w:p w14:paraId="15D964F5">
                  <w:pPr>
                    <w:jc w:val="center"/>
                    <w:rPr>
                      <w:rFonts w:hint="default" w:ascii="Times New Roman" w:hAnsi="Times New Roman" w:cs="Times New Roman"/>
                      <w:color w:val="auto"/>
                      <w:sz w:val="21"/>
                      <w:szCs w:val="21"/>
                      <w:lang w:val="en-US" w:eastAsia="zh-CN"/>
                    </w:rPr>
                  </w:pPr>
                </w:p>
              </w:tc>
              <w:tc>
                <w:tcPr>
                  <w:tcW w:w="695" w:type="pct"/>
                  <w:noWrap w:val="0"/>
                  <w:vAlign w:val="center"/>
                </w:tcPr>
                <w:p w14:paraId="619F109A">
                  <w:pPr>
                    <w:jc w:val="center"/>
                    <w:rPr>
                      <w:rFonts w:hint="default" w:ascii="Times New Roman" w:hAnsi="Times New Roman" w:cs="Times New Roman"/>
                      <w:color w:val="auto"/>
                      <w:sz w:val="21"/>
                      <w:szCs w:val="21"/>
                      <w:lang w:val="en-US" w:eastAsia="zh-CN"/>
                    </w:rPr>
                  </w:pPr>
                </w:p>
              </w:tc>
              <w:tc>
                <w:tcPr>
                  <w:tcW w:w="709" w:type="pct"/>
                  <w:noWrap w:val="0"/>
                  <w:vAlign w:val="center"/>
                </w:tcPr>
                <w:p w14:paraId="0425FD27">
                  <w:pPr>
                    <w:jc w:val="center"/>
                    <w:rPr>
                      <w:rFonts w:hint="default" w:ascii="Times New Roman" w:hAnsi="Times New Roman" w:cs="Times New Roman"/>
                      <w:color w:val="auto"/>
                      <w:szCs w:val="21"/>
                      <w:lang w:val="en-US" w:eastAsia="zh-CN"/>
                    </w:rPr>
                  </w:pPr>
                </w:p>
              </w:tc>
            </w:tr>
            <w:tr w14:paraId="0ED0F1CF">
              <w:trPr>
                <w:trHeight w:val="397" w:hRule="exact"/>
                <w:jc w:val="center"/>
              </w:trPr>
              <w:tc>
                <w:tcPr>
                  <w:tcW w:w="440" w:type="pct"/>
                  <w:noWrap w:val="0"/>
                  <w:vAlign w:val="center"/>
                </w:tcPr>
                <w:p w14:paraId="1238D4A6">
                  <w:pPr>
                    <w:numPr>
                      <w:ilvl w:val="0"/>
                      <w:numId w:val="8"/>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38BC5561">
                  <w:pPr>
                    <w:jc w:val="center"/>
                    <w:rPr>
                      <w:rFonts w:hint="default" w:ascii="Times New Roman" w:hAnsi="Times New Roman" w:cs="Times New Roman"/>
                      <w:color w:val="auto"/>
                      <w:sz w:val="21"/>
                      <w:szCs w:val="21"/>
                    </w:rPr>
                  </w:pPr>
                </w:p>
              </w:tc>
              <w:tc>
                <w:tcPr>
                  <w:tcW w:w="1078" w:type="pct"/>
                  <w:noWrap w:val="0"/>
                  <w:vAlign w:val="center"/>
                </w:tcPr>
                <w:p w14:paraId="0EC7EB58">
                  <w:pPr>
                    <w:jc w:val="center"/>
                    <w:rPr>
                      <w:rFonts w:hint="default" w:ascii="Times New Roman" w:hAnsi="Times New Roman" w:cs="Times New Roman"/>
                      <w:color w:val="auto"/>
                      <w:kern w:val="2"/>
                      <w:sz w:val="21"/>
                      <w:szCs w:val="21"/>
                      <w:lang w:val="en-US" w:eastAsia="zh-CN" w:bidi="ar-SA"/>
                    </w:rPr>
                  </w:pPr>
                </w:p>
              </w:tc>
              <w:tc>
                <w:tcPr>
                  <w:tcW w:w="582" w:type="pct"/>
                  <w:noWrap w:val="0"/>
                  <w:vAlign w:val="center"/>
                </w:tcPr>
                <w:p w14:paraId="726A6D34">
                  <w:pPr>
                    <w:jc w:val="center"/>
                    <w:rPr>
                      <w:rFonts w:hint="default" w:ascii="Times New Roman" w:hAnsi="Times New Roman" w:cs="Times New Roman"/>
                      <w:color w:val="auto"/>
                      <w:sz w:val="21"/>
                      <w:szCs w:val="21"/>
                      <w:lang w:val="en-US" w:eastAsia="zh-CN"/>
                    </w:rPr>
                  </w:pPr>
                </w:p>
              </w:tc>
              <w:tc>
                <w:tcPr>
                  <w:tcW w:w="695" w:type="pct"/>
                  <w:noWrap w:val="0"/>
                  <w:vAlign w:val="center"/>
                </w:tcPr>
                <w:p w14:paraId="724372F6">
                  <w:pPr>
                    <w:jc w:val="center"/>
                    <w:rPr>
                      <w:rFonts w:hint="default" w:ascii="Times New Roman" w:hAnsi="Times New Roman" w:cs="Times New Roman"/>
                      <w:color w:val="auto"/>
                      <w:sz w:val="21"/>
                      <w:szCs w:val="21"/>
                      <w:lang w:val="en-US" w:eastAsia="zh-CN"/>
                    </w:rPr>
                  </w:pPr>
                </w:p>
              </w:tc>
              <w:tc>
                <w:tcPr>
                  <w:tcW w:w="709" w:type="pct"/>
                  <w:noWrap w:val="0"/>
                  <w:vAlign w:val="center"/>
                </w:tcPr>
                <w:p w14:paraId="34A70071">
                  <w:pPr>
                    <w:jc w:val="center"/>
                    <w:rPr>
                      <w:rFonts w:hint="default" w:ascii="Times New Roman" w:hAnsi="Times New Roman" w:cs="Times New Roman"/>
                      <w:color w:val="auto"/>
                      <w:szCs w:val="21"/>
                      <w:lang w:val="en-US" w:eastAsia="zh-CN"/>
                    </w:rPr>
                  </w:pPr>
                </w:p>
              </w:tc>
            </w:tr>
            <w:tr w14:paraId="4F1BED37">
              <w:trPr>
                <w:trHeight w:val="397" w:hRule="exact"/>
                <w:jc w:val="center"/>
              </w:trPr>
              <w:tc>
                <w:tcPr>
                  <w:tcW w:w="440" w:type="pct"/>
                  <w:noWrap w:val="0"/>
                  <w:vAlign w:val="center"/>
                </w:tcPr>
                <w:p w14:paraId="1BC0FFD7">
                  <w:pPr>
                    <w:numPr>
                      <w:ilvl w:val="0"/>
                      <w:numId w:val="8"/>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329099EC">
                  <w:pPr>
                    <w:jc w:val="center"/>
                    <w:rPr>
                      <w:rFonts w:hint="default" w:ascii="Times New Roman" w:hAnsi="Times New Roman" w:cs="Times New Roman"/>
                      <w:color w:val="auto"/>
                      <w:sz w:val="21"/>
                      <w:szCs w:val="21"/>
                    </w:rPr>
                  </w:pPr>
                </w:p>
              </w:tc>
              <w:tc>
                <w:tcPr>
                  <w:tcW w:w="1078" w:type="pct"/>
                  <w:noWrap w:val="0"/>
                  <w:vAlign w:val="center"/>
                </w:tcPr>
                <w:p w14:paraId="6F93AB7F">
                  <w:pPr>
                    <w:jc w:val="center"/>
                    <w:rPr>
                      <w:rFonts w:hint="default" w:ascii="Times New Roman" w:hAnsi="Times New Roman" w:cs="Times New Roman"/>
                      <w:color w:val="auto"/>
                      <w:kern w:val="2"/>
                      <w:sz w:val="21"/>
                      <w:szCs w:val="21"/>
                      <w:lang w:val="en-US" w:eastAsia="zh-CN" w:bidi="ar-SA"/>
                    </w:rPr>
                  </w:pPr>
                </w:p>
              </w:tc>
              <w:tc>
                <w:tcPr>
                  <w:tcW w:w="582" w:type="pct"/>
                  <w:noWrap w:val="0"/>
                  <w:vAlign w:val="center"/>
                </w:tcPr>
                <w:p w14:paraId="44ECE208">
                  <w:pPr>
                    <w:jc w:val="center"/>
                    <w:rPr>
                      <w:rFonts w:hint="default" w:ascii="Times New Roman" w:hAnsi="Times New Roman" w:cs="Times New Roman"/>
                      <w:color w:val="auto"/>
                      <w:sz w:val="21"/>
                      <w:szCs w:val="21"/>
                      <w:lang w:val="en-US" w:eastAsia="zh-CN"/>
                    </w:rPr>
                  </w:pPr>
                </w:p>
              </w:tc>
              <w:tc>
                <w:tcPr>
                  <w:tcW w:w="695" w:type="pct"/>
                  <w:noWrap w:val="0"/>
                  <w:vAlign w:val="center"/>
                </w:tcPr>
                <w:p w14:paraId="6A892277">
                  <w:pPr>
                    <w:jc w:val="center"/>
                    <w:rPr>
                      <w:rFonts w:hint="default" w:ascii="Times New Roman" w:hAnsi="Times New Roman" w:cs="Times New Roman"/>
                      <w:color w:val="auto"/>
                      <w:sz w:val="21"/>
                      <w:szCs w:val="21"/>
                      <w:lang w:val="en-US" w:eastAsia="zh-CN"/>
                    </w:rPr>
                  </w:pPr>
                </w:p>
              </w:tc>
              <w:tc>
                <w:tcPr>
                  <w:tcW w:w="709" w:type="pct"/>
                  <w:noWrap w:val="0"/>
                  <w:vAlign w:val="center"/>
                </w:tcPr>
                <w:p w14:paraId="6FFF0B2B">
                  <w:pPr>
                    <w:jc w:val="center"/>
                    <w:rPr>
                      <w:rFonts w:hint="default" w:ascii="Times New Roman" w:hAnsi="Times New Roman" w:cs="Times New Roman"/>
                      <w:color w:val="auto"/>
                      <w:szCs w:val="21"/>
                      <w:lang w:val="en-US" w:eastAsia="zh-CN"/>
                    </w:rPr>
                  </w:pPr>
                </w:p>
              </w:tc>
            </w:tr>
            <w:tr w14:paraId="6C6D1C45">
              <w:trPr>
                <w:trHeight w:val="397" w:hRule="exact"/>
                <w:jc w:val="center"/>
              </w:trPr>
              <w:tc>
                <w:tcPr>
                  <w:tcW w:w="5000" w:type="pct"/>
                  <w:gridSpan w:val="6"/>
                  <w:noWrap w:val="0"/>
                  <w:vAlign w:val="center"/>
                </w:tcPr>
                <w:p w14:paraId="4F7FEE7F">
                  <w:pPr>
                    <w:jc w:val="center"/>
                    <w:rPr>
                      <w:rFonts w:hint="default" w:ascii="Times New Roman" w:hAnsi="Times New Roman" w:cs="Times New Roman"/>
                      <w:color w:val="auto"/>
                      <w:szCs w:val="21"/>
                      <w:lang w:val="en-US" w:eastAsia="zh-CN"/>
                    </w:rPr>
                  </w:pPr>
                </w:p>
              </w:tc>
            </w:tr>
            <w:tr w14:paraId="51920C1A">
              <w:trPr>
                <w:trHeight w:val="397" w:hRule="exact"/>
                <w:jc w:val="center"/>
              </w:trPr>
              <w:tc>
                <w:tcPr>
                  <w:tcW w:w="440" w:type="pct"/>
                  <w:noWrap w:val="0"/>
                  <w:vAlign w:val="center"/>
                </w:tcPr>
                <w:p w14:paraId="61D41FBB">
                  <w:pPr>
                    <w:numPr>
                      <w:ilvl w:val="0"/>
                      <w:numId w:val="9"/>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7374A4D4">
                  <w:pPr>
                    <w:widowControl/>
                    <w:jc w:val="center"/>
                    <w:rPr>
                      <w:rFonts w:hint="default" w:ascii="Times New Roman" w:hAnsi="Times New Roman" w:cs="Times New Roman"/>
                      <w:bCs/>
                      <w:color w:val="auto"/>
                      <w:sz w:val="21"/>
                      <w:szCs w:val="21"/>
                    </w:rPr>
                  </w:pPr>
                </w:p>
              </w:tc>
              <w:tc>
                <w:tcPr>
                  <w:tcW w:w="1078" w:type="pct"/>
                  <w:noWrap w:val="0"/>
                  <w:vAlign w:val="center"/>
                </w:tcPr>
                <w:p w14:paraId="387C703C">
                  <w:pPr>
                    <w:widowControl/>
                    <w:jc w:val="center"/>
                    <w:rPr>
                      <w:rFonts w:hint="default" w:ascii="Times New Roman" w:hAnsi="Times New Roman" w:cs="Times New Roman"/>
                      <w:color w:val="auto"/>
                      <w:kern w:val="2"/>
                      <w:sz w:val="21"/>
                      <w:szCs w:val="21"/>
                      <w:lang w:val="en-US" w:eastAsia="zh-CN" w:bidi="ar-SA"/>
                    </w:rPr>
                  </w:pPr>
                </w:p>
              </w:tc>
              <w:tc>
                <w:tcPr>
                  <w:tcW w:w="582" w:type="pct"/>
                  <w:noWrap w:val="0"/>
                  <w:vAlign w:val="center"/>
                </w:tcPr>
                <w:p w14:paraId="1FF1C6EC">
                  <w:pPr>
                    <w:widowControl/>
                    <w:jc w:val="center"/>
                    <w:rPr>
                      <w:rFonts w:hint="default" w:ascii="Times New Roman" w:hAnsi="Times New Roman" w:cs="Times New Roman"/>
                      <w:bCs/>
                      <w:color w:val="auto"/>
                      <w:sz w:val="21"/>
                      <w:szCs w:val="21"/>
                    </w:rPr>
                  </w:pPr>
                </w:p>
              </w:tc>
              <w:tc>
                <w:tcPr>
                  <w:tcW w:w="695" w:type="pct"/>
                  <w:noWrap w:val="0"/>
                  <w:vAlign w:val="center"/>
                </w:tcPr>
                <w:p w14:paraId="78D9E1B0">
                  <w:pPr>
                    <w:jc w:val="center"/>
                    <w:rPr>
                      <w:rFonts w:hint="default" w:ascii="Times New Roman" w:hAnsi="Times New Roman" w:cs="Times New Roman"/>
                      <w:bCs/>
                      <w:color w:val="auto"/>
                      <w:sz w:val="21"/>
                      <w:szCs w:val="21"/>
                    </w:rPr>
                  </w:pPr>
                </w:p>
              </w:tc>
              <w:tc>
                <w:tcPr>
                  <w:tcW w:w="709" w:type="pct"/>
                  <w:noWrap w:val="0"/>
                  <w:vAlign w:val="center"/>
                </w:tcPr>
                <w:p w14:paraId="4D9B7449">
                  <w:pPr>
                    <w:jc w:val="center"/>
                    <w:rPr>
                      <w:rFonts w:hint="default" w:ascii="Times New Roman" w:hAnsi="Times New Roman" w:cs="Times New Roman"/>
                      <w:color w:val="auto"/>
                      <w:szCs w:val="21"/>
                      <w:lang w:val="en-US" w:eastAsia="zh-CN"/>
                    </w:rPr>
                  </w:pPr>
                </w:p>
              </w:tc>
            </w:tr>
            <w:tr w14:paraId="46FC6602">
              <w:trPr>
                <w:trHeight w:val="397" w:hRule="exact"/>
                <w:jc w:val="center"/>
              </w:trPr>
              <w:tc>
                <w:tcPr>
                  <w:tcW w:w="440" w:type="pct"/>
                  <w:noWrap w:val="0"/>
                  <w:vAlign w:val="center"/>
                </w:tcPr>
                <w:p w14:paraId="45415EB3">
                  <w:pPr>
                    <w:numPr>
                      <w:ilvl w:val="0"/>
                      <w:numId w:val="9"/>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082A43D2">
                  <w:pPr>
                    <w:jc w:val="center"/>
                    <w:rPr>
                      <w:rFonts w:hint="default" w:ascii="Times New Roman" w:hAnsi="Times New Roman" w:cs="Times New Roman"/>
                      <w:bCs/>
                      <w:color w:val="auto"/>
                      <w:sz w:val="21"/>
                      <w:szCs w:val="21"/>
                    </w:rPr>
                  </w:pPr>
                </w:p>
              </w:tc>
              <w:tc>
                <w:tcPr>
                  <w:tcW w:w="1078" w:type="pct"/>
                  <w:noWrap w:val="0"/>
                  <w:vAlign w:val="center"/>
                </w:tcPr>
                <w:p w14:paraId="2671FAEB">
                  <w:pPr>
                    <w:jc w:val="center"/>
                    <w:rPr>
                      <w:rFonts w:hint="default" w:ascii="Times New Roman" w:hAnsi="Times New Roman" w:cs="Times New Roman"/>
                      <w:color w:val="auto"/>
                      <w:kern w:val="2"/>
                      <w:sz w:val="21"/>
                      <w:szCs w:val="21"/>
                      <w:lang w:val="en-US" w:eastAsia="zh-CN" w:bidi="ar-SA"/>
                    </w:rPr>
                  </w:pPr>
                </w:p>
              </w:tc>
              <w:tc>
                <w:tcPr>
                  <w:tcW w:w="582" w:type="pct"/>
                  <w:noWrap w:val="0"/>
                  <w:vAlign w:val="center"/>
                </w:tcPr>
                <w:p w14:paraId="3A3E915D">
                  <w:pPr>
                    <w:jc w:val="center"/>
                    <w:rPr>
                      <w:rFonts w:hint="default" w:ascii="Times New Roman" w:hAnsi="Times New Roman" w:cs="Times New Roman"/>
                      <w:bCs/>
                      <w:color w:val="auto"/>
                      <w:sz w:val="21"/>
                      <w:szCs w:val="21"/>
                    </w:rPr>
                  </w:pPr>
                </w:p>
              </w:tc>
              <w:tc>
                <w:tcPr>
                  <w:tcW w:w="695" w:type="pct"/>
                  <w:noWrap w:val="0"/>
                  <w:vAlign w:val="center"/>
                </w:tcPr>
                <w:p w14:paraId="13F9841B">
                  <w:pPr>
                    <w:jc w:val="center"/>
                    <w:rPr>
                      <w:rFonts w:hint="default" w:ascii="Times New Roman" w:hAnsi="Times New Roman" w:cs="Times New Roman"/>
                      <w:bCs/>
                      <w:color w:val="auto"/>
                      <w:sz w:val="21"/>
                      <w:szCs w:val="21"/>
                    </w:rPr>
                  </w:pPr>
                </w:p>
              </w:tc>
              <w:tc>
                <w:tcPr>
                  <w:tcW w:w="709" w:type="pct"/>
                  <w:noWrap w:val="0"/>
                  <w:vAlign w:val="center"/>
                </w:tcPr>
                <w:p w14:paraId="7B7F6B17">
                  <w:pPr>
                    <w:jc w:val="center"/>
                    <w:rPr>
                      <w:rFonts w:hint="default" w:ascii="Times New Roman" w:hAnsi="Times New Roman" w:cs="Times New Roman"/>
                      <w:color w:val="auto"/>
                      <w:szCs w:val="21"/>
                      <w:lang w:val="en-US" w:eastAsia="zh-CN"/>
                    </w:rPr>
                  </w:pPr>
                </w:p>
              </w:tc>
            </w:tr>
            <w:tr w14:paraId="0334970A">
              <w:trPr>
                <w:trHeight w:val="397" w:hRule="exact"/>
                <w:jc w:val="center"/>
              </w:trPr>
              <w:tc>
                <w:tcPr>
                  <w:tcW w:w="440" w:type="pct"/>
                  <w:noWrap w:val="0"/>
                  <w:vAlign w:val="center"/>
                </w:tcPr>
                <w:p w14:paraId="408A788A">
                  <w:pPr>
                    <w:numPr>
                      <w:ilvl w:val="0"/>
                      <w:numId w:val="9"/>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597BFBB3">
                  <w:pPr>
                    <w:jc w:val="center"/>
                    <w:rPr>
                      <w:rFonts w:hint="default" w:ascii="Times New Roman" w:hAnsi="Times New Roman" w:eastAsia="宋体" w:cs="Times New Roman"/>
                      <w:bCs/>
                      <w:color w:val="auto"/>
                      <w:sz w:val="21"/>
                      <w:szCs w:val="21"/>
                      <w:lang w:val="en-US" w:eastAsia="zh-CN"/>
                    </w:rPr>
                  </w:pPr>
                </w:p>
              </w:tc>
              <w:tc>
                <w:tcPr>
                  <w:tcW w:w="1078" w:type="pct"/>
                  <w:noWrap w:val="0"/>
                  <w:vAlign w:val="center"/>
                </w:tcPr>
                <w:p w14:paraId="76D86335">
                  <w:pPr>
                    <w:jc w:val="center"/>
                    <w:rPr>
                      <w:rFonts w:hint="default" w:ascii="Times New Roman" w:hAnsi="Times New Roman" w:cs="Times New Roman"/>
                      <w:color w:val="auto"/>
                      <w:kern w:val="2"/>
                      <w:sz w:val="21"/>
                      <w:szCs w:val="21"/>
                      <w:lang w:val="en-US" w:eastAsia="zh-CN" w:bidi="ar-SA"/>
                    </w:rPr>
                  </w:pPr>
                </w:p>
              </w:tc>
              <w:tc>
                <w:tcPr>
                  <w:tcW w:w="582" w:type="pct"/>
                  <w:noWrap w:val="0"/>
                  <w:vAlign w:val="center"/>
                </w:tcPr>
                <w:p w14:paraId="15502360">
                  <w:pPr>
                    <w:jc w:val="center"/>
                    <w:rPr>
                      <w:rFonts w:hint="default" w:ascii="Times New Roman" w:hAnsi="Times New Roman" w:cs="Times New Roman"/>
                      <w:bCs/>
                      <w:color w:val="auto"/>
                      <w:sz w:val="21"/>
                      <w:szCs w:val="21"/>
                    </w:rPr>
                  </w:pPr>
                </w:p>
              </w:tc>
              <w:tc>
                <w:tcPr>
                  <w:tcW w:w="695" w:type="pct"/>
                  <w:noWrap w:val="0"/>
                  <w:vAlign w:val="center"/>
                </w:tcPr>
                <w:p w14:paraId="5033157F">
                  <w:pPr>
                    <w:jc w:val="center"/>
                    <w:rPr>
                      <w:rFonts w:hint="default" w:ascii="Times New Roman" w:hAnsi="Times New Roman" w:cs="Times New Roman"/>
                      <w:bCs/>
                      <w:color w:val="auto"/>
                      <w:sz w:val="21"/>
                      <w:szCs w:val="21"/>
                    </w:rPr>
                  </w:pPr>
                </w:p>
              </w:tc>
              <w:tc>
                <w:tcPr>
                  <w:tcW w:w="709" w:type="pct"/>
                  <w:noWrap w:val="0"/>
                  <w:vAlign w:val="center"/>
                </w:tcPr>
                <w:p w14:paraId="10036E3C">
                  <w:pPr>
                    <w:jc w:val="center"/>
                    <w:rPr>
                      <w:rFonts w:hint="default" w:ascii="Times New Roman" w:hAnsi="Times New Roman" w:cs="Times New Roman"/>
                      <w:color w:val="auto"/>
                      <w:szCs w:val="21"/>
                      <w:lang w:val="en-US" w:eastAsia="zh-CN"/>
                    </w:rPr>
                  </w:pPr>
                </w:p>
              </w:tc>
            </w:tr>
            <w:tr w14:paraId="36E23935">
              <w:trPr>
                <w:trHeight w:val="397" w:hRule="exact"/>
                <w:jc w:val="center"/>
              </w:trPr>
              <w:tc>
                <w:tcPr>
                  <w:tcW w:w="440" w:type="pct"/>
                  <w:noWrap w:val="0"/>
                  <w:vAlign w:val="center"/>
                </w:tcPr>
                <w:p w14:paraId="1240E95A">
                  <w:pPr>
                    <w:numPr>
                      <w:ilvl w:val="0"/>
                      <w:numId w:val="9"/>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1585C5E6">
                  <w:pPr>
                    <w:jc w:val="center"/>
                    <w:rPr>
                      <w:rFonts w:hint="default" w:ascii="Times New Roman" w:hAnsi="Times New Roman" w:cs="Times New Roman"/>
                      <w:bCs/>
                      <w:color w:val="auto"/>
                      <w:sz w:val="21"/>
                      <w:szCs w:val="21"/>
                    </w:rPr>
                  </w:pPr>
                </w:p>
              </w:tc>
              <w:tc>
                <w:tcPr>
                  <w:tcW w:w="1078" w:type="pct"/>
                  <w:noWrap w:val="0"/>
                  <w:vAlign w:val="center"/>
                </w:tcPr>
                <w:p w14:paraId="5A39289C">
                  <w:pPr>
                    <w:jc w:val="center"/>
                    <w:rPr>
                      <w:rFonts w:hint="default" w:ascii="Times New Roman" w:hAnsi="Times New Roman" w:cs="Times New Roman"/>
                      <w:color w:val="auto"/>
                      <w:kern w:val="2"/>
                      <w:sz w:val="21"/>
                      <w:szCs w:val="21"/>
                      <w:lang w:val="en-US" w:eastAsia="zh-CN" w:bidi="ar-SA"/>
                    </w:rPr>
                  </w:pPr>
                </w:p>
              </w:tc>
              <w:tc>
                <w:tcPr>
                  <w:tcW w:w="582" w:type="pct"/>
                  <w:noWrap w:val="0"/>
                  <w:vAlign w:val="center"/>
                </w:tcPr>
                <w:p w14:paraId="6A13D917">
                  <w:pPr>
                    <w:jc w:val="center"/>
                    <w:rPr>
                      <w:rFonts w:hint="default" w:ascii="Times New Roman" w:hAnsi="Times New Roman" w:cs="Times New Roman"/>
                      <w:bCs/>
                      <w:color w:val="auto"/>
                      <w:sz w:val="21"/>
                      <w:szCs w:val="21"/>
                    </w:rPr>
                  </w:pPr>
                </w:p>
              </w:tc>
              <w:tc>
                <w:tcPr>
                  <w:tcW w:w="695" w:type="pct"/>
                  <w:noWrap w:val="0"/>
                  <w:vAlign w:val="center"/>
                </w:tcPr>
                <w:p w14:paraId="3E4B529B">
                  <w:pPr>
                    <w:jc w:val="center"/>
                    <w:rPr>
                      <w:rFonts w:hint="default" w:ascii="Times New Roman" w:hAnsi="Times New Roman" w:cs="Times New Roman"/>
                      <w:bCs/>
                      <w:color w:val="auto"/>
                      <w:sz w:val="21"/>
                      <w:szCs w:val="21"/>
                    </w:rPr>
                  </w:pPr>
                </w:p>
              </w:tc>
              <w:tc>
                <w:tcPr>
                  <w:tcW w:w="709" w:type="pct"/>
                  <w:noWrap w:val="0"/>
                  <w:vAlign w:val="center"/>
                </w:tcPr>
                <w:p w14:paraId="17B3A40D">
                  <w:pPr>
                    <w:jc w:val="center"/>
                    <w:rPr>
                      <w:rFonts w:hint="default" w:ascii="Times New Roman" w:hAnsi="Times New Roman" w:cs="Times New Roman"/>
                      <w:color w:val="auto"/>
                      <w:szCs w:val="21"/>
                      <w:lang w:val="en-US" w:eastAsia="zh-CN"/>
                    </w:rPr>
                  </w:pPr>
                </w:p>
              </w:tc>
            </w:tr>
            <w:tr w14:paraId="6A17AED9">
              <w:trPr>
                <w:trHeight w:val="397" w:hRule="exact"/>
                <w:jc w:val="center"/>
              </w:trPr>
              <w:tc>
                <w:tcPr>
                  <w:tcW w:w="440" w:type="pct"/>
                  <w:noWrap w:val="0"/>
                  <w:vAlign w:val="center"/>
                </w:tcPr>
                <w:p w14:paraId="56DA2246">
                  <w:pPr>
                    <w:numPr>
                      <w:ilvl w:val="0"/>
                      <w:numId w:val="9"/>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354ABF88">
                  <w:pPr>
                    <w:jc w:val="center"/>
                    <w:rPr>
                      <w:rFonts w:hint="default" w:ascii="Times New Roman" w:hAnsi="Times New Roman" w:cs="Times New Roman"/>
                      <w:bCs/>
                      <w:color w:val="auto"/>
                      <w:sz w:val="21"/>
                      <w:szCs w:val="21"/>
                    </w:rPr>
                  </w:pPr>
                </w:p>
              </w:tc>
              <w:tc>
                <w:tcPr>
                  <w:tcW w:w="1078" w:type="pct"/>
                  <w:noWrap w:val="0"/>
                  <w:vAlign w:val="center"/>
                </w:tcPr>
                <w:p w14:paraId="0C719B61">
                  <w:pPr>
                    <w:jc w:val="center"/>
                    <w:rPr>
                      <w:rFonts w:hint="default" w:ascii="Times New Roman" w:hAnsi="Times New Roman" w:cs="Times New Roman"/>
                      <w:color w:val="auto"/>
                      <w:kern w:val="2"/>
                      <w:sz w:val="21"/>
                      <w:szCs w:val="21"/>
                      <w:lang w:val="en-US" w:eastAsia="zh-CN" w:bidi="ar-SA"/>
                    </w:rPr>
                  </w:pPr>
                </w:p>
              </w:tc>
              <w:tc>
                <w:tcPr>
                  <w:tcW w:w="582" w:type="pct"/>
                  <w:noWrap w:val="0"/>
                  <w:vAlign w:val="center"/>
                </w:tcPr>
                <w:p w14:paraId="1DB5E7D3">
                  <w:pPr>
                    <w:jc w:val="center"/>
                    <w:rPr>
                      <w:rFonts w:hint="default" w:ascii="Times New Roman" w:hAnsi="Times New Roman" w:cs="Times New Roman"/>
                      <w:bCs/>
                      <w:color w:val="auto"/>
                      <w:sz w:val="21"/>
                      <w:szCs w:val="21"/>
                    </w:rPr>
                  </w:pPr>
                </w:p>
              </w:tc>
              <w:tc>
                <w:tcPr>
                  <w:tcW w:w="695" w:type="pct"/>
                  <w:noWrap w:val="0"/>
                  <w:vAlign w:val="center"/>
                </w:tcPr>
                <w:p w14:paraId="4BEFA630">
                  <w:pPr>
                    <w:jc w:val="center"/>
                    <w:rPr>
                      <w:rFonts w:hint="default" w:ascii="Times New Roman" w:hAnsi="Times New Roman" w:cs="Times New Roman"/>
                      <w:bCs/>
                      <w:color w:val="auto"/>
                      <w:sz w:val="21"/>
                      <w:szCs w:val="21"/>
                    </w:rPr>
                  </w:pPr>
                </w:p>
              </w:tc>
              <w:tc>
                <w:tcPr>
                  <w:tcW w:w="709" w:type="pct"/>
                  <w:noWrap w:val="0"/>
                  <w:vAlign w:val="center"/>
                </w:tcPr>
                <w:p w14:paraId="126EDAAF">
                  <w:pPr>
                    <w:jc w:val="center"/>
                    <w:rPr>
                      <w:rFonts w:hint="default" w:ascii="Times New Roman" w:hAnsi="Times New Roman" w:cs="Times New Roman"/>
                      <w:color w:val="auto"/>
                      <w:szCs w:val="21"/>
                      <w:lang w:val="en-US" w:eastAsia="zh-CN"/>
                    </w:rPr>
                  </w:pPr>
                </w:p>
              </w:tc>
            </w:tr>
            <w:tr w14:paraId="593C882B">
              <w:trPr>
                <w:trHeight w:val="397" w:hRule="exact"/>
                <w:jc w:val="center"/>
              </w:trPr>
              <w:tc>
                <w:tcPr>
                  <w:tcW w:w="440" w:type="pct"/>
                  <w:noWrap w:val="0"/>
                  <w:vAlign w:val="center"/>
                </w:tcPr>
                <w:p w14:paraId="6A0DF33C">
                  <w:pPr>
                    <w:numPr>
                      <w:ilvl w:val="0"/>
                      <w:numId w:val="9"/>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703F1906">
                  <w:pPr>
                    <w:jc w:val="center"/>
                    <w:rPr>
                      <w:rFonts w:hint="default" w:ascii="Times New Roman" w:hAnsi="Times New Roman" w:cs="Times New Roman"/>
                      <w:bCs/>
                      <w:color w:val="auto"/>
                      <w:sz w:val="21"/>
                      <w:szCs w:val="21"/>
                    </w:rPr>
                  </w:pPr>
                </w:p>
              </w:tc>
              <w:tc>
                <w:tcPr>
                  <w:tcW w:w="1078" w:type="pct"/>
                  <w:noWrap w:val="0"/>
                  <w:vAlign w:val="center"/>
                </w:tcPr>
                <w:p w14:paraId="02CFB679">
                  <w:pPr>
                    <w:jc w:val="center"/>
                    <w:rPr>
                      <w:rFonts w:hint="default" w:ascii="Times New Roman" w:hAnsi="Times New Roman" w:cs="Times New Roman"/>
                      <w:color w:val="auto"/>
                      <w:kern w:val="2"/>
                      <w:sz w:val="21"/>
                      <w:szCs w:val="21"/>
                      <w:lang w:val="en-US" w:eastAsia="zh-CN" w:bidi="ar-SA"/>
                    </w:rPr>
                  </w:pPr>
                </w:p>
              </w:tc>
              <w:tc>
                <w:tcPr>
                  <w:tcW w:w="582" w:type="pct"/>
                  <w:noWrap w:val="0"/>
                  <w:vAlign w:val="center"/>
                </w:tcPr>
                <w:p w14:paraId="484D39E9">
                  <w:pPr>
                    <w:jc w:val="center"/>
                    <w:rPr>
                      <w:rFonts w:hint="default" w:ascii="Times New Roman" w:hAnsi="Times New Roman" w:cs="Times New Roman"/>
                      <w:bCs/>
                      <w:color w:val="auto"/>
                      <w:sz w:val="21"/>
                      <w:szCs w:val="21"/>
                    </w:rPr>
                  </w:pPr>
                </w:p>
              </w:tc>
              <w:tc>
                <w:tcPr>
                  <w:tcW w:w="695" w:type="pct"/>
                  <w:noWrap w:val="0"/>
                  <w:vAlign w:val="center"/>
                </w:tcPr>
                <w:p w14:paraId="6C21F4F0">
                  <w:pPr>
                    <w:jc w:val="center"/>
                    <w:rPr>
                      <w:rFonts w:hint="default" w:ascii="Times New Roman" w:hAnsi="Times New Roman" w:cs="Times New Roman"/>
                      <w:bCs/>
                      <w:color w:val="auto"/>
                      <w:sz w:val="21"/>
                      <w:szCs w:val="21"/>
                    </w:rPr>
                  </w:pPr>
                </w:p>
              </w:tc>
              <w:tc>
                <w:tcPr>
                  <w:tcW w:w="709" w:type="pct"/>
                  <w:noWrap w:val="0"/>
                  <w:vAlign w:val="center"/>
                </w:tcPr>
                <w:p w14:paraId="1FD87D45">
                  <w:pPr>
                    <w:jc w:val="center"/>
                    <w:rPr>
                      <w:rFonts w:hint="default" w:ascii="Times New Roman" w:hAnsi="Times New Roman" w:cs="Times New Roman"/>
                      <w:color w:val="auto"/>
                      <w:szCs w:val="21"/>
                      <w:lang w:val="en-US" w:eastAsia="zh-CN"/>
                    </w:rPr>
                  </w:pPr>
                </w:p>
              </w:tc>
            </w:tr>
            <w:tr w14:paraId="0556E701">
              <w:trPr>
                <w:trHeight w:val="397" w:hRule="exact"/>
                <w:jc w:val="center"/>
              </w:trPr>
              <w:tc>
                <w:tcPr>
                  <w:tcW w:w="440" w:type="pct"/>
                  <w:noWrap w:val="0"/>
                  <w:vAlign w:val="center"/>
                </w:tcPr>
                <w:p w14:paraId="34EFD5EC">
                  <w:pPr>
                    <w:numPr>
                      <w:ilvl w:val="0"/>
                      <w:numId w:val="9"/>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64789DD5">
                  <w:pPr>
                    <w:jc w:val="center"/>
                    <w:rPr>
                      <w:rFonts w:hint="default" w:ascii="Times New Roman" w:hAnsi="Times New Roman" w:cs="Times New Roman"/>
                      <w:bCs/>
                      <w:color w:val="auto"/>
                      <w:sz w:val="21"/>
                      <w:szCs w:val="21"/>
                    </w:rPr>
                  </w:pPr>
                </w:p>
              </w:tc>
              <w:tc>
                <w:tcPr>
                  <w:tcW w:w="1078" w:type="pct"/>
                  <w:noWrap w:val="0"/>
                  <w:vAlign w:val="center"/>
                </w:tcPr>
                <w:p w14:paraId="7BD9C674">
                  <w:pPr>
                    <w:jc w:val="center"/>
                    <w:rPr>
                      <w:rFonts w:hint="default" w:ascii="Times New Roman" w:hAnsi="Times New Roman" w:cs="Times New Roman"/>
                      <w:color w:val="auto"/>
                      <w:kern w:val="2"/>
                      <w:sz w:val="21"/>
                      <w:szCs w:val="21"/>
                      <w:lang w:val="en-US" w:eastAsia="zh-CN" w:bidi="ar-SA"/>
                    </w:rPr>
                  </w:pPr>
                </w:p>
              </w:tc>
              <w:tc>
                <w:tcPr>
                  <w:tcW w:w="582" w:type="pct"/>
                  <w:noWrap w:val="0"/>
                  <w:vAlign w:val="center"/>
                </w:tcPr>
                <w:p w14:paraId="22F26AB9">
                  <w:pPr>
                    <w:jc w:val="center"/>
                    <w:rPr>
                      <w:rFonts w:hint="default" w:ascii="Times New Roman" w:hAnsi="Times New Roman" w:cs="Times New Roman"/>
                      <w:bCs/>
                      <w:color w:val="auto"/>
                      <w:sz w:val="21"/>
                      <w:szCs w:val="21"/>
                    </w:rPr>
                  </w:pPr>
                </w:p>
              </w:tc>
              <w:tc>
                <w:tcPr>
                  <w:tcW w:w="695" w:type="pct"/>
                  <w:noWrap w:val="0"/>
                  <w:vAlign w:val="center"/>
                </w:tcPr>
                <w:p w14:paraId="25AF7ACA">
                  <w:pPr>
                    <w:jc w:val="center"/>
                    <w:rPr>
                      <w:rFonts w:hint="default" w:ascii="Times New Roman" w:hAnsi="Times New Roman" w:cs="Times New Roman"/>
                      <w:bCs/>
                      <w:color w:val="auto"/>
                      <w:sz w:val="21"/>
                      <w:szCs w:val="21"/>
                    </w:rPr>
                  </w:pPr>
                </w:p>
              </w:tc>
              <w:tc>
                <w:tcPr>
                  <w:tcW w:w="709" w:type="pct"/>
                  <w:noWrap w:val="0"/>
                  <w:vAlign w:val="center"/>
                </w:tcPr>
                <w:p w14:paraId="7E04736F">
                  <w:pPr>
                    <w:jc w:val="center"/>
                    <w:rPr>
                      <w:rFonts w:hint="default" w:ascii="Times New Roman" w:hAnsi="Times New Roman" w:cs="Times New Roman"/>
                      <w:color w:val="auto"/>
                      <w:szCs w:val="21"/>
                      <w:lang w:val="en-US" w:eastAsia="zh-CN"/>
                    </w:rPr>
                  </w:pPr>
                </w:p>
              </w:tc>
            </w:tr>
            <w:tr w14:paraId="6F6C1356">
              <w:trPr>
                <w:trHeight w:val="397" w:hRule="exact"/>
                <w:jc w:val="center"/>
              </w:trPr>
              <w:tc>
                <w:tcPr>
                  <w:tcW w:w="440" w:type="pct"/>
                  <w:noWrap w:val="0"/>
                  <w:vAlign w:val="center"/>
                </w:tcPr>
                <w:p w14:paraId="6DF22783">
                  <w:pPr>
                    <w:numPr>
                      <w:ilvl w:val="0"/>
                      <w:numId w:val="9"/>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01492892">
                  <w:pPr>
                    <w:jc w:val="center"/>
                    <w:rPr>
                      <w:rFonts w:hint="default" w:ascii="Times New Roman" w:hAnsi="Times New Roman" w:cs="Times New Roman"/>
                      <w:bCs/>
                      <w:color w:val="auto"/>
                      <w:sz w:val="21"/>
                      <w:szCs w:val="21"/>
                    </w:rPr>
                  </w:pPr>
                </w:p>
              </w:tc>
              <w:tc>
                <w:tcPr>
                  <w:tcW w:w="1078" w:type="pct"/>
                  <w:noWrap w:val="0"/>
                  <w:vAlign w:val="center"/>
                </w:tcPr>
                <w:p w14:paraId="0B1F44DF">
                  <w:pPr>
                    <w:jc w:val="center"/>
                    <w:rPr>
                      <w:rFonts w:hint="default" w:ascii="Times New Roman" w:hAnsi="Times New Roman" w:cs="Times New Roman"/>
                      <w:color w:val="auto"/>
                      <w:kern w:val="2"/>
                      <w:sz w:val="21"/>
                      <w:szCs w:val="21"/>
                      <w:lang w:val="en-US" w:eastAsia="zh-CN" w:bidi="ar-SA"/>
                    </w:rPr>
                  </w:pPr>
                </w:p>
              </w:tc>
              <w:tc>
                <w:tcPr>
                  <w:tcW w:w="582" w:type="pct"/>
                  <w:noWrap w:val="0"/>
                  <w:vAlign w:val="center"/>
                </w:tcPr>
                <w:p w14:paraId="0B7B0C6B">
                  <w:pPr>
                    <w:jc w:val="center"/>
                    <w:rPr>
                      <w:rFonts w:hint="default" w:ascii="Times New Roman" w:hAnsi="Times New Roman" w:cs="Times New Roman"/>
                      <w:bCs/>
                      <w:color w:val="auto"/>
                      <w:sz w:val="21"/>
                      <w:szCs w:val="21"/>
                    </w:rPr>
                  </w:pPr>
                </w:p>
              </w:tc>
              <w:tc>
                <w:tcPr>
                  <w:tcW w:w="695" w:type="pct"/>
                  <w:noWrap w:val="0"/>
                  <w:vAlign w:val="center"/>
                </w:tcPr>
                <w:p w14:paraId="5C27A288">
                  <w:pPr>
                    <w:jc w:val="center"/>
                    <w:rPr>
                      <w:rFonts w:hint="default" w:ascii="Times New Roman" w:hAnsi="Times New Roman" w:cs="Times New Roman"/>
                      <w:bCs/>
                      <w:color w:val="auto"/>
                      <w:sz w:val="21"/>
                      <w:szCs w:val="21"/>
                    </w:rPr>
                  </w:pPr>
                </w:p>
              </w:tc>
              <w:tc>
                <w:tcPr>
                  <w:tcW w:w="709" w:type="pct"/>
                  <w:noWrap w:val="0"/>
                  <w:vAlign w:val="center"/>
                </w:tcPr>
                <w:p w14:paraId="79C21E66">
                  <w:pPr>
                    <w:jc w:val="center"/>
                    <w:rPr>
                      <w:rFonts w:hint="default" w:ascii="Times New Roman" w:hAnsi="Times New Roman" w:cs="Times New Roman"/>
                      <w:color w:val="auto"/>
                      <w:szCs w:val="21"/>
                      <w:lang w:val="en-US" w:eastAsia="zh-CN"/>
                    </w:rPr>
                  </w:pPr>
                </w:p>
              </w:tc>
            </w:tr>
            <w:tr w14:paraId="5046E9EC">
              <w:trPr>
                <w:trHeight w:val="397" w:hRule="exact"/>
                <w:jc w:val="center"/>
              </w:trPr>
              <w:tc>
                <w:tcPr>
                  <w:tcW w:w="440" w:type="pct"/>
                  <w:noWrap w:val="0"/>
                  <w:vAlign w:val="center"/>
                </w:tcPr>
                <w:p w14:paraId="6768992F">
                  <w:pPr>
                    <w:numPr>
                      <w:ilvl w:val="0"/>
                      <w:numId w:val="9"/>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1494" w:type="pct"/>
                  <w:noWrap w:val="0"/>
                  <w:vAlign w:val="center"/>
                </w:tcPr>
                <w:p w14:paraId="5B6D7520">
                  <w:pPr>
                    <w:jc w:val="center"/>
                    <w:rPr>
                      <w:rFonts w:hint="default" w:ascii="Times New Roman" w:hAnsi="Times New Roman" w:cs="Times New Roman"/>
                      <w:bCs/>
                      <w:color w:val="auto"/>
                      <w:sz w:val="21"/>
                      <w:szCs w:val="21"/>
                    </w:rPr>
                  </w:pPr>
                </w:p>
              </w:tc>
              <w:tc>
                <w:tcPr>
                  <w:tcW w:w="1078" w:type="pct"/>
                  <w:noWrap w:val="0"/>
                  <w:vAlign w:val="center"/>
                </w:tcPr>
                <w:p w14:paraId="1204537F">
                  <w:pPr>
                    <w:jc w:val="center"/>
                    <w:rPr>
                      <w:rFonts w:hint="default" w:ascii="Times New Roman" w:hAnsi="Times New Roman" w:cs="Times New Roman"/>
                      <w:color w:val="auto"/>
                      <w:kern w:val="2"/>
                      <w:sz w:val="21"/>
                      <w:szCs w:val="21"/>
                      <w:lang w:val="en-US" w:eastAsia="zh-CN" w:bidi="ar-SA"/>
                    </w:rPr>
                  </w:pPr>
                </w:p>
              </w:tc>
              <w:tc>
                <w:tcPr>
                  <w:tcW w:w="582" w:type="pct"/>
                  <w:noWrap w:val="0"/>
                  <w:vAlign w:val="center"/>
                </w:tcPr>
                <w:p w14:paraId="42F5B9C5">
                  <w:pPr>
                    <w:jc w:val="center"/>
                    <w:rPr>
                      <w:rFonts w:hint="default" w:ascii="Times New Roman" w:hAnsi="Times New Roman" w:cs="Times New Roman"/>
                      <w:bCs/>
                      <w:color w:val="auto"/>
                      <w:sz w:val="21"/>
                      <w:szCs w:val="21"/>
                    </w:rPr>
                  </w:pPr>
                </w:p>
              </w:tc>
              <w:tc>
                <w:tcPr>
                  <w:tcW w:w="695" w:type="pct"/>
                  <w:noWrap w:val="0"/>
                  <w:vAlign w:val="center"/>
                </w:tcPr>
                <w:p w14:paraId="74E65178">
                  <w:pPr>
                    <w:jc w:val="center"/>
                    <w:rPr>
                      <w:rFonts w:hint="default" w:ascii="Times New Roman" w:hAnsi="Times New Roman" w:cs="Times New Roman"/>
                      <w:bCs/>
                      <w:color w:val="auto"/>
                      <w:sz w:val="21"/>
                      <w:szCs w:val="21"/>
                    </w:rPr>
                  </w:pPr>
                </w:p>
              </w:tc>
              <w:tc>
                <w:tcPr>
                  <w:tcW w:w="709" w:type="pct"/>
                  <w:noWrap w:val="0"/>
                  <w:vAlign w:val="center"/>
                </w:tcPr>
                <w:p w14:paraId="4E90E565">
                  <w:pPr>
                    <w:jc w:val="center"/>
                    <w:rPr>
                      <w:rFonts w:hint="default" w:ascii="Times New Roman" w:hAnsi="Times New Roman" w:cs="Times New Roman"/>
                      <w:color w:val="auto"/>
                      <w:szCs w:val="21"/>
                      <w:lang w:val="en-US" w:eastAsia="zh-CN"/>
                    </w:rPr>
                  </w:pPr>
                </w:p>
              </w:tc>
            </w:tr>
            <w:tr w14:paraId="4F947350">
              <w:trPr>
                <w:trHeight w:val="397" w:hRule="exact"/>
                <w:jc w:val="center"/>
              </w:trPr>
              <w:tc>
                <w:tcPr>
                  <w:tcW w:w="5000" w:type="pct"/>
                  <w:gridSpan w:val="6"/>
                  <w:noWrap w:val="0"/>
                  <w:vAlign w:val="center"/>
                </w:tcPr>
                <w:p w14:paraId="5E59B7CA">
                  <w:pPr>
                    <w:jc w:val="center"/>
                    <w:rPr>
                      <w:rFonts w:hint="default" w:ascii="Times New Roman" w:hAnsi="Times New Roman" w:eastAsia="宋体" w:cs="Times New Roman"/>
                      <w:bCs/>
                      <w:color w:val="auto"/>
                      <w:sz w:val="21"/>
                      <w:szCs w:val="21"/>
                      <w:lang w:val="en-US" w:eastAsia="zh-CN"/>
                    </w:rPr>
                  </w:pPr>
                </w:p>
              </w:tc>
            </w:tr>
            <w:tr w14:paraId="72C2F5C1">
              <w:trPr>
                <w:trHeight w:val="397" w:hRule="exact"/>
                <w:jc w:val="center"/>
              </w:trPr>
              <w:tc>
                <w:tcPr>
                  <w:tcW w:w="440" w:type="pct"/>
                  <w:noWrap w:val="0"/>
                  <w:vAlign w:val="center"/>
                </w:tcPr>
                <w:p w14:paraId="22312271">
                  <w:pPr>
                    <w:numPr>
                      <w:ilvl w:val="0"/>
                      <w:numId w:val="10"/>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2515" w:type="dxa"/>
                  <w:noWrap w:val="0"/>
                  <w:vAlign w:val="center"/>
                </w:tcPr>
                <w:p w14:paraId="6BDCC3CB">
                  <w:pPr>
                    <w:jc w:val="center"/>
                    <w:rPr>
                      <w:rFonts w:hint="default" w:ascii="Times New Roman" w:hAnsi="Times New Roman" w:cs="Times New Roman"/>
                      <w:bCs/>
                      <w:color w:val="auto"/>
                      <w:sz w:val="21"/>
                      <w:szCs w:val="21"/>
                    </w:rPr>
                  </w:pPr>
                </w:p>
              </w:tc>
              <w:tc>
                <w:tcPr>
                  <w:tcW w:w="1815" w:type="dxa"/>
                  <w:noWrap w:val="0"/>
                  <w:vAlign w:val="center"/>
                </w:tcPr>
                <w:p w14:paraId="4A5FA569">
                  <w:pPr>
                    <w:jc w:val="center"/>
                    <w:rPr>
                      <w:rFonts w:hint="default" w:ascii="Times New Roman" w:hAnsi="Times New Roman" w:cs="Times New Roman"/>
                      <w:bCs/>
                      <w:color w:val="auto"/>
                      <w:sz w:val="21"/>
                      <w:szCs w:val="21"/>
                    </w:rPr>
                  </w:pPr>
                </w:p>
              </w:tc>
              <w:tc>
                <w:tcPr>
                  <w:tcW w:w="981" w:type="dxa"/>
                  <w:noWrap w:val="0"/>
                  <w:vAlign w:val="center"/>
                </w:tcPr>
                <w:p w14:paraId="008CEC86">
                  <w:pPr>
                    <w:jc w:val="center"/>
                    <w:rPr>
                      <w:rFonts w:hint="default" w:ascii="Times New Roman" w:hAnsi="Times New Roman" w:cs="Times New Roman"/>
                      <w:bCs/>
                      <w:color w:val="auto"/>
                      <w:sz w:val="21"/>
                      <w:szCs w:val="21"/>
                    </w:rPr>
                  </w:pPr>
                </w:p>
              </w:tc>
              <w:tc>
                <w:tcPr>
                  <w:tcW w:w="1170" w:type="dxa"/>
                  <w:noWrap w:val="0"/>
                  <w:vAlign w:val="center"/>
                </w:tcPr>
                <w:p w14:paraId="444CE9AF">
                  <w:pPr>
                    <w:jc w:val="center"/>
                    <w:rPr>
                      <w:rFonts w:hint="default" w:ascii="Times New Roman" w:hAnsi="Times New Roman" w:cs="Times New Roman"/>
                      <w:bCs/>
                      <w:color w:val="auto"/>
                      <w:sz w:val="21"/>
                      <w:szCs w:val="21"/>
                    </w:rPr>
                  </w:pPr>
                </w:p>
              </w:tc>
              <w:tc>
                <w:tcPr>
                  <w:tcW w:w="1194" w:type="dxa"/>
                  <w:noWrap w:val="0"/>
                  <w:vAlign w:val="center"/>
                </w:tcPr>
                <w:p w14:paraId="6513BE0C">
                  <w:pPr>
                    <w:jc w:val="center"/>
                    <w:rPr>
                      <w:rFonts w:hint="default" w:ascii="Times New Roman" w:hAnsi="Times New Roman" w:cs="Times New Roman"/>
                      <w:bCs/>
                      <w:color w:val="auto"/>
                      <w:sz w:val="21"/>
                      <w:szCs w:val="21"/>
                    </w:rPr>
                  </w:pPr>
                </w:p>
              </w:tc>
            </w:tr>
            <w:tr w14:paraId="28A9F3FA">
              <w:trPr>
                <w:trHeight w:val="397" w:hRule="exact"/>
                <w:jc w:val="center"/>
              </w:trPr>
              <w:tc>
                <w:tcPr>
                  <w:tcW w:w="440" w:type="pct"/>
                  <w:noWrap w:val="0"/>
                  <w:vAlign w:val="center"/>
                </w:tcPr>
                <w:p w14:paraId="545489A9">
                  <w:pPr>
                    <w:numPr>
                      <w:ilvl w:val="0"/>
                      <w:numId w:val="10"/>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2515" w:type="dxa"/>
                  <w:noWrap w:val="0"/>
                  <w:vAlign w:val="center"/>
                </w:tcPr>
                <w:p w14:paraId="0D117A7D">
                  <w:pPr>
                    <w:jc w:val="center"/>
                    <w:rPr>
                      <w:rFonts w:hint="default" w:ascii="Times New Roman" w:hAnsi="Times New Roman" w:cs="Times New Roman"/>
                      <w:bCs/>
                      <w:color w:val="auto"/>
                      <w:sz w:val="21"/>
                      <w:szCs w:val="21"/>
                    </w:rPr>
                  </w:pPr>
                </w:p>
              </w:tc>
              <w:tc>
                <w:tcPr>
                  <w:tcW w:w="1815" w:type="dxa"/>
                  <w:noWrap w:val="0"/>
                  <w:vAlign w:val="center"/>
                </w:tcPr>
                <w:p w14:paraId="6B1451D4">
                  <w:pPr>
                    <w:jc w:val="center"/>
                    <w:rPr>
                      <w:rFonts w:hint="default" w:ascii="Times New Roman" w:hAnsi="Times New Roman" w:cs="Times New Roman"/>
                      <w:bCs/>
                      <w:color w:val="auto"/>
                      <w:sz w:val="21"/>
                      <w:szCs w:val="21"/>
                    </w:rPr>
                  </w:pPr>
                </w:p>
              </w:tc>
              <w:tc>
                <w:tcPr>
                  <w:tcW w:w="981" w:type="dxa"/>
                  <w:noWrap w:val="0"/>
                  <w:vAlign w:val="center"/>
                </w:tcPr>
                <w:p w14:paraId="594A6D64">
                  <w:pPr>
                    <w:jc w:val="center"/>
                    <w:rPr>
                      <w:rFonts w:hint="default" w:ascii="Times New Roman" w:hAnsi="Times New Roman" w:cs="Times New Roman"/>
                      <w:bCs/>
                      <w:color w:val="auto"/>
                      <w:sz w:val="21"/>
                      <w:szCs w:val="21"/>
                    </w:rPr>
                  </w:pPr>
                </w:p>
              </w:tc>
              <w:tc>
                <w:tcPr>
                  <w:tcW w:w="1170" w:type="dxa"/>
                  <w:noWrap w:val="0"/>
                  <w:vAlign w:val="center"/>
                </w:tcPr>
                <w:p w14:paraId="60412441">
                  <w:pPr>
                    <w:jc w:val="center"/>
                    <w:rPr>
                      <w:rFonts w:hint="default" w:ascii="Times New Roman" w:hAnsi="Times New Roman" w:cs="Times New Roman"/>
                      <w:bCs/>
                      <w:color w:val="auto"/>
                      <w:sz w:val="21"/>
                      <w:szCs w:val="21"/>
                    </w:rPr>
                  </w:pPr>
                </w:p>
              </w:tc>
              <w:tc>
                <w:tcPr>
                  <w:tcW w:w="1194" w:type="dxa"/>
                  <w:noWrap w:val="0"/>
                  <w:vAlign w:val="center"/>
                </w:tcPr>
                <w:p w14:paraId="7162417D">
                  <w:pPr>
                    <w:jc w:val="center"/>
                    <w:rPr>
                      <w:rFonts w:hint="eastAsia" w:ascii="Times New Roman" w:hAnsi="Times New Roman" w:eastAsia="宋体" w:cs="Times New Roman"/>
                      <w:bCs/>
                      <w:color w:val="auto"/>
                      <w:sz w:val="21"/>
                      <w:szCs w:val="21"/>
                      <w:lang w:val="en-US" w:eastAsia="zh-CN"/>
                    </w:rPr>
                  </w:pPr>
                </w:p>
              </w:tc>
            </w:tr>
            <w:tr w14:paraId="60F92EE7">
              <w:trPr>
                <w:trHeight w:val="397" w:hRule="exact"/>
                <w:jc w:val="center"/>
              </w:trPr>
              <w:tc>
                <w:tcPr>
                  <w:tcW w:w="440" w:type="pct"/>
                  <w:noWrap w:val="0"/>
                  <w:vAlign w:val="center"/>
                </w:tcPr>
                <w:p w14:paraId="44A8EA7E">
                  <w:pPr>
                    <w:numPr>
                      <w:ilvl w:val="0"/>
                      <w:numId w:val="10"/>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2515" w:type="dxa"/>
                  <w:noWrap w:val="0"/>
                  <w:vAlign w:val="center"/>
                </w:tcPr>
                <w:p w14:paraId="39F0BD6B">
                  <w:pPr>
                    <w:jc w:val="center"/>
                    <w:rPr>
                      <w:rFonts w:hint="default" w:ascii="Times New Roman" w:hAnsi="Times New Roman" w:cs="Times New Roman"/>
                      <w:bCs/>
                      <w:color w:val="auto"/>
                      <w:sz w:val="21"/>
                      <w:szCs w:val="21"/>
                    </w:rPr>
                  </w:pPr>
                </w:p>
              </w:tc>
              <w:tc>
                <w:tcPr>
                  <w:tcW w:w="1815" w:type="dxa"/>
                  <w:noWrap w:val="0"/>
                  <w:vAlign w:val="center"/>
                </w:tcPr>
                <w:p w14:paraId="4B641088">
                  <w:pPr>
                    <w:jc w:val="center"/>
                    <w:rPr>
                      <w:rFonts w:hint="default" w:ascii="Times New Roman" w:hAnsi="Times New Roman" w:cs="Times New Roman"/>
                      <w:bCs/>
                      <w:color w:val="auto"/>
                      <w:sz w:val="21"/>
                      <w:szCs w:val="21"/>
                    </w:rPr>
                  </w:pPr>
                </w:p>
              </w:tc>
              <w:tc>
                <w:tcPr>
                  <w:tcW w:w="981" w:type="dxa"/>
                  <w:noWrap w:val="0"/>
                  <w:vAlign w:val="center"/>
                </w:tcPr>
                <w:p w14:paraId="36EF049F">
                  <w:pPr>
                    <w:jc w:val="center"/>
                    <w:rPr>
                      <w:rFonts w:hint="default" w:ascii="Times New Roman" w:hAnsi="Times New Roman" w:cs="Times New Roman"/>
                      <w:bCs/>
                      <w:color w:val="auto"/>
                      <w:sz w:val="21"/>
                      <w:szCs w:val="21"/>
                    </w:rPr>
                  </w:pPr>
                </w:p>
              </w:tc>
              <w:tc>
                <w:tcPr>
                  <w:tcW w:w="1170" w:type="dxa"/>
                  <w:noWrap w:val="0"/>
                  <w:vAlign w:val="center"/>
                </w:tcPr>
                <w:p w14:paraId="53E5FDFD">
                  <w:pPr>
                    <w:jc w:val="center"/>
                    <w:rPr>
                      <w:rFonts w:hint="default" w:ascii="Times New Roman" w:hAnsi="Times New Roman" w:cs="Times New Roman"/>
                      <w:bCs/>
                      <w:color w:val="auto"/>
                      <w:sz w:val="21"/>
                      <w:szCs w:val="21"/>
                    </w:rPr>
                  </w:pPr>
                </w:p>
              </w:tc>
              <w:tc>
                <w:tcPr>
                  <w:tcW w:w="1194" w:type="dxa"/>
                  <w:noWrap w:val="0"/>
                  <w:vAlign w:val="center"/>
                </w:tcPr>
                <w:p w14:paraId="162AF092">
                  <w:pPr>
                    <w:jc w:val="center"/>
                    <w:rPr>
                      <w:rFonts w:hint="default" w:ascii="Times New Roman" w:hAnsi="Times New Roman" w:cs="Times New Roman"/>
                      <w:bCs/>
                      <w:color w:val="auto"/>
                      <w:sz w:val="21"/>
                      <w:szCs w:val="21"/>
                    </w:rPr>
                  </w:pPr>
                </w:p>
              </w:tc>
            </w:tr>
          </w:tbl>
          <w:p w14:paraId="6D2F2E74">
            <w:pPr>
              <w:pStyle w:val="16"/>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auto"/>
              </w:rPr>
            </w:pPr>
            <w:r>
              <w:rPr>
                <w:rFonts w:hint="eastAsia"/>
                <w:color w:val="auto"/>
                <w:lang w:eastAsia="zh-CN"/>
              </w:rPr>
              <w:t>13.</w:t>
            </w:r>
            <w:r>
              <w:rPr>
                <w:rFonts w:hint="eastAsia"/>
                <w:color w:val="auto"/>
              </w:rPr>
              <w:t>原辅材料消耗</w:t>
            </w:r>
          </w:p>
          <w:p w14:paraId="14FACC52">
            <w:pPr>
              <w:pStyle w:val="16"/>
              <w:keepNext w:val="0"/>
              <w:keepLines w:val="0"/>
              <w:pageBreakBefore w:val="0"/>
              <w:widowControl w:val="0"/>
              <w:kinsoku/>
              <w:wordWrap/>
              <w:overflowPunct/>
              <w:topLinePunct w:val="0"/>
              <w:autoSpaceDE/>
              <w:autoSpaceDN/>
              <w:bidi w:val="0"/>
              <w:adjustRightInd/>
              <w:snapToGrid/>
              <w:spacing w:after="0" w:line="360" w:lineRule="auto"/>
              <w:ind w:left="0" w:leftChars="0" w:firstLine="480"/>
              <w:jc w:val="both"/>
              <w:textAlignment w:val="auto"/>
              <w:rPr>
                <w:rFonts w:hint="eastAsia"/>
                <w:b/>
                <w:bCs/>
                <w:color w:val="auto"/>
                <w:sz w:val="24"/>
                <w:szCs w:val="24"/>
                <w:lang w:val="en-US" w:eastAsia="zh-CN"/>
              </w:rPr>
            </w:pPr>
            <w:r>
              <w:rPr>
                <w:color w:val="auto"/>
              </w:rPr>
              <w:t>根据建设单位提供资料，本项目主要原辅材料消耗情况见表2-</w:t>
            </w:r>
            <w:r>
              <w:rPr>
                <w:rFonts w:hint="eastAsia"/>
                <w:color w:val="auto"/>
                <w:lang w:val="en-US" w:eastAsia="zh-CN"/>
              </w:rPr>
              <w:t>5</w:t>
            </w:r>
            <w:r>
              <w:rPr>
                <w:rFonts w:hint="eastAsia"/>
                <w:color w:val="auto"/>
                <w:lang w:eastAsia="zh-CN"/>
              </w:rPr>
              <w:t>。</w:t>
            </w:r>
          </w:p>
          <w:p w14:paraId="773D0DC7">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szCs w:val="21"/>
              </w:rPr>
            </w:pPr>
            <w:r>
              <w:rPr>
                <w:rFonts w:hint="eastAsia"/>
                <w:b/>
                <w:bCs/>
                <w:color w:val="auto"/>
                <w:sz w:val="21"/>
                <w:szCs w:val="21"/>
              </w:rPr>
              <w:t>表2-</w:t>
            </w:r>
            <w:r>
              <w:rPr>
                <w:rFonts w:hint="eastAsia"/>
                <w:b/>
                <w:bCs/>
                <w:color w:val="auto"/>
                <w:sz w:val="21"/>
                <w:szCs w:val="21"/>
                <w:lang w:val="en-US" w:eastAsia="zh-CN"/>
              </w:rPr>
              <w:t xml:space="preserve">5  </w:t>
            </w:r>
            <w:r>
              <w:rPr>
                <w:rFonts w:hint="eastAsia"/>
                <w:b/>
                <w:bCs/>
                <w:color w:val="auto"/>
                <w:sz w:val="21"/>
                <w:szCs w:val="21"/>
              </w:rPr>
              <w:t>项目主要原辅材料一览表</w:t>
            </w:r>
          </w:p>
          <w:tbl>
            <w:tblPr>
              <w:tblStyle w:val="2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0"/>
              <w:gridCol w:w="1570"/>
              <w:gridCol w:w="1017"/>
              <w:gridCol w:w="1301"/>
              <w:gridCol w:w="1121"/>
              <w:gridCol w:w="1439"/>
              <w:gridCol w:w="1437"/>
            </w:tblGrid>
            <w:tr w14:paraId="122DC1AC">
              <w:trPr>
                <w:trHeight w:val="397" w:hRule="atLeast"/>
                <w:jc w:val="center"/>
              </w:trPr>
              <w:tc>
                <w:tcPr>
                  <w:tcW w:w="315" w:type="pct"/>
                  <w:noWrap w:val="0"/>
                  <w:tcMar>
                    <w:top w:w="0" w:type="dxa"/>
                    <w:left w:w="0" w:type="dxa"/>
                    <w:bottom w:w="0" w:type="dxa"/>
                    <w:right w:w="0" w:type="dxa"/>
                  </w:tcMar>
                  <w:vAlign w:val="center"/>
                </w:tcPr>
                <w:p w14:paraId="11AC3EFB">
                  <w:pPr>
                    <w:jc w:val="center"/>
                    <w:rPr>
                      <w:color w:val="auto"/>
                      <w:szCs w:val="21"/>
                    </w:rPr>
                  </w:pPr>
                  <w:r>
                    <w:rPr>
                      <w:color w:val="auto"/>
                      <w:szCs w:val="21"/>
                    </w:rPr>
                    <w:t>序号</w:t>
                  </w:r>
                </w:p>
              </w:tc>
              <w:tc>
                <w:tcPr>
                  <w:tcW w:w="933" w:type="pct"/>
                  <w:noWrap w:val="0"/>
                  <w:tcMar>
                    <w:top w:w="0" w:type="dxa"/>
                    <w:left w:w="0" w:type="dxa"/>
                    <w:bottom w:w="0" w:type="dxa"/>
                    <w:right w:w="0" w:type="dxa"/>
                  </w:tcMar>
                  <w:vAlign w:val="center"/>
                </w:tcPr>
                <w:p w14:paraId="52CA2C04">
                  <w:pPr>
                    <w:jc w:val="center"/>
                    <w:rPr>
                      <w:color w:val="auto"/>
                      <w:szCs w:val="21"/>
                    </w:rPr>
                  </w:pPr>
                  <w:r>
                    <w:rPr>
                      <w:color w:val="auto"/>
                      <w:szCs w:val="21"/>
                    </w:rPr>
                    <w:t>名称</w:t>
                  </w:r>
                </w:p>
              </w:tc>
              <w:tc>
                <w:tcPr>
                  <w:tcW w:w="604" w:type="pct"/>
                  <w:noWrap w:val="0"/>
                  <w:tcMar>
                    <w:top w:w="0" w:type="dxa"/>
                    <w:left w:w="0" w:type="dxa"/>
                    <w:bottom w:w="0" w:type="dxa"/>
                    <w:right w:w="0" w:type="dxa"/>
                  </w:tcMar>
                  <w:vAlign w:val="center"/>
                </w:tcPr>
                <w:p w14:paraId="558F85FD">
                  <w:pPr>
                    <w:jc w:val="center"/>
                    <w:rPr>
                      <w:color w:val="auto"/>
                      <w:szCs w:val="21"/>
                    </w:rPr>
                  </w:pPr>
                  <w:r>
                    <w:rPr>
                      <w:rFonts w:hint="eastAsia"/>
                      <w:color w:val="auto"/>
                      <w:szCs w:val="21"/>
                    </w:rPr>
                    <w:t>形态</w:t>
                  </w:r>
                </w:p>
              </w:tc>
              <w:tc>
                <w:tcPr>
                  <w:tcW w:w="773" w:type="pct"/>
                  <w:noWrap w:val="0"/>
                  <w:tcMar>
                    <w:top w:w="0" w:type="dxa"/>
                    <w:left w:w="0" w:type="dxa"/>
                    <w:bottom w:w="0" w:type="dxa"/>
                    <w:right w:w="0" w:type="dxa"/>
                  </w:tcMar>
                  <w:vAlign w:val="center"/>
                </w:tcPr>
                <w:p w14:paraId="305220B6">
                  <w:pPr>
                    <w:jc w:val="center"/>
                    <w:rPr>
                      <w:color w:val="auto"/>
                      <w:szCs w:val="21"/>
                    </w:rPr>
                  </w:pPr>
                  <w:r>
                    <w:rPr>
                      <w:color w:val="auto"/>
                      <w:szCs w:val="21"/>
                    </w:rPr>
                    <w:t>年用量</w:t>
                  </w:r>
                </w:p>
              </w:tc>
              <w:tc>
                <w:tcPr>
                  <w:tcW w:w="666" w:type="pct"/>
                  <w:noWrap w:val="0"/>
                  <w:tcMar>
                    <w:top w:w="0" w:type="dxa"/>
                    <w:left w:w="0" w:type="dxa"/>
                    <w:bottom w:w="0" w:type="dxa"/>
                    <w:right w:w="0" w:type="dxa"/>
                  </w:tcMar>
                  <w:vAlign w:val="center"/>
                </w:tcPr>
                <w:p w14:paraId="2AFEE6AD">
                  <w:pPr>
                    <w:jc w:val="center"/>
                    <w:rPr>
                      <w:color w:val="auto"/>
                      <w:szCs w:val="21"/>
                    </w:rPr>
                  </w:pPr>
                  <w:r>
                    <w:rPr>
                      <w:rFonts w:hint="eastAsia"/>
                      <w:color w:val="auto"/>
                      <w:szCs w:val="21"/>
                    </w:rPr>
                    <w:t>贮存方式</w:t>
                  </w:r>
                </w:p>
              </w:tc>
              <w:tc>
                <w:tcPr>
                  <w:tcW w:w="855" w:type="pct"/>
                  <w:noWrap w:val="0"/>
                  <w:tcMar>
                    <w:top w:w="0" w:type="dxa"/>
                    <w:left w:w="0" w:type="dxa"/>
                    <w:bottom w:w="0" w:type="dxa"/>
                    <w:right w:w="0" w:type="dxa"/>
                  </w:tcMar>
                  <w:vAlign w:val="center"/>
                </w:tcPr>
                <w:p w14:paraId="4EE7F93D">
                  <w:pPr>
                    <w:jc w:val="center"/>
                    <w:rPr>
                      <w:color w:val="auto"/>
                      <w:szCs w:val="21"/>
                    </w:rPr>
                  </w:pPr>
                  <w:r>
                    <w:rPr>
                      <w:rFonts w:hint="eastAsia"/>
                      <w:color w:val="auto"/>
                      <w:szCs w:val="21"/>
                    </w:rPr>
                    <w:t>最大贮存量</w:t>
                  </w:r>
                </w:p>
              </w:tc>
              <w:tc>
                <w:tcPr>
                  <w:tcW w:w="852" w:type="pct"/>
                  <w:noWrap w:val="0"/>
                  <w:tcMar>
                    <w:top w:w="0" w:type="dxa"/>
                    <w:left w:w="0" w:type="dxa"/>
                    <w:bottom w:w="0" w:type="dxa"/>
                    <w:right w:w="0" w:type="dxa"/>
                  </w:tcMar>
                  <w:vAlign w:val="center"/>
                </w:tcPr>
                <w:p w14:paraId="12D36BF0">
                  <w:pPr>
                    <w:jc w:val="center"/>
                    <w:rPr>
                      <w:color w:val="auto"/>
                      <w:szCs w:val="21"/>
                    </w:rPr>
                  </w:pPr>
                  <w:r>
                    <w:rPr>
                      <w:rFonts w:hint="eastAsia"/>
                      <w:color w:val="auto"/>
                      <w:szCs w:val="21"/>
                    </w:rPr>
                    <w:t>备注</w:t>
                  </w:r>
                </w:p>
              </w:tc>
            </w:tr>
            <w:tr w14:paraId="7E864EE7">
              <w:trPr>
                <w:trHeight w:val="397" w:hRule="atLeast"/>
                <w:jc w:val="center"/>
              </w:trPr>
              <w:tc>
                <w:tcPr>
                  <w:tcW w:w="5000" w:type="pct"/>
                  <w:gridSpan w:val="7"/>
                  <w:noWrap w:val="0"/>
                  <w:tcMar>
                    <w:top w:w="0" w:type="dxa"/>
                    <w:left w:w="0" w:type="dxa"/>
                    <w:bottom w:w="0" w:type="dxa"/>
                    <w:right w:w="0" w:type="dxa"/>
                  </w:tcMar>
                  <w:vAlign w:val="center"/>
                </w:tcPr>
                <w:p w14:paraId="237FFD84">
                  <w:pPr>
                    <w:jc w:val="center"/>
                    <w:rPr>
                      <w:rFonts w:hint="default" w:eastAsia="宋体"/>
                      <w:color w:val="auto"/>
                      <w:szCs w:val="21"/>
                      <w:lang w:val="en-US" w:eastAsia="zh-CN"/>
                    </w:rPr>
                  </w:pPr>
                </w:p>
              </w:tc>
            </w:tr>
            <w:tr w14:paraId="523674F1">
              <w:trPr>
                <w:trHeight w:val="397" w:hRule="atLeast"/>
                <w:jc w:val="center"/>
              </w:trPr>
              <w:tc>
                <w:tcPr>
                  <w:tcW w:w="315" w:type="pct"/>
                  <w:noWrap w:val="0"/>
                  <w:tcMar>
                    <w:top w:w="0" w:type="dxa"/>
                    <w:left w:w="0" w:type="dxa"/>
                    <w:bottom w:w="0" w:type="dxa"/>
                    <w:right w:w="0" w:type="dxa"/>
                  </w:tcMar>
                  <w:vAlign w:val="center"/>
                </w:tcPr>
                <w:p w14:paraId="33F22D39">
                  <w:pPr>
                    <w:numPr>
                      <w:ilvl w:val="0"/>
                      <w:numId w:val="11"/>
                    </w:numPr>
                    <w:spacing w:line="280" w:lineRule="exact"/>
                    <w:ind w:left="0" w:leftChars="0" w:firstLine="0" w:firstLineChars="0"/>
                    <w:jc w:val="center"/>
                    <w:rPr>
                      <w:color w:val="auto"/>
                      <w:kern w:val="2"/>
                      <w:sz w:val="21"/>
                      <w:szCs w:val="21"/>
                      <w:lang w:val="en-US" w:eastAsia="zh-CN" w:bidi="ar-SA"/>
                    </w:rPr>
                  </w:pPr>
                </w:p>
              </w:tc>
              <w:tc>
                <w:tcPr>
                  <w:tcW w:w="933" w:type="pct"/>
                  <w:noWrap w:val="0"/>
                  <w:tcMar>
                    <w:top w:w="0" w:type="dxa"/>
                    <w:left w:w="0" w:type="dxa"/>
                    <w:bottom w:w="0" w:type="dxa"/>
                    <w:right w:w="0" w:type="dxa"/>
                  </w:tcMar>
                  <w:vAlign w:val="center"/>
                </w:tcPr>
                <w:p w14:paraId="5ADDAEFC">
                  <w:pPr>
                    <w:jc w:val="center"/>
                    <w:rPr>
                      <w:rFonts w:hint="default" w:eastAsia="宋体"/>
                      <w:color w:val="auto"/>
                      <w:kern w:val="2"/>
                      <w:sz w:val="21"/>
                      <w:szCs w:val="21"/>
                      <w:lang w:val="en-US" w:eastAsia="zh-CN" w:bidi="ar-SA"/>
                    </w:rPr>
                  </w:pPr>
                </w:p>
              </w:tc>
              <w:tc>
                <w:tcPr>
                  <w:tcW w:w="604" w:type="pct"/>
                  <w:noWrap w:val="0"/>
                  <w:tcMar>
                    <w:top w:w="0" w:type="dxa"/>
                    <w:left w:w="0" w:type="dxa"/>
                    <w:bottom w:w="0" w:type="dxa"/>
                    <w:right w:w="0" w:type="dxa"/>
                  </w:tcMar>
                  <w:vAlign w:val="center"/>
                </w:tcPr>
                <w:p w14:paraId="53BD0F44">
                  <w:pPr>
                    <w:jc w:val="center"/>
                    <w:rPr>
                      <w:rFonts w:hint="default" w:eastAsia="宋体"/>
                      <w:color w:val="auto"/>
                      <w:kern w:val="2"/>
                      <w:sz w:val="21"/>
                      <w:szCs w:val="21"/>
                      <w:lang w:val="en-US" w:eastAsia="zh-CN" w:bidi="ar-SA"/>
                    </w:rPr>
                  </w:pPr>
                </w:p>
              </w:tc>
              <w:tc>
                <w:tcPr>
                  <w:tcW w:w="773" w:type="pct"/>
                  <w:noWrap w:val="0"/>
                  <w:tcMar>
                    <w:top w:w="0" w:type="dxa"/>
                    <w:left w:w="0" w:type="dxa"/>
                    <w:bottom w:w="0" w:type="dxa"/>
                    <w:right w:w="0" w:type="dxa"/>
                  </w:tcMar>
                  <w:vAlign w:val="center"/>
                </w:tcPr>
                <w:p w14:paraId="478D07CC">
                  <w:pPr>
                    <w:jc w:val="center"/>
                    <w:rPr>
                      <w:rFonts w:hint="default" w:eastAsia="宋体"/>
                      <w:color w:val="auto"/>
                      <w:kern w:val="2"/>
                      <w:sz w:val="21"/>
                      <w:szCs w:val="21"/>
                      <w:lang w:val="en-US" w:eastAsia="zh-CN" w:bidi="ar-SA"/>
                    </w:rPr>
                  </w:pPr>
                </w:p>
              </w:tc>
              <w:tc>
                <w:tcPr>
                  <w:tcW w:w="666" w:type="pct"/>
                  <w:noWrap w:val="0"/>
                  <w:tcMar>
                    <w:top w:w="0" w:type="dxa"/>
                    <w:left w:w="0" w:type="dxa"/>
                    <w:bottom w:w="0" w:type="dxa"/>
                    <w:right w:w="0" w:type="dxa"/>
                  </w:tcMar>
                  <w:vAlign w:val="center"/>
                </w:tcPr>
                <w:p w14:paraId="49BA6C00">
                  <w:pPr>
                    <w:jc w:val="center"/>
                    <w:rPr>
                      <w:rFonts w:hint="eastAsia" w:eastAsia="宋体"/>
                      <w:color w:val="auto"/>
                      <w:kern w:val="2"/>
                      <w:sz w:val="21"/>
                      <w:szCs w:val="21"/>
                      <w:lang w:val="en-US" w:eastAsia="zh-CN" w:bidi="ar-SA"/>
                    </w:rPr>
                  </w:pPr>
                </w:p>
              </w:tc>
              <w:tc>
                <w:tcPr>
                  <w:tcW w:w="855" w:type="pct"/>
                  <w:noWrap w:val="0"/>
                  <w:tcMar>
                    <w:top w:w="0" w:type="dxa"/>
                    <w:left w:w="0" w:type="dxa"/>
                    <w:bottom w:w="0" w:type="dxa"/>
                    <w:right w:w="0" w:type="dxa"/>
                  </w:tcMar>
                  <w:vAlign w:val="center"/>
                </w:tcPr>
                <w:p w14:paraId="6CFB6CA3">
                  <w:pPr>
                    <w:jc w:val="center"/>
                    <w:rPr>
                      <w:rFonts w:hint="default" w:eastAsia="宋体"/>
                      <w:color w:val="auto"/>
                      <w:kern w:val="2"/>
                      <w:sz w:val="21"/>
                      <w:szCs w:val="21"/>
                      <w:lang w:val="en-US" w:eastAsia="zh-CN" w:bidi="ar-SA"/>
                    </w:rPr>
                  </w:pPr>
                </w:p>
              </w:tc>
              <w:tc>
                <w:tcPr>
                  <w:tcW w:w="852" w:type="pct"/>
                  <w:noWrap w:val="0"/>
                  <w:tcMar>
                    <w:top w:w="0" w:type="dxa"/>
                    <w:left w:w="0" w:type="dxa"/>
                    <w:bottom w:w="0" w:type="dxa"/>
                    <w:right w:w="0" w:type="dxa"/>
                  </w:tcMar>
                  <w:vAlign w:val="center"/>
                </w:tcPr>
                <w:p w14:paraId="469BD0F4">
                  <w:pPr>
                    <w:jc w:val="center"/>
                    <w:rPr>
                      <w:rFonts w:hint="default" w:eastAsia="宋体"/>
                      <w:color w:val="auto"/>
                      <w:szCs w:val="21"/>
                      <w:lang w:val="en-US" w:eastAsia="zh-CN"/>
                    </w:rPr>
                  </w:pPr>
                </w:p>
              </w:tc>
            </w:tr>
            <w:tr w14:paraId="226A0AD0">
              <w:trPr>
                <w:trHeight w:val="397" w:hRule="atLeast"/>
                <w:jc w:val="center"/>
              </w:trPr>
              <w:tc>
                <w:tcPr>
                  <w:tcW w:w="315" w:type="pct"/>
                  <w:noWrap w:val="0"/>
                  <w:tcMar>
                    <w:top w:w="0" w:type="dxa"/>
                    <w:left w:w="0" w:type="dxa"/>
                    <w:bottom w:w="0" w:type="dxa"/>
                    <w:right w:w="0" w:type="dxa"/>
                  </w:tcMar>
                  <w:vAlign w:val="center"/>
                </w:tcPr>
                <w:p w14:paraId="15E71990">
                  <w:pPr>
                    <w:numPr>
                      <w:ilvl w:val="0"/>
                      <w:numId w:val="11"/>
                    </w:numPr>
                    <w:ind w:left="0" w:leftChars="0" w:firstLine="0" w:firstLineChars="0"/>
                    <w:jc w:val="center"/>
                    <w:rPr>
                      <w:rFonts w:hint="eastAsia" w:eastAsia="宋体"/>
                      <w:color w:val="auto"/>
                      <w:kern w:val="2"/>
                      <w:sz w:val="21"/>
                      <w:szCs w:val="21"/>
                      <w:lang w:val="en-US" w:eastAsia="zh-CN" w:bidi="ar-SA"/>
                    </w:rPr>
                  </w:pPr>
                </w:p>
              </w:tc>
              <w:tc>
                <w:tcPr>
                  <w:tcW w:w="933" w:type="pct"/>
                  <w:noWrap w:val="0"/>
                  <w:tcMar>
                    <w:top w:w="0" w:type="dxa"/>
                    <w:left w:w="0" w:type="dxa"/>
                    <w:bottom w:w="0" w:type="dxa"/>
                    <w:right w:w="0" w:type="dxa"/>
                  </w:tcMar>
                  <w:vAlign w:val="center"/>
                </w:tcPr>
                <w:p w14:paraId="6255FD2E">
                  <w:pPr>
                    <w:jc w:val="center"/>
                    <w:rPr>
                      <w:rFonts w:hint="default" w:eastAsia="宋体"/>
                      <w:color w:val="auto"/>
                      <w:kern w:val="2"/>
                      <w:sz w:val="21"/>
                      <w:szCs w:val="21"/>
                      <w:lang w:val="en-US" w:eastAsia="zh-CN" w:bidi="ar-SA"/>
                    </w:rPr>
                  </w:pPr>
                </w:p>
              </w:tc>
              <w:tc>
                <w:tcPr>
                  <w:tcW w:w="604" w:type="pct"/>
                  <w:noWrap w:val="0"/>
                  <w:tcMar>
                    <w:top w:w="0" w:type="dxa"/>
                    <w:left w:w="0" w:type="dxa"/>
                    <w:bottom w:w="0" w:type="dxa"/>
                    <w:right w:w="0" w:type="dxa"/>
                  </w:tcMar>
                  <w:vAlign w:val="center"/>
                </w:tcPr>
                <w:p w14:paraId="099267F7">
                  <w:pPr>
                    <w:jc w:val="center"/>
                    <w:rPr>
                      <w:rFonts w:hint="eastAsia" w:eastAsia="宋体"/>
                      <w:color w:val="auto"/>
                      <w:kern w:val="2"/>
                      <w:sz w:val="21"/>
                      <w:szCs w:val="21"/>
                      <w:lang w:val="en-US" w:eastAsia="zh-CN" w:bidi="ar-SA"/>
                    </w:rPr>
                  </w:pPr>
                </w:p>
              </w:tc>
              <w:tc>
                <w:tcPr>
                  <w:tcW w:w="773" w:type="pct"/>
                  <w:noWrap w:val="0"/>
                  <w:tcMar>
                    <w:top w:w="0" w:type="dxa"/>
                    <w:left w:w="0" w:type="dxa"/>
                    <w:bottom w:w="0" w:type="dxa"/>
                    <w:right w:w="0" w:type="dxa"/>
                  </w:tcMar>
                  <w:vAlign w:val="center"/>
                </w:tcPr>
                <w:p w14:paraId="11DC1109">
                  <w:pPr>
                    <w:jc w:val="center"/>
                    <w:rPr>
                      <w:rFonts w:hint="default" w:eastAsia="宋体"/>
                      <w:color w:val="auto"/>
                      <w:kern w:val="2"/>
                      <w:sz w:val="21"/>
                      <w:szCs w:val="21"/>
                      <w:lang w:val="en-US" w:eastAsia="zh-CN" w:bidi="ar-SA"/>
                    </w:rPr>
                  </w:pPr>
                </w:p>
              </w:tc>
              <w:tc>
                <w:tcPr>
                  <w:tcW w:w="666" w:type="pct"/>
                  <w:noWrap w:val="0"/>
                  <w:tcMar>
                    <w:top w:w="0" w:type="dxa"/>
                    <w:left w:w="0" w:type="dxa"/>
                    <w:bottom w:w="0" w:type="dxa"/>
                    <w:right w:w="0" w:type="dxa"/>
                  </w:tcMar>
                  <w:vAlign w:val="center"/>
                </w:tcPr>
                <w:p w14:paraId="661D5758">
                  <w:pPr>
                    <w:jc w:val="center"/>
                    <w:rPr>
                      <w:rFonts w:hint="eastAsia" w:eastAsia="宋体"/>
                      <w:color w:val="auto"/>
                      <w:kern w:val="2"/>
                      <w:sz w:val="21"/>
                      <w:szCs w:val="21"/>
                      <w:lang w:val="en-US" w:eastAsia="zh-CN" w:bidi="ar-SA"/>
                    </w:rPr>
                  </w:pPr>
                </w:p>
              </w:tc>
              <w:tc>
                <w:tcPr>
                  <w:tcW w:w="855" w:type="pct"/>
                  <w:noWrap w:val="0"/>
                  <w:tcMar>
                    <w:top w:w="0" w:type="dxa"/>
                    <w:left w:w="0" w:type="dxa"/>
                    <w:bottom w:w="0" w:type="dxa"/>
                    <w:right w:w="0" w:type="dxa"/>
                  </w:tcMar>
                  <w:vAlign w:val="center"/>
                </w:tcPr>
                <w:p w14:paraId="62CF5E52">
                  <w:pPr>
                    <w:jc w:val="center"/>
                    <w:rPr>
                      <w:rFonts w:hint="default" w:eastAsia="宋体"/>
                      <w:color w:val="auto"/>
                      <w:kern w:val="2"/>
                      <w:sz w:val="21"/>
                      <w:szCs w:val="21"/>
                      <w:lang w:val="en-US" w:eastAsia="zh-CN" w:bidi="ar-SA"/>
                    </w:rPr>
                  </w:pPr>
                </w:p>
              </w:tc>
              <w:tc>
                <w:tcPr>
                  <w:tcW w:w="852" w:type="pct"/>
                  <w:noWrap w:val="0"/>
                  <w:tcMar>
                    <w:top w:w="0" w:type="dxa"/>
                    <w:left w:w="0" w:type="dxa"/>
                    <w:bottom w:w="0" w:type="dxa"/>
                    <w:right w:w="0" w:type="dxa"/>
                  </w:tcMar>
                  <w:vAlign w:val="center"/>
                </w:tcPr>
                <w:p w14:paraId="53BD1195">
                  <w:pPr>
                    <w:jc w:val="center"/>
                    <w:rPr>
                      <w:color w:val="auto"/>
                      <w:szCs w:val="21"/>
                    </w:rPr>
                  </w:pPr>
                </w:p>
              </w:tc>
            </w:tr>
            <w:tr w14:paraId="18C39733">
              <w:trPr>
                <w:trHeight w:val="397" w:hRule="atLeast"/>
                <w:jc w:val="center"/>
              </w:trPr>
              <w:tc>
                <w:tcPr>
                  <w:tcW w:w="315" w:type="pct"/>
                  <w:noWrap w:val="0"/>
                  <w:tcMar>
                    <w:top w:w="0" w:type="dxa"/>
                    <w:left w:w="0" w:type="dxa"/>
                    <w:bottom w:w="0" w:type="dxa"/>
                    <w:right w:w="0" w:type="dxa"/>
                  </w:tcMar>
                  <w:vAlign w:val="center"/>
                </w:tcPr>
                <w:p w14:paraId="1495B614">
                  <w:pPr>
                    <w:numPr>
                      <w:ilvl w:val="0"/>
                      <w:numId w:val="11"/>
                    </w:numPr>
                    <w:ind w:left="0" w:leftChars="0" w:firstLine="0" w:firstLineChars="0"/>
                    <w:jc w:val="center"/>
                    <w:rPr>
                      <w:rFonts w:hint="eastAsia" w:eastAsia="宋体"/>
                      <w:color w:val="auto"/>
                      <w:kern w:val="2"/>
                      <w:sz w:val="21"/>
                      <w:szCs w:val="21"/>
                      <w:lang w:val="en-US" w:eastAsia="zh-CN" w:bidi="ar-SA"/>
                    </w:rPr>
                  </w:pPr>
                </w:p>
              </w:tc>
              <w:tc>
                <w:tcPr>
                  <w:tcW w:w="933" w:type="pct"/>
                  <w:noWrap w:val="0"/>
                  <w:tcMar>
                    <w:top w:w="0" w:type="dxa"/>
                    <w:left w:w="0" w:type="dxa"/>
                    <w:bottom w:w="0" w:type="dxa"/>
                    <w:right w:w="0" w:type="dxa"/>
                  </w:tcMar>
                  <w:vAlign w:val="center"/>
                </w:tcPr>
                <w:p w14:paraId="54A03021">
                  <w:pPr>
                    <w:jc w:val="center"/>
                    <w:rPr>
                      <w:rFonts w:hint="default" w:eastAsia="宋体"/>
                      <w:color w:val="auto"/>
                      <w:kern w:val="2"/>
                      <w:sz w:val="21"/>
                      <w:szCs w:val="21"/>
                      <w:lang w:val="en-US" w:eastAsia="zh-CN" w:bidi="ar-SA"/>
                    </w:rPr>
                  </w:pPr>
                </w:p>
              </w:tc>
              <w:tc>
                <w:tcPr>
                  <w:tcW w:w="604" w:type="pct"/>
                  <w:noWrap w:val="0"/>
                  <w:tcMar>
                    <w:top w:w="0" w:type="dxa"/>
                    <w:left w:w="0" w:type="dxa"/>
                    <w:bottom w:w="0" w:type="dxa"/>
                    <w:right w:w="0" w:type="dxa"/>
                  </w:tcMar>
                  <w:vAlign w:val="center"/>
                </w:tcPr>
                <w:p w14:paraId="5185A56E">
                  <w:pPr>
                    <w:jc w:val="center"/>
                    <w:rPr>
                      <w:rFonts w:hint="eastAsia" w:eastAsia="宋体"/>
                      <w:color w:val="auto"/>
                      <w:kern w:val="2"/>
                      <w:sz w:val="21"/>
                      <w:szCs w:val="21"/>
                      <w:lang w:val="en-US" w:eastAsia="zh-CN" w:bidi="ar-SA"/>
                    </w:rPr>
                  </w:pPr>
                </w:p>
              </w:tc>
              <w:tc>
                <w:tcPr>
                  <w:tcW w:w="773" w:type="pct"/>
                  <w:noWrap w:val="0"/>
                  <w:tcMar>
                    <w:top w:w="0" w:type="dxa"/>
                    <w:left w:w="0" w:type="dxa"/>
                    <w:bottom w:w="0" w:type="dxa"/>
                    <w:right w:w="0" w:type="dxa"/>
                  </w:tcMar>
                  <w:vAlign w:val="center"/>
                </w:tcPr>
                <w:p w14:paraId="2214F665">
                  <w:pPr>
                    <w:jc w:val="center"/>
                    <w:rPr>
                      <w:rFonts w:hint="default" w:eastAsia="宋体"/>
                      <w:color w:val="auto"/>
                      <w:kern w:val="2"/>
                      <w:sz w:val="21"/>
                      <w:szCs w:val="21"/>
                      <w:lang w:val="en-US" w:eastAsia="zh-CN" w:bidi="ar-SA"/>
                    </w:rPr>
                  </w:pPr>
                </w:p>
              </w:tc>
              <w:tc>
                <w:tcPr>
                  <w:tcW w:w="666" w:type="pct"/>
                  <w:noWrap w:val="0"/>
                  <w:tcMar>
                    <w:top w:w="0" w:type="dxa"/>
                    <w:left w:w="0" w:type="dxa"/>
                    <w:bottom w:w="0" w:type="dxa"/>
                    <w:right w:w="0" w:type="dxa"/>
                  </w:tcMar>
                  <w:vAlign w:val="center"/>
                </w:tcPr>
                <w:p w14:paraId="3CEDF4D4">
                  <w:pPr>
                    <w:jc w:val="center"/>
                    <w:rPr>
                      <w:rFonts w:hint="default" w:eastAsia="宋体"/>
                      <w:color w:val="auto"/>
                      <w:kern w:val="2"/>
                      <w:sz w:val="21"/>
                      <w:szCs w:val="21"/>
                      <w:lang w:val="en-US" w:eastAsia="zh-CN" w:bidi="ar-SA"/>
                    </w:rPr>
                  </w:pPr>
                </w:p>
              </w:tc>
              <w:tc>
                <w:tcPr>
                  <w:tcW w:w="855" w:type="pct"/>
                  <w:noWrap w:val="0"/>
                  <w:tcMar>
                    <w:top w:w="0" w:type="dxa"/>
                    <w:left w:w="0" w:type="dxa"/>
                    <w:bottom w:w="0" w:type="dxa"/>
                    <w:right w:w="0" w:type="dxa"/>
                  </w:tcMar>
                  <w:vAlign w:val="center"/>
                </w:tcPr>
                <w:p w14:paraId="12F7813D">
                  <w:pPr>
                    <w:jc w:val="center"/>
                    <w:rPr>
                      <w:rFonts w:hint="default" w:eastAsia="宋体"/>
                      <w:color w:val="auto"/>
                      <w:kern w:val="2"/>
                      <w:sz w:val="21"/>
                      <w:szCs w:val="21"/>
                      <w:lang w:val="en-US" w:eastAsia="zh-CN" w:bidi="ar-SA"/>
                    </w:rPr>
                  </w:pPr>
                </w:p>
              </w:tc>
              <w:tc>
                <w:tcPr>
                  <w:tcW w:w="852" w:type="pct"/>
                  <w:noWrap w:val="0"/>
                  <w:tcMar>
                    <w:top w:w="0" w:type="dxa"/>
                    <w:left w:w="0" w:type="dxa"/>
                    <w:bottom w:w="0" w:type="dxa"/>
                    <w:right w:w="0" w:type="dxa"/>
                  </w:tcMar>
                  <w:vAlign w:val="center"/>
                </w:tcPr>
                <w:p w14:paraId="3C86D10C">
                  <w:pPr>
                    <w:jc w:val="center"/>
                    <w:rPr>
                      <w:color w:val="auto"/>
                      <w:szCs w:val="21"/>
                    </w:rPr>
                  </w:pPr>
                </w:p>
              </w:tc>
            </w:tr>
            <w:tr w14:paraId="76A805DF">
              <w:trPr>
                <w:trHeight w:val="397" w:hRule="atLeast"/>
                <w:jc w:val="center"/>
              </w:trPr>
              <w:tc>
                <w:tcPr>
                  <w:tcW w:w="315" w:type="pct"/>
                  <w:noWrap w:val="0"/>
                  <w:tcMar>
                    <w:top w:w="0" w:type="dxa"/>
                    <w:left w:w="0" w:type="dxa"/>
                    <w:bottom w:w="0" w:type="dxa"/>
                    <w:right w:w="0" w:type="dxa"/>
                  </w:tcMar>
                  <w:vAlign w:val="center"/>
                </w:tcPr>
                <w:p w14:paraId="5392AD2F">
                  <w:pPr>
                    <w:numPr>
                      <w:ilvl w:val="0"/>
                      <w:numId w:val="11"/>
                    </w:numPr>
                    <w:ind w:left="0" w:leftChars="0" w:firstLine="0" w:firstLineChars="0"/>
                    <w:jc w:val="center"/>
                    <w:rPr>
                      <w:rFonts w:hint="eastAsia" w:eastAsia="宋体"/>
                      <w:color w:val="auto"/>
                      <w:kern w:val="2"/>
                      <w:sz w:val="21"/>
                      <w:szCs w:val="21"/>
                      <w:lang w:val="en-US" w:eastAsia="zh-CN" w:bidi="ar-SA"/>
                    </w:rPr>
                  </w:pPr>
                </w:p>
              </w:tc>
              <w:tc>
                <w:tcPr>
                  <w:tcW w:w="933" w:type="pct"/>
                  <w:noWrap w:val="0"/>
                  <w:tcMar>
                    <w:top w:w="0" w:type="dxa"/>
                    <w:left w:w="0" w:type="dxa"/>
                    <w:bottom w:w="0" w:type="dxa"/>
                    <w:right w:w="0" w:type="dxa"/>
                  </w:tcMar>
                  <w:vAlign w:val="center"/>
                </w:tcPr>
                <w:p w14:paraId="1D15D4A8">
                  <w:pPr>
                    <w:jc w:val="center"/>
                    <w:rPr>
                      <w:rFonts w:hint="default" w:eastAsia="宋体"/>
                      <w:color w:val="auto"/>
                      <w:kern w:val="2"/>
                      <w:sz w:val="21"/>
                      <w:szCs w:val="21"/>
                      <w:lang w:val="en-US" w:eastAsia="zh-CN" w:bidi="ar-SA"/>
                    </w:rPr>
                  </w:pPr>
                </w:p>
              </w:tc>
              <w:tc>
                <w:tcPr>
                  <w:tcW w:w="604" w:type="pct"/>
                  <w:noWrap w:val="0"/>
                  <w:tcMar>
                    <w:top w:w="0" w:type="dxa"/>
                    <w:left w:w="0" w:type="dxa"/>
                    <w:bottom w:w="0" w:type="dxa"/>
                    <w:right w:w="0" w:type="dxa"/>
                  </w:tcMar>
                  <w:vAlign w:val="center"/>
                </w:tcPr>
                <w:p w14:paraId="17235FB4">
                  <w:pPr>
                    <w:jc w:val="center"/>
                    <w:rPr>
                      <w:rFonts w:hint="eastAsia" w:eastAsia="宋体"/>
                      <w:color w:val="auto"/>
                      <w:kern w:val="2"/>
                      <w:sz w:val="21"/>
                      <w:szCs w:val="21"/>
                      <w:lang w:val="en-US" w:eastAsia="zh-CN" w:bidi="ar-SA"/>
                    </w:rPr>
                  </w:pPr>
                </w:p>
              </w:tc>
              <w:tc>
                <w:tcPr>
                  <w:tcW w:w="773" w:type="pct"/>
                  <w:noWrap w:val="0"/>
                  <w:tcMar>
                    <w:top w:w="0" w:type="dxa"/>
                    <w:left w:w="0" w:type="dxa"/>
                    <w:bottom w:w="0" w:type="dxa"/>
                    <w:right w:w="0" w:type="dxa"/>
                  </w:tcMar>
                  <w:vAlign w:val="center"/>
                </w:tcPr>
                <w:p w14:paraId="3171B1F7">
                  <w:pPr>
                    <w:jc w:val="center"/>
                    <w:rPr>
                      <w:rFonts w:hint="default" w:eastAsia="宋体"/>
                      <w:color w:val="auto"/>
                      <w:kern w:val="2"/>
                      <w:sz w:val="21"/>
                      <w:szCs w:val="21"/>
                      <w:lang w:val="en-US" w:eastAsia="zh-CN" w:bidi="ar-SA"/>
                    </w:rPr>
                  </w:pPr>
                </w:p>
              </w:tc>
              <w:tc>
                <w:tcPr>
                  <w:tcW w:w="666" w:type="pct"/>
                  <w:noWrap w:val="0"/>
                  <w:tcMar>
                    <w:top w:w="0" w:type="dxa"/>
                    <w:left w:w="0" w:type="dxa"/>
                    <w:bottom w:w="0" w:type="dxa"/>
                    <w:right w:w="0" w:type="dxa"/>
                  </w:tcMar>
                  <w:vAlign w:val="center"/>
                </w:tcPr>
                <w:p w14:paraId="14A87985">
                  <w:pPr>
                    <w:jc w:val="center"/>
                    <w:rPr>
                      <w:rFonts w:hint="eastAsia" w:eastAsia="宋体"/>
                      <w:color w:val="auto"/>
                      <w:kern w:val="2"/>
                      <w:sz w:val="21"/>
                      <w:szCs w:val="21"/>
                      <w:lang w:val="en-US" w:eastAsia="zh-CN" w:bidi="ar-SA"/>
                    </w:rPr>
                  </w:pPr>
                </w:p>
              </w:tc>
              <w:tc>
                <w:tcPr>
                  <w:tcW w:w="855" w:type="pct"/>
                  <w:noWrap w:val="0"/>
                  <w:tcMar>
                    <w:top w:w="0" w:type="dxa"/>
                    <w:left w:w="0" w:type="dxa"/>
                    <w:bottom w:w="0" w:type="dxa"/>
                    <w:right w:w="0" w:type="dxa"/>
                  </w:tcMar>
                  <w:vAlign w:val="center"/>
                </w:tcPr>
                <w:p w14:paraId="467C37DF">
                  <w:pPr>
                    <w:jc w:val="center"/>
                    <w:rPr>
                      <w:rFonts w:hint="default" w:eastAsia="宋体"/>
                      <w:color w:val="auto"/>
                      <w:kern w:val="2"/>
                      <w:sz w:val="21"/>
                      <w:szCs w:val="21"/>
                      <w:lang w:val="en-US" w:eastAsia="zh-CN" w:bidi="ar-SA"/>
                    </w:rPr>
                  </w:pPr>
                </w:p>
              </w:tc>
              <w:tc>
                <w:tcPr>
                  <w:tcW w:w="852" w:type="pct"/>
                  <w:noWrap w:val="0"/>
                  <w:tcMar>
                    <w:top w:w="0" w:type="dxa"/>
                    <w:left w:w="0" w:type="dxa"/>
                    <w:bottom w:w="0" w:type="dxa"/>
                    <w:right w:w="0" w:type="dxa"/>
                  </w:tcMar>
                  <w:vAlign w:val="center"/>
                </w:tcPr>
                <w:p w14:paraId="0AB21494">
                  <w:pPr>
                    <w:keepNext w:val="0"/>
                    <w:keepLines w:val="0"/>
                    <w:suppressLineNumbers w:val="0"/>
                    <w:spacing w:before="0" w:beforeAutospacing="0" w:after="0" w:afterAutospacing="0"/>
                    <w:ind w:left="0" w:leftChars="0" w:right="0" w:rightChars="0"/>
                    <w:jc w:val="center"/>
                    <w:rPr>
                      <w:rFonts w:hint="eastAsia"/>
                      <w:color w:val="auto"/>
                      <w:kern w:val="2"/>
                      <w:sz w:val="21"/>
                      <w:szCs w:val="21"/>
                      <w:lang w:val="en-US" w:eastAsia="zh-CN" w:bidi="ar-SA"/>
                    </w:rPr>
                  </w:pPr>
                </w:p>
              </w:tc>
            </w:tr>
            <w:tr w14:paraId="045FF8B0">
              <w:trPr>
                <w:trHeight w:val="397" w:hRule="atLeast"/>
                <w:jc w:val="center"/>
              </w:trPr>
              <w:tc>
                <w:tcPr>
                  <w:tcW w:w="315" w:type="pct"/>
                  <w:noWrap w:val="0"/>
                  <w:tcMar>
                    <w:top w:w="0" w:type="dxa"/>
                    <w:left w:w="0" w:type="dxa"/>
                    <w:bottom w:w="0" w:type="dxa"/>
                    <w:right w:w="0" w:type="dxa"/>
                  </w:tcMar>
                  <w:vAlign w:val="center"/>
                </w:tcPr>
                <w:p w14:paraId="434727AC">
                  <w:pPr>
                    <w:numPr>
                      <w:ilvl w:val="0"/>
                      <w:numId w:val="11"/>
                    </w:numPr>
                    <w:ind w:left="0" w:leftChars="0" w:firstLine="0" w:firstLineChars="0"/>
                    <w:jc w:val="center"/>
                    <w:rPr>
                      <w:rFonts w:hint="default"/>
                      <w:color w:val="auto"/>
                      <w:szCs w:val="21"/>
                      <w:lang w:val="en-US" w:eastAsia="zh-CN"/>
                    </w:rPr>
                  </w:pPr>
                </w:p>
              </w:tc>
              <w:tc>
                <w:tcPr>
                  <w:tcW w:w="933" w:type="pct"/>
                  <w:noWrap w:val="0"/>
                  <w:tcMar>
                    <w:top w:w="0" w:type="dxa"/>
                    <w:left w:w="0" w:type="dxa"/>
                    <w:bottom w:w="0" w:type="dxa"/>
                    <w:right w:w="0" w:type="dxa"/>
                  </w:tcMar>
                  <w:vAlign w:val="center"/>
                </w:tcPr>
                <w:p w14:paraId="28733CB8">
                  <w:pPr>
                    <w:jc w:val="center"/>
                    <w:rPr>
                      <w:rFonts w:hint="default" w:eastAsia="宋体"/>
                      <w:color w:val="auto"/>
                      <w:kern w:val="2"/>
                      <w:sz w:val="21"/>
                      <w:szCs w:val="21"/>
                      <w:lang w:val="en-US" w:eastAsia="zh-CN" w:bidi="ar-SA"/>
                    </w:rPr>
                  </w:pPr>
                </w:p>
              </w:tc>
              <w:tc>
                <w:tcPr>
                  <w:tcW w:w="604" w:type="pct"/>
                  <w:noWrap w:val="0"/>
                  <w:tcMar>
                    <w:top w:w="0" w:type="dxa"/>
                    <w:left w:w="0" w:type="dxa"/>
                    <w:bottom w:w="0" w:type="dxa"/>
                    <w:right w:w="0" w:type="dxa"/>
                  </w:tcMar>
                  <w:vAlign w:val="center"/>
                </w:tcPr>
                <w:p w14:paraId="073C4D80">
                  <w:pPr>
                    <w:jc w:val="center"/>
                    <w:rPr>
                      <w:rFonts w:hint="eastAsia" w:eastAsia="宋体"/>
                      <w:color w:val="auto"/>
                      <w:lang w:val="en-US" w:eastAsia="zh-CN"/>
                    </w:rPr>
                  </w:pPr>
                </w:p>
              </w:tc>
              <w:tc>
                <w:tcPr>
                  <w:tcW w:w="773" w:type="pct"/>
                  <w:noWrap w:val="0"/>
                  <w:tcMar>
                    <w:top w:w="0" w:type="dxa"/>
                    <w:left w:w="0" w:type="dxa"/>
                    <w:bottom w:w="0" w:type="dxa"/>
                    <w:right w:w="0" w:type="dxa"/>
                  </w:tcMar>
                  <w:vAlign w:val="center"/>
                </w:tcPr>
                <w:p w14:paraId="5EAEDCD8">
                  <w:pPr>
                    <w:jc w:val="center"/>
                    <w:rPr>
                      <w:rFonts w:hint="default"/>
                      <w:color w:val="auto"/>
                      <w:szCs w:val="21"/>
                      <w:lang w:val="en-US" w:eastAsia="zh-CN"/>
                    </w:rPr>
                  </w:pPr>
                </w:p>
              </w:tc>
              <w:tc>
                <w:tcPr>
                  <w:tcW w:w="666" w:type="pct"/>
                  <w:noWrap w:val="0"/>
                  <w:tcMar>
                    <w:top w:w="0" w:type="dxa"/>
                    <w:left w:w="0" w:type="dxa"/>
                    <w:bottom w:w="0" w:type="dxa"/>
                    <w:right w:w="0" w:type="dxa"/>
                  </w:tcMar>
                  <w:vAlign w:val="center"/>
                </w:tcPr>
                <w:p w14:paraId="581DC4D7">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477B8CC6">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643BA3F0">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00D7831B">
              <w:trPr>
                <w:trHeight w:val="397" w:hRule="atLeast"/>
                <w:jc w:val="center"/>
              </w:trPr>
              <w:tc>
                <w:tcPr>
                  <w:tcW w:w="315" w:type="pct"/>
                  <w:noWrap w:val="0"/>
                  <w:tcMar>
                    <w:top w:w="0" w:type="dxa"/>
                    <w:left w:w="0" w:type="dxa"/>
                    <w:bottom w:w="0" w:type="dxa"/>
                    <w:right w:w="0" w:type="dxa"/>
                  </w:tcMar>
                  <w:vAlign w:val="center"/>
                </w:tcPr>
                <w:p w14:paraId="4AA1372A">
                  <w:pPr>
                    <w:numPr>
                      <w:ilvl w:val="0"/>
                      <w:numId w:val="11"/>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099B9948">
                  <w:pPr>
                    <w:jc w:val="center"/>
                    <w:rPr>
                      <w:rFonts w:hint="default" w:eastAsia="宋体"/>
                      <w:color w:val="auto"/>
                      <w:kern w:val="2"/>
                      <w:sz w:val="21"/>
                      <w:szCs w:val="21"/>
                      <w:lang w:val="en-US" w:eastAsia="zh-CN" w:bidi="ar-SA"/>
                    </w:rPr>
                  </w:pPr>
                </w:p>
              </w:tc>
              <w:tc>
                <w:tcPr>
                  <w:tcW w:w="604" w:type="pct"/>
                  <w:noWrap w:val="0"/>
                  <w:tcMar>
                    <w:top w:w="0" w:type="dxa"/>
                    <w:left w:w="0" w:type="dxa"/>
                    <w:bottom w:w="0" w:type="dxa"/>
                    <w:right w:w="0" w:type="dxa"/>
                  </w:tcMar>
                  <w:vAlign w:val="center"/>
                </w:tcPr>
                <w:p w14:paraId="2E0AA1B1">
                  <w:pPr>
                    <w:jc w:val="center"/>
                    <w:rPr>
                      <w:rFonts w:hint="eastAsia" w:eastAsia="宋体"/>
                      <w:color w:val="auto"/>
                      <w:lang w:val="en-US" w:eastAsia="zh-CN"/>
                    </w:rPr>
                  </w:pPr>
                </w:p>
              </w:tc>
              <w:tc>
                <w:tcPr>
                  <w:tcW w:w="773" w:type="pct"/>
                  <w:noWrap w:val="0"/>
                  <w:tcMar>
                    <w:top w:w="0" w:type="dxa"/>
                    <w:left w:w="0" w:type="dxa"/>
                    <w:bottom w:w="0" w:type="dxa"/>
                    <w:right w:w="0" w:type="dxa"/>
                  </w:tcMar>
                  <w:vAlign w:val="center"/>
                </w:tcPr>
                <w:p w14:paraId="005C7210">
                  <w:pPr>
                    <w:jc w:val="center"/>
                    <w:rPr>
                      <w:rFonts w:hint="default"/>
                      <w:color w:val="auto"/>
                      <w:szCs w:val="21"/>
                      <w:lang w:val="en-US" w:eastAsia="zh-CN"/>
                    </w:rPr>
                  </w:pPr>
                </w:p>
              </w:tc>
              <w:tc>
                <w:tcPr>
                  <w:tcW w:w="666" w:type="pct"/>
                  <w:noWrap w:val="0"/>
                  <w:tcMar>
                    <w:top w:w="0" w:type="dxa"/>
                    <w:left w:w="0" w:type="dxa"/>
                    <w:bottom w:w="0" w:type="dxa"/>
                    <w:right w:w="0" w:type="dxa"/>
                  </w:tcMar>
                  <w:vAlign w:val="center"/>
                </w:tcPr>
                <w:p w14:paraId="03A5A6A0">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224A63D2">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2EE08773">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2D08601E">
              <w:trPr>
                <w:trHeight w:val="397" w:hRule="atLeast"/>
                <w:jc w:val="center"/>
              </w:trPr>
              <w:tc>
                <w:tcPr>
                  <w:tcW w:w="315" w:type="pct"/>
                  <w:noWrap w:val="0"/>
                  <w:tcMar>
                    <w:top w:w="0" w:type="dxa"/>
                    <w:left w:w="0" w:type="dxa"/>
                    <w:bottom w:w="0" w:type="dxa"/>
                    <w:right w:w="0" w:type="dxa"/>
                  </w:tcMar>
                  <w:vAlign w:val="center"/>
                </w:tcPr>
                <w:p w14:paraId="3CD5E64A">
                  <w:pPr>
                    <w:numPr>
                      <w:ilvl w:val="0"/>
                      <w:numId w:val="11"/>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11B664DF">
                  <w:pPr>
                    <w:jc w:val="center"/>
                    <w:rPr>
                      <w:rFonts w:hint="default" w:eastAsia="宋体"/>
                      <w:color w:val="auto"/>
                      <w:kern w:val="2"/>
                      <w:sz w:val="21"/>
                      <w:szCs w:val="21"/>
                      <w:lang w:val="en-US" w:eastAsia="zh-CN" w:bidi="ar-SA"/>
                    </w:rPr>
                  </w:pPr>
                </w:p>
              </w:tc>
              <w:tc>
                <w:tcPr>
                  <w:tcW w:w="604" w:type="pct"/>
                  <w:noWrap w:val="0"/>
                  <w:tcMar>
                    <w:top w:w="0" w:type="dxa"/>
                    <w:left w:w="0" w:type="dxa"/>
                    <w:bottom w:w="0" w:type="dxa"/>
                    <w:right w:w="0" w:type="dxa"/>
                  </w:tcMar>
                  <w:vAlign w:val="center"/>
                </w:tcPr>
                <w:p w14:paraId="4EE0C181">
                  <w:pPr>
                    <w:jc w:val="center"/>
                    <w:rPr>
                      <w:rFonts w:hint="eastAsia" w:eastAsia="宋体"/>
                      <w:color w:val="auto"/>
                      <w:lang w:val="en-US" w:eastAsia="zh-CN"/>
                    </w:rPr>
                  </w:pPr>
                </w:p>
              </w:tc>
              <w:tc>
                <w:tcPr>
                  <w:tcW w:w="773" w:type="pct"/>
                  <w:noWrap w:val="0"/>
                  <w:tcMar>
                    <w:top w:w="0" w:type="dxa"/>
                    <w:left w:w="0" w:type="dxa"/>
                    <w:bottom w:w="0" w:type="dxa"/>
                    <w:right w:w="0" w:type="dxa"/>
                  </w:tcMar>
                  <w:vAlign w:val="center"/>
                </w:tcPr>
                <w:p w14:paraId="2A485E9E">
                  <w:pPr>
                    <w:jc w:val="center"/>
                    <w:rPr>
                      <w:rFonts w:hint="default"/>
                      <w:color w:val="auto"/>
                      <w:szCs w:val="21"/>
                      <w:lang w:val="en-US" w:eastAsia="zh-CN"/>
                    </w:rPr>
                  </w:pPr>
                </w:p>
              </w:tc>
              <w:tc>
                <w:tcPr>
                  <w:tcW w:w="666" w:type="pct"/>
                  <w:noWrap w:val="0"/>
                  <w:tcMar>
                    <w:top w:w="0" w:type="dxa"/>
                    <w:left w:w="0" w:type="dxa"/>
                    <w:bottom w:w="0" w:type="dxa"/>
                    <w:right w:w="0" w:type="dxa"/>
                  </w:tcMar>
                  <w:vAlign w:val="center"/>
                </w:tcPr>
                <w:p w14:paraId="200DA560">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0B6F358C">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170E6A19">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4F5DCA50">
              <w:trPr>
                <w:trHeight w:val="397" w:hRule="atLeast"/>
                <w:jc w:val="center"/>
              </w:trPr>
              <w:tc>
                <w:tcPr>
                  <w:tcW w:w="315" w:type="pct"/>
                  <w:noWrap w:val="0"/>
                  <w:tcMar>
                    <w:top w:w="0" w:type="dxa"/>
                    <w:left w:w="0" w:type="dxa"/>
                    <w:bottom w:w="0" w:type="dxa"/>
                    <w:right w:w="0" w:type="dxa"/>
                  </w:tcMar>
                  <w:vAlign w:val="center"/>
                </w:tcPr>
                <w:p w14:paraId="2B674105">
                  <w:pPr>
                    <w:numPr>
                      <w:ilvl w:val="0"/>
                      <w:numId w:val="11"/>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61C74863">
                  <w:pPr>
                    <w:jc w:val="center"/>
                    <w:rPr>
                      <w:rFonts w:hint="default" w:eastAsia="宋体"/>
                      <w:color w:val="auto"/>
                      <w:kern w:val="2"/>
                      <w:sz w:val="21"/>
                      <w:szCs w:val="21"/>
                      <w:lang w:val="en-US" w:eastAsia="zh-CN" w:bidi="ar-SA"/>
                    </w:rPr>
                  </w:pPr>
                </w:p>
              </w:tc>
              <w:tc>
                <w:tcPr>
                  <w:tcW w:w="604" w:type="pct"/>
                  <w:noWrap w:val="0"/>
                  <w:tcMar>
                    <w:top w:w="0" w:type="dxa"/>
                    <w:left w:w="0" w:type="dxa"/>
                    <w:bottom w:w="0" w:type="dxa"/>
                    <w:right w:w="0" w:type="dxa"/>
                  </w:tcMar>
                  <w:vAlign w:val="center"/>
                </w:tcPr>
                <w:p w14:paraId="6567147B">
                  <w:pPr>
                    <w:jc w:val="center"/>
                    <w:rPr>
                      <w:rFonts w:hint="eastAsia" w:eastAsia="宋体"/>
                      <w:color w:val="auto"/>
                      <w:lang w:val="en-US" w:eastAsia="zh-CN"/>
                    </w:rPr>
                  </w:pPr>
                </w:p>
              </w:tc>
              <w:tc>
                <w:tcPr>
                  <w:tcW w:w="773" w:type="pct"/>
                  <w:noWrap w:val="0"/>
                  <w:tcMar>
                    <w:top w:w="0" w:type="dxa"/>
                    <w:left w:w="0" w:type="dxa"/>
                    <w:bottom w:w="0" w:type="dxa"/>
                    <w:right w:w="0" w:type="dxa"/>
                  </w:tcMar>
                  <w:vAlign w:val="center"/>
                </w:tcPr>
                <w:p w14:paraId="2536B7B1">
                  <w:pPr>
                    <w:jc w:val="center"/>
                    <w:rPr>
                      <w:rFonts w:hint="default"/>
                      <w:color w:val="auto"/>
                      <w:szCs w:val="21"/>
                      <w:lang w:val="en-US" w:eastAsia="zh-CN"/>
                    </w:rPr>
                  </w:pPr>
                </w:p>
              </w:tc>
              <w:tc>
                <w:tcPr>
                  <w:tcW w:w="666" w:type="pct"/>
                  <w:noWrap w:val="0"/>
                  <w:tcMar>
                    <w:top w:w="0" w:type="dxa"/>
                    <w:left w:w="0" w:type="dxa"/>
                    <w:bottom w:w="0" w:type="dxa"/>
                    <w:right w:w="0" w:type="dxa"/>
                  </w:tcMar>
                  <w:vAlign w:val="center"/>
                </w:tcPr>
                <w:p w14:paraId="71D0062B">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1CD7BCBE">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736661AE">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74EEF20A">
              <w:trPr>
                <w:trHeight w:val="397" w:hRule="atLeast"/>
                <w:jc w:val="center"/>
              </w:trPr>
              <w:tc>
                <w:tcPr>
                  <w:tcW w:w="315" w:type="pct"/>
                  <w:noWrap w:val="0"/>
                  <w:tcMar>
                    <w:top w:w="0" w:type="dxa"/>
                    <w:left w:w="0" w:type="dxa"/>
                    <w:bottom w:w="0" w:type="dxa"/>
                    <w:right w:w="0" w:type="dxa"/>
                  </w:tcMar>
                  <w:vAlign w:val="center"/>
                </w:tcPr>
                <w:p w14:paraId="60329A35">
                  <w:pPr>
                    <w:numPr>
                      <w:ilvl w:val="0"/>
                      <w:numId w:val="11"/>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77B3D2AC">
                  <w:pPr>
                    <w:jc w:val="center"/>
                    <w:rPr>
                      <w:rFonts w:hint="default" w:eastAsia="宋体"/>
                      <w:color w:val="auto"/>
                      <w:kern w:val="2"/>
                      <w:sz w:val="21"/>
                      <w:szCs w:val="21"/>
                      <w:lang w:val="en-US" w:eastAsia="zh-CN" w:bidi="ar-SA"/>
                    </w:rPr>
                  </w:pPr>
                </w:p>
              </w:tc>
              <w:tc>
                <w:tcPr>
                  <w:tcW w:w="604" w:type="pct"/>
                  <w:noWrap w:val="0"/>
                  <w:tcMar>
                    <w:top w:w="0" w:type="dxa"/>
                    <w:left w:w="0" w:type="dxa"/>
                    <w:bottom w:w="0" w:type="dxa"/>
                    <w:right w:w="0" w:type="dxa"/>
                  </w:tcMar>
                  <w:vAlign w:val="center"/>
                </w:tcPr>
                <w:p w14:paraId="41ECFC0C">
                  <w:pPr>
                    <w:jc w:val="center"/>
                    <w:rPr>
                      <w:rFonts w:hint="eastAsia" w:eastAsia="宋体"/>
                      <w:color w:val="auto"/>
                      <w:lang w:val="en-US" w:eastAsia="zh-CN"/>
                    </w:rPr>
                  </w:pPr>
                </w:p>
              </w:tc>
              <w:tc>
                <w:tcPr>
                  <w:tcW w:w="773" w:type="pct"/>
                  <w:noWrap w:val="0"/>
                  <w:tcMar>
                    <w:top w:w="0" w:type="dxa"/>
                    <w:left w:w="0" w:type="dxa"/>
                    <w:bottom w:w="0" w:type="dxa"/>
                    <w:right w:w="0" w:type="dxa"/>
                  </w:tcMar>
                  <w:vAlign w:val="center"/>
                </w:tcPr>
                <w:p w14:paraId="77A08208">
                  <w:pPr>
                    <w:jc w:val="center"/>
                    <w:rPr>
                      <w:rFonts w:hint="default"/>
                      <w:color w:val="auto"/>
                      <w:szCs w:val="21"/>
                      <w:lang w:val="en-US" w:eastAsia="zh-CN"/>
                    </w:rPr>
                  </w:pPr>
                </w:p>
              </w:tc>
              <w:tc>
                <w:tcPr>
                  <w:tcW w:w="666" w:type="pct"/>
                  <w:noWrap w:val="0"/>
                  <w:tcMar>
                    <w:top w:w="0" w:type="dxa"/>
                    <w:left w:w="0" w:type="dxa"/>
                    <w:bottom w:w="0" w:type="dxa"/>
                    <w:right w:w="0" w:type="dxa"/>
                  </w:tcMar>
                  <w:vAlign w:val="center"/>
                </w:tcPr>
                <w:p w14:paraId="3B1257D4">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7CEA36EE">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6EB963C2">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320A5821">
              <w:trPr>
                <w:trHeight w:val="397" w:hRule="atLeast"/>
                <w:jc w:val="center"/>
              </w:trPr>
              <w:tc>
                <w:tcPr>
                  <w:tcW w:w="315" w:type="pct"/>
                  <w:noWrap w:val="0"/>
                  <w:tcMar>
                    <w:top w:w="0" w:type="dxa"/>
                    <w:left w:w="0" w:type="dxa"/>
                    <w:bottom w:w="0" w:type="dxa"/>
                    <w:right w:w="0" w:type="dxa"/>
                  </w:tcMar>
                  <w:vAlign w:val="center"/>
                </w:tcPr>
                <w:p w14:paraId="448757F9">
                  <w:pPr>
                    <w:numPr>
                      <w:ilvl w:val="0"/>
                      <w:numId w:val="11"/>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67C20E28">
                  <w:pPr>
                    <w:jc w:val="center"/>
                    <w:rPr>
                      <w:rFonts w:hint="default" w:eastAsia="宋体"/>
                      <w:color w:val="auto"/>
                      <w:kern w:val="2"/>
                      <w:sz w:val="21"/>
                      <w:szCs w:val="21"/>
                      <w:lang w:val="en-US" w:eastAsia="zh-CN" w:bidi="ar-SA"/>
                    </w:rPr>
                  </w:pPr>
                </w:p>
              </w:tc>
              <w:tc>
                <w:tcPr>
                  <w:tcW w:w="604" w:type="pct"/>
                  <w:noWrap w:val="0"/>
                  <w:tcMar>
                    <w:top w:w="0" w:type="dxa"/>
                    <w:left w:w="0" w:type="dxa"/>
                    <w:bottom w:w="0" w:type="dxa"/>
                    <w:right w:w="0" w:type="dxa"/>
                  </w:tcMar>
                  <w:vAlign w:val="center"/>
                </w:tcPr>
                <w:p w14:paraId="1ED18E58">
                  <w:pPr>
                    <w:jc w:val="center"/>
                    <w:rPr>
                      <w:rFonts w:hint="eastAsia" w:eastAsia="宋体"/>
                      <w:color w:val="auto"/>
                      <w:lang w:val="en-US" w:eastAsia="zh-CN"/>
                    </w:rPr>
                  </w:pPr>
                </w:p>
              </w:tc>
              <w:tc>
                <w:tcPr>
                  <w:tcW w:w="773" w:type="pct"/>
                  <w:noWrap w:val="0"/>
                  <w:tcMar>
                    <w:top w:w="0" w:type="dxa"/>
                    <w:left w:w="0" w:type="dxa"/>
                    <w:bottom w:w="0" w:type="dxa"/>
                    <w:right w:w="0" w:type="dxa"/>
                  </w:tcMar>
                  <w:vAlign w:val="center"/>
                </w:tcPr>
                <w:p w14:paraId="48AE6FF7">
                  <w:pPr>
                    <w:jc w:val="center"/>
                    <w:rPr>
                      <w:rFonts w:hint="default"/>
                      <w:color w:val="auto"/>
                      <w:szCs w:val="21"/>
                      <w:lang w:val="en-US" w:eastAsia="zh-CN"/>
                    </w:rPr>
                  </w:pPr>
                </w:p>
              </w:tc>
              <w:tc>
                <w:tcPr>
                  <w:tcW w:w="666" w:type="pct"/>
                  <w:noWrap w:val="0"/>
                  <w:tcMar>
                    <w:top w:w="0" w:type="dxa"/>
                    <w:left w:w="0" w:type="dxa"/>
                    <w:bottom w:w="0" w:type="dxa"/>
                    <w:right w:w="0" w:type="dxa"/>
                  </w:tcMar>
                  <w:vAlign w:val="center"/>
                </w:tcPr>
                <w:p w14:paraId="0608E815">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76980957">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06D73A75">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16061172">
              <w:trPr>
                <w:trHeight w:val="397" w:hRule="atLeast"/>
                <w:jc w:val="center"/>
              </w:trPr>
              <w:tc>
                <w:tcPr>
                  <w:tcW w:w="315" w:type="pct"/>
                  <w:noWrap w:val="0"/>
                  <w:tcMar>
                    <w:top w:w="0" w:type="dxa"/>
                    <w:left w:w="0" w:type="dxa"/>
                    <w:bottom w:w="0" w:type="dxa"/>
                    <w:right w:w="0" w:type="dxa"/>
                  </w:tcMar>
                  <w:vAlign w:val="center"/>
                </w:tcPr>
                <w:p w14:paraId="258D008F">
                  <w:pPr>
                    <w:numPr>
                      <w:ilvl w:val="0"/>
                      <w:numId w:val="11"/>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1E382A25">
                  <w:pPr>
                    <w:jc w:val="center"/>
                    <w:rPr>
                      <w:rFonts w:hint="default" w:eastAsia="宋体"/>
                      <w:color w:val="auto"/>
                      <w:kern w:val="2"/>
                      <w:sz w:val="21"/>
                      <w:szCs w:val="21"/>
                      <w:lang w:val="en-US" w:eastAsia="zh-CN" w:bidi="ar-SA"/>
                    </w:rPr>
                  </w:pPr>
                </w:p>
              </w:tc>
              <w:tc>
                <w:tcPr>
                  <w:tcW w:w="604" w:type="pct"/>
                  <w:noWrap w:val="0"/>
                  <w:tcMar>
                    <w:top w:w="0" w:type="dxa"/>
                    <w:left w:w="0" w:type="dxa"/>
                    <w:bottom w:w="0" w:type="dxa"/>
                    <w:right w:w="0" w:type="dxa"/>
                  </w:tcMar>
                  <w:vAlign w:val="center"/>
                </w:tcPr>
                <w:p w14:paraId="4F2A5F94">
                  <w:pPr>
                    <w:jc w:val="center"/>
                    <w:rPr>
                      <w:rFonts w:hint="eastAsia" w:eastAsia="宋体"/>
                      <w:color w:val="auto"/>
                      <w:lang w:val="en-US" w:eastAsia="zh-CN"/>
                    </w:rPr>
                  </w:pPr>
                </w:p>
              </w:tc>
              <w:tc>
                <w:tcPr>
                  <w:tcW w:w="773" w:type="pct"/>
                  <w:noWrap w:val="0"/>
                  <w:tcMar>
                    <w:top w:w="0" w:type="dxa"/>
                    <w:left w:w="0" w:type="dxa"/>
                    <w:bottom w:w="0" w:type="dxa"/>
                    <w:right w:w="0" w:type="dxa"/>
                  </w:tcMar>
                  <w:vAlign w:val="center"/>
                </w:tcPr>
                <w:p w14:paraId="41A75889">
                  <w:pPr>
                    <w:jc w:val="center"/>
                    <w:rPr>
                      <w:rFonts w:hint="default"/>
                      <w:color w:val="auto"/>
                      <w:szCs w:val="21"/>
                      <w:lang w:val="en-US" w:eastAsia="zh-CN"/>
                    </w:rPr>
                  </w:pPr>
                </w:p>
              </w:tc>
              <w:tc>
                <w:tcPr>
                  <w:tcW w:w="666" w:type="pct"/>
                  <w:noWrap w:val="0"/>
                  <w:tcMar>
                    <w:top w:w="0" w:type="dxa"/>
                    <w:left w:w="0" w:type="dxa"/>
                    <w:bottom w:w="0" w:type="dxa"/>
                    <w:right w:w="0" w:type="dxa"/>
                  </w:tcMar>
                  <w:vAlign w:val="center"/>
                </w:tcPr>
                <w:p w14:paraId="778FDFB6">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116FD654">
                  <w:pPr>
                    <w:keepNext w:val="0"/>
                    <w:keepLines w:val="0"/>
                    <w:suppressLineNumbers w:val="0"/>
                    <w:spacing w:before="0" w:beforeAutospacing="0" w:after="0" w:afterAutospacing="0"/>
                    <w:ind w:left="0" w:leftChars="0" w:right="0" w:rightChars="0"/>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42EA6C48">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36AB3C45">
              <w:trPr>
                <w:trHeight w:val="397" w:hRule="atLeast"/>
                <w:jc w:val="center"/>
              </w:trPr>
              <w:tc>
                <w:tcPr>
                  <w:tcW w:w="5000" w:type="pct"/>
                  <w:gridSpan w:val="7"/>
                  <w:noWrap w:val="0"/>
                  <w:tcMar>
                    <w:top w:w="0" w:type="dxa"/>
                    <w:left w:w="0" w:type="dxa"/>
                    <w:bottom w:w="0" w:type="dxa"/>
                    <w:right w:w="0" w:type="dxa"/>
                  </w:tcMar>
                  <w:vAlign w:val="center"/>
                </w:tcPr>
                <w:p w14:paraId="408F3895">
                  <w:pPr>
                    <w:keepNext w:val="0"/>
                    <w:keepLines w:val="0"/>
                    <w:suppressLineNumbers w:val="0"/>
                    <w:spacing w:before="0" w:beforeAutospacing="0" w:after="0" w:afterAutospacing="0"/>
                    <w:ind w:left="0" w:leftChars="0" w:right="0" w:rightChars="0"/>
                    <w:jc w:val="center"/>
                    <w:rPr>
                      <w:rFonts w:hint="eastAsia" w:eastAsia="宋体"/>
                      <w:color w:val="auto"/>
                      <w:szCs w:val="21"/>
                      <w:lang w:val="en-US" w:eastAsia="zh-CN"/>
                    </w:rPr>
                  </w:pPr>
                </w:p>
              </w:tc>
            </w:tr>
            <w:tr w14:paraId="5921C90B">
              <w:trPr>
                <w:trHeight w:val="397" w:hRule="atLeast"/>
                <w:jc w:val="center"/>
              </w:trPr>
              <w:tc>
                <w:tcPr>
                  <w:tcW w:w="315" w:type="pct"/>
                  <w:noWrap w:val="0"/>
                  <w:tcMar>
                    <w:top w:w="0" w:type="dxa"/>
                    <w:left w:w="0" w:type="dxa"/>
                    <w:bottom w:w="0" w:type="dxa"/>
                    <w:right w:w="0" w:type="dxa"/>
                  </w:tcMar>
                  <w:vAlign w:val="center"/>
                </w:tcPr>
                <w:p w14:paraId="2354609B">
                  <w:pPr>
                    <w:numPr>
                      <w:ilvl w:val="0"/>
                      <w:numId w:val="12"/>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2C46AEBC">
                  <w:pPr>
                    <w:jc w:val="center"/>
                    <w:rPr>
                      <w:rFonts w:hint="eastAsia"/>
                      <w:color w:val="auto"/>
                      <w:szCs w:val="21"/>
                    </w:rPr>
                  </w:pPr>
                </w:p>
              </w:tc>
              <w:tc>
                <w:tcPr>
                  <w:tcW w:w="604" w:type="pct"/>
                  <w:noWrap w:val="0"/>
                  <w:tcMar>
                    <w:top w:w="0" w:type="dxa"/>
                    <w:left w:w="0" w:type="dxa"/>
                    <w:bottom w:w="0" w:type="dxa"/>
                    <w:right w:w="0" w:type="dxa"/>
                  </w:tcMar>
                  <w:vAlign w:val="center"/>
                </w:tcPr>
                <w:p w14:paraId="3983F6D1">
                  <w:pPr>
                    <w:jc w:val="center"/>
                    <w:rPr>
                      <w:rFonts w:hint="eastAsia"/>
                      <w:color w:val="auto"/>
                      <w:szCs w:val="21"/>
                    </w:rPr>
                  </w:pPr>
                </w:p>
              </w:tc>
              <w:tc>
                <w:tcPr>
                  <w:tcW w:w="773" w:type="pct"/>
                  <w:noWrap w:val="0"/>
                  <w:tcMar>
                    <w:top w:w="0" w:type="dxa"/>
                    <w:left w:w="0" w:type="dxa"/>
                    <w:bottom w:w="0" w:type="dxa"/>
                    <w:right w:w="0" w:type="dxa"/>
                  </w:tcMar>
                  <w:vAlign w:val="center"/>
                </w:tcPr>
                <w:p w14:paraId="32C6EF47">
                  <w:pPr>
                    <w:jc w:val="center"/>
                    <w:rPr>
                      <w:rFonts w:hint="eastAsia"/>
                      <w:color w:val="auto"/>
                      <w:szCs w:val="21"/>
                    </w:rPr>
                  </w:pPr>
                </w:p>
              </w:tc>
              <w:tc>
                <w:tcPr>
                  <w:tcW w:w="666" w:type="pct"/>
                  <w:noWrap w:val="0"/>
                  <w:tcMar>
                    <w:top w:w="0" w:type="dxa"/>
                    <w:left w:w="0" w:type="dxa"/>
                    <w:bottom w:w="0" w:type="dxa"/>
                    <w:right w:w="0" w:type="dxa"/>
                  </w:tcMar>
                  <w:vAlign w:val="center"/>
                </w:tcPr>
                <w:p w14:paraId="23711844">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250EE6EB">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72A5758C">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2985B6C6">
              <w:trPr>
                <w:trHeight w:val="397" w:hRule="atLeast"/>
                <w:jc w:val="center"/>
              </w:trPr>
              <w:tc>
                <w:tcPr>
                  <w:tcW w:w="315" w:type="pct"/>
                  <w:noWrap w:val="0"/>
                  <w:tcMar>
                    <w:top w:w="0" w:type="dxa"/>
                    <w:left w:w="0" w:type="dxa"/>
                    <w:bottom w:w="0" w:type="dxa"/>
                    <w:right w:w="0" w:type="dxa"/>
                  </w:tcMar>
                  <w:vAlign w:val="center"/>
                </w:tcPr>
                <w:p w14:paraId="13E414E0">
                  <w:pPr>
                    <w:numPr>
                      <w:ilvl w:val="0"/>
                      <w:numId w:val="12"/>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770133DC">
                  <w:pPr>
                    <w:jc w:val="center"/>
                    <w:rPr>
                      <w:rFonts w:hint="eastAsia"/>
                      <w:color w:val="auto"/>
                      <w:szCs w:val="21"/>
                    </w:rPr>
                  </w:pPr>
                </w:p>
              </w:tc>
              <w:tc>
                <w:tcPr>
                  <w:tcW w:w="604" w:type="pct"/>
                  <w:noWrap w:val="0"/>
                  <w:tcMar>
                    <w:top w:w="0" w:type="dxa"/>
                    <w:left w:w="0" w:type="dxa"/>
                    <w:bottom w:w="0" w:type="dxa"/>
                    <w:right w:w="0" w:type="dxa"/>
                  </w:tcMar>
                  <w:vAlign w:val="center"/>
                </w:tcPr>
                <w:p w14:paraId="11AB96BB">
                  <w:pPr>
                    <w:jc w:val="center"/>
                    <w:rPr>
                      <w:rFonts w:hint="eastAsia"/>
                      <w:color w:val="auto"/>
                      <w:szCs w:val="21"/>
                    </w:rPr>
                  </w:pPr>
                </w:p>
              </w:tc>
              <w:tc>
                <w:tcPr>
                  <w:tcW w:w="773" w:type="pct"/>
                  <w:noWrap w:val="0"/>
                  <w:tcMar>
                    <w:top w:w="0" w:type="dxa"/>
                    <w:left w:w="0" w:type="dxa"/>
                    <w:bottom w:w="0" w:type="dxa"/>
                    <w:right w:w="0" w:type="dxa"/>
                  </w:tcMar>
                  <w:vAlign w:val="center"/>
                </w:tcPr>
                <w:p w14:paraId="667ABB35">
                  <w:pPr>
                    <w:jc w:val="center"/>
                    <w:rPr>
                      <w:rFonts w:hint="eastAsia"/>
                      <w:color w:val="auto"/>
                      <w:szCs w:val="21"/>
                    </w:rPr>
                  </w:pPr>
                </w:p>
              </w:tc>
              <w:tc>
                <w:tcPr>
                  <w:tcW w:w="666" w:type="pct"/>
                  <w:noWrap w:val="0"/>
                  <w:tcMar>
                    <w:top w:w="0" w:type="dxa"/>
                    <w:left w:w="0" w:type="dxa"/>
                    <w:bottom w:w="0" w:type="dxa"/>
                    <w:right w:w="0" w:type="dxa"/>
                  </w:tcMar>
                  <w:vAlign w:val="center"/>
                </w:tcPr>
                <w:p w14:paraId="4807E988">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34EA227D">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166271E4">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443D714C">
              <w:trPr>
                <w:trHeight w:val="397" w:hRule="atLeast"/>
                <w:jc w:val="center"/>
              </w:trPr>
              <w:tc>
                <w:tcPr>
                  <w:tcW w:w="315" w:type="pct"/>
                  <w:noWrap w:val="0"/>
                  <w:tcMar>
                    <w:top w:w="0" w:type="dxa"/>
                    <w:left w:w="0" w:type="dxa"/>
                    <w:bottom w:w="0" w:type="dxa"/>
                    <w:right w:w="0" w:type="dxa"/>
                  </w:tcMar>
                  <w:vAlign w:val="center"/>
                </w:tcPr>
                <w:p w14:paraId="6C95DB06">
                  <w:pPr>
                    <w:numPr>
                      <w:ilvl w:val="0"/>
                      <w:numId w:val="12"/>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5C400B75">
                  <w:pPr>
                    <w:jc w:val="center"/>
                    <w:rPr>
                      <w:rFonts w:hint="eastAsia"/>
                      <w:color w:val="auto"/>
                      <w:szCs w:val="21"/>
                    </w:rPr>
                  </w:pPr>
                </w:p>
              </w:tc>
              <w:tc>
                <w:tcPr>
                  <w:tcW w:w="604" w:type="pct"/>
                  <w:noWrap w:val="0"/>
                  <w:tcMar>
                    <w:top w:w="0" w:type="dxa"/>
                    <w:left w:w="0" w:type="dxa"/>
                    <w:bottom w:w="0" w:type="dxa"/>
                    <w:right w:w="0" w:type="dxa"/>
                  </w:tcMar>
                  <w:vAlign w:val="center"/>
                </w:tcPr>
                <w:p w14:paraId="75656DAE">
                  <w:pPr>
                    <w:jc w:val="center"/>
                    <w:rPr>
                      <w:rFonts w:hint="eastAsia"/>
                      <w:color w:val="auto"/>
                      <w:szCs w:val="21"/>
                    </w:rPr>
                  </w:pPr>
                </w:p>
              </w:tc>
              <w:tc>
                <w:tcPr>
                  <w:tcW w:w="773" w:type="pct"/>
                  <w:noWrap w:val="0"/>
                  <w:tcMar>
                    <w:top w:w="0" w:type="dxa"/>
                    <w:left w:w="0" w:type="dxa"/>
                    <w:bottom w:w="0" w:type="dxa"/>
                    <w:right w:w="0" w:type="dxa"/>
                  </w:tcMar>
                  <w:vAlign w:val="center"/>
                </w:tcPr>
                <w:p w14:paraId="4B6515C8">
                  <w:pPr>
                    <w:jc w:val="center"/>
                    <w:rPr>
                      <w:rFonts w:hint="eastAsia"/>
                      <w:color w:val="auto"/>
                      <w:szCs w:val="21"/>
                    </w:rPr>
                  </w:pPr>
                </w:p>
              </w:tc>
              <w:tc>
                <w:tcPr>
                  <w:tcW w:w="666" w:type="pct"/>
                  <w:noWrap w:val="0"/>
                  <w:tcMar>
                    <w:top w:w="0" w:type="dxa"/>
                    <w:left w:w="0" w:type="dxa"/>
                    <w:bottom w:w="0" w:type="dxa"/>
                    <w:right w:w="0" w:type="dxa"/>
                  </w:tcMar>
                  <w:vAlign w:val="center"/>
                </w:tcPr>
                <w:p w14:paraId="10DF19B1">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59945A45">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076E7E76">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5B8B9166">
              <w:trPr>
                <w:trHeight w:val="397" w:hRule="atLeast"/>
                <w:jc w:val="center"/>
              </w:trPr>
              <w:tc>
                <w:tcPr>
                  <w:tcW w:w="315" w:type="pct"/>
                  <w:noWrap w:val="0"/>
                  <w:tcMar>
                    <w:top w:w="0" w:type="dxa"/>
                    <w:left w:w="0" w:type="dxa"/>
                    <w:bottom w:w="0" w:type="dxa"/>
                    <w:right w:w="0" w:type="dxa"/>
                  </w:tcMar>
                  <w:vAlign w:val="center"/>
                </w:tcPr>
                <w:p w14:paraId="08212914">
                  <w:pPr>
                    <w:numPr>
                      <w:ilvl w:val="0"/>
                      <w:numId w:val="12"/>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2DDF8B7F">
                  <w:pPr>
                    <w:jc w:val="center"/>
                    <w:rPr>
                      <w:rFonts w:hint="eastAsia"/>
                      <w:color w:val="auto"/>
                      <w:szCs w:val="21"/>
                    </w:rPr>
                  </w:pPr>
                </w:p>
              </w:tc>
              <w:tc>
                <w:tcPr>
                  <w:tcW w:w="604" w:type="pct"/>
                  <w:noWrap w:val="0"/>
                  <w:tcMar>
                    <w:top w:w="0" w:type="dxa"/>
                    <w:left w:w="0" w:type="dxa"/>
                    <w:bottom w:w="0" w:type="dxa"/>
                    <w:right w:w="0" w:type="dxa"/>
                  </w:tcMar>
                  <w:vAlign w:val="center"/>
                </w:tcPr>
                <w:p w14:paraId="3CB19CD1">
                  <w:pPr>
                    <w:jc w:val="center"/>
                    <w:rPr>
                      <w:rFonts w:hint="eastAsia"/>
                      <w:color w:val="auto"/>
                      <w:szCs w:val="21"/>
                    </w:rPr>
                  </w:pPr>
                </w:p>
              </w:tc>
              <w:tc>
                <w:tcPr>
                  <w:tcW w:w="773" w:type="pct"/>
                  <w:noWrap w:val="0"/>
                  <w:tcMar>
                    <w:top w:w="0" w:type="dxa"/>
                    <w:left w:w="0" w:type="dxa"/>
                    <w:bottom w:w="0" w:type="dxa"/>
                    <w:right w:w="0" w:type="dxa"/>
                  </w:tcMar>
                  <w:vAlign w:val="center"/>
                </w:tcPr>
                <w:p w14:paraId="055DA653">
                  <w:pPr>
                    <w:jc w:val="center"/>
                    <w:rPr>
                      <w:rFonts w:hint="eastAsia"/>
                      <w:color w:val="auto"/>
                      <w:szCs w:val="21"/>
                    </w:rPr>
                  </w:pPr>
                </w:p>
              </w:tc>
              <w:tc>
                <w:tcPr>
                  <w:tcW w:w="666" w:type="pct"/>
                  <w:noWrap w:val="0"/>
                  <w:tcMar>
                    <w:top w:w="0" w:type="dxa"/>
                    <w:left w:w="0" w:type="dxa"/>
                    <w:bottom w:w="0" w:type="dxa"/>
                    <w:right w:w="0" w:type="dxa"/>
                  </w:tcMar>
                  <w:vAlign w:val="center"/>
                </w:tcPr>
                <w:p w14:paraId="3CB493F0">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034C0D50">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2291B636">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344309F0">
              <w:trPr>
                <w:trHeight w:val="397" w:hRule="atLeast"/>
                <w:jc w:val="center"/>
              </w:trPr>
              <w:tc>
                <w:tcPr>
                  <w:tcW w:w="315" w:type="pct"/>
                  <w:noWrap w:val="0"/>
                  <w:tcMar>
                    <w:top w:w="0" w:type="dxa"/>
                    <w:left w:w="0" w:type="dxa"/>
                    <w:bottom w:w="0" w:type="dxa"/>
                    <w:right w:w="0" w:type="dxa"/>
                  </w:tcMar>
                  <w:vAlign w:val="center"/>
                </w:tcPr>
                <w:p w14:paraId="784DC609">
                  <w:pPr>
                    <w:numPr>
                      <w:ilvl w:val="0"/>
                      <w:numId w:val="12"/>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1CD5B591">
                  <w:pPr>
                    <w:jc w:val="center"/>
                    <w:rPr>
                      <w:rFonts w:hint="eastAsia"/>
                      <w:color w:val="auto"/>
                      <w:szCs w:val="21"/>
                    </w:rPr>
                  </w:pPr>
                </w:p>
              </w:tc>
              <w:tc>
                <w:tcPr>
                  <w:tcW w:w="604" w:type="pct"/>
                  <w:noWrap w:val="0"/>
                  <w:tcMar>
                    <w:top w:w="0" w:type="dxa"/>
                    <w:left w:w="0" w:type="dxa"/>
                    <w:bottom w:w="0" w:type="dxa"/>
                    <w:right w:w="0" w:type="dxa"/>
                  </w:tcMar>
                  <w:vAlign w:val="center"/>
                </w:tcPr>
                <w:p w14:paraId="0BD44052">
                  <w:pPr>
                    <w:jc w:val="center"/>
                    <w:rPr>
                      <w:rFonts w:hint="eastAsia"/>
                      <w:color w:val="auto"/>
                      <w:szCs w:val="21"/>
                    </w:rPr>
                  </w:pPr>
                </w:p>
              </w:tc>
              <w:tc>
                <w:tcPr>
                  <w:tcW w:w="773" w:type="pct"/>
                  <w:noWrap w:val="0"/>
                  <w:tcMar>
                    <w:top w:w="0" w:type="dxa"/>
                    <w:left w:w="0" w:type="dxa"/>
                    <w:bottom w:w="0" w:type="dxa"/>
                    <w:right w:w="0" w:type="dxa"/>
                  </w:tcMar>
                  <w:vAlign w:val="center"/>
                </w:tcPr>
                <w:p w14:paraId="07C95FEC">
                  <w:pPr>
                    <w:jc w:val="center"/>
                    <w:rPr>
                      <w:rFonts w:hint="eastAsia"/>
                      <w:color w:val="auto"/>
                      <w:szCs w:val="21"/>
                    </w:rPr>
                  </w:pPr>
                </w:p>
              </w:tc>
              <w:tc>
                <w:tcPr>
                  <w:tcW w:w="666" w:type="pct"/>
                  <w:noWrap w:val="0"/>
                  <w:tcMar>
                    <w:top w:w="0" w:type="dxa"/>
                    <w:left w:w="0" w:type="dxa"/>
                    <w:bottom w:w="0" w:type="dxa"/>
                    <w:right w:w="0" w:type="dxa"/>
                  </w:tcMar>
                  <w:vAlign w:val="center"/>
                </w:tcPr>
                <w:p w14:paraId="2B7F0ADA">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2EFE8179">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057F6790">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1611BF16">
              <w:trPr>
                <w:trHeight w:val="397" w:hRule="atLeast"/>
                <w:jc w:val="center"/>
              </w:trPr>
              <w:tc>
                <w:tcPr>
                  <w:tcW w:w="315" w:type="pct"/>
                  <w:noWrap w:val="0"/>
                  <w:tcMar>
                    <w:top w:w="0" w:type="dxa"/>
                    <w:left w:w="0" w:type="dxa"/>
                    <w:bottom w:w="0" w:type="dxa"/>
                    <w:right w:w="0" w:type="dxa"/>
                  </w:tcMar>
                  <w:vAlign w:val="center"/>
                </w:tcPr>
                <w:p w14:paraId="4779B112">
                  <w:pPr>
                    <w:numPr>
                      <w:ilvl w:val="0"/>
                      <w:numId w:val="12"/>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118AC971">
                  <w:pPr>
                    <w:jc w:val="center"/>
                    <w:rPr>
                      <w:rFonts w:hint="eastAsia"/>
                      <w:color w:val="auto"/>
                      <w:szCs w:val="21"/>
                    </w:rPr>
                  </w:pPr>
                </w:p>
              </w:tc>
              <w:tc>
                <w:tcPr>
                  <w:tcW w:w="604" w:type="pct"/>
                  <w:noWrap w:val="0"/>
                  <w:tcMar>
                    <w:top w:w="0" w:type="dxa"/>
                    <w:left w:w="0" w:type="dxa"/>
                    <w:bottom w:w="0" w:type="dxa"/>
                    <w:right w:w="0" w:type="dxa"/>
                  </w:tcMar>
                  <w:vAlign w:val="center"/>
                </w:tcPr>
                <w:p w14:paraId="5FCD4FC6">
                  <w:pPr>
                    <w:jc w:val="center"/>
                    <w:rPr>
                      <w:rFonts w:hint="eastAsia"/>
                      <w:color w:val="auto"/>
                      <w:szCs w:val="21"/>
                    </w:rPr>
                  </w:pPr>
                </w:p>
              </w:tc>
              <w:tc>
                <w:tcPr>
                  <w:tcW w:w="773" w:type="pct"/>
                  <w:noWrap w:val="0"/>
                  <w:tcMar>
                    <w:top w:w="0" w:type="dxa"/>
                    <w:left w:w="0" w:type="dxa"/>
                    <w:bottom w:w="0" w:type="dxa"/>
                    <w:right w:w="0" w:type="dxa"/>
                  </w:tcMar>
                  <w:vAlign w:val="center"/>
                </w:tcPr>
                <w:p w14:paraId="04DCFD5F">
                  <w:pPr>
                    <w:jc w:val="center"/>
                    <w:rPr>
                      <w:rFonts w:hint="eastAsia"/>
                      <w:color w:val="auto"/>
                      <w:szCs w:val="21"/>
                    </w:rPr>
                  </w:pPr>
                </w:p>
              </w:tc>
              <w:tc>
                <w:tcPr>
                  <w:tcW w:w="666" w:type="pct"/>
                  <w:noWrap w:val="0"/>
                  <w:tcMar>
                    <w:top w:w="0" w:type="dxa"/>
                    <w:left w:w="0" w:type="dxa"/>
                    <w:bottom w:w="0" w:type="dxa"/>
                    <w:right w:w="0" w:type="dxa"/>
                  </w:tcMar>
                  <w:vAlign w:val="center"/>
                </w:tcPr>
                <w:p w14:paraId="7E987C4E">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0C551C82">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7A9CF3C7">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4A2CC114">
              <w:trPr>
                <w:trHeight w:val="397" w:hRule="atLeast"/>
                <w:jc w:val="center"/>
              </w:trPr>
              <w:tc>
                <w:tcPr>
                  <w:tcW w:w="315" w:type="pct"/>
                  <w:noWrap w:val="0"/>
                  <w:tcMar>
                    <w:top w:w="0" w:type="dxa"/>
                    <w:left w:w="0" w:type="dxa"/>
                    <w:bottom w:w="0" w:type="dxa"/>
                    <w:right w:w="0" w:type="dxa"/>
                  </w:tcMar>
                  <w:vAlign w:val="center"/>
                </w:tcPr>
                <w:p w14:paraId="60A96763">
                  <w:pPr>
                    <w:numPr>
                      <w:ilvl w:val="0"/>
                      <w:numId w:val="12"/>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4DDCE801">
                  <w:pPr>
                    <w:jc w:val="center"/>
                    <w:rPr>
                      <w:rFonts w:hint="eastAsia"/>
                      <w:color w:val="auto"/>
                      <w:szCs w:val="21"/>
                    </w:rPr>
                  </w:pPr>
                </w:p>
              </w:tc>
              <w:tc>
                <w:tcPr>
                  <w:tcW w:w="604" w:type="pct"/>
                  <w:noWrap w:val="0"/>
                  <w:tcMar>
                    <w:top w:w="0" w:type="dxa"/>
                    <w:left w:w="0" w:type="dxa"/>
                    <w:bottom w:w="0" w:type="dxa"/>
                    <w:right w:w="0" w:type="dxa"/>
                  </w:tcMar>
                  <w:vAlign w:val="center"/>
                </w:tcPr>
                <w:p w14:paraId="47CEB426">
                  <w:pPr>
                    <w:jc w:val="center"/>
                    <w:rPr>
                      <w:rFonts w:hint="eastAsia"/>
                      <w:color w:val="auto"/>
                      <w:szCs w:val="21"/>
                    </w:rPr>
                  </w:pPr>
                </w:p>
              </w:tc>
              <w:tc>
                <w:tcPr>
                  <w:tcW w:w="773" w:type="pct"/>
                  <w:noWrap w:val="0"/>
                  <w:tcMar>
                    <w:top w:w="0" w:type="dxa"/>
                    <w:left w:w="0" w:type="dxa"/>
                    <w:bottom w:w="0" w:type="dxa"/>
                    <w:right w:w="0" w:type="dxa"/>
                  </w:tcMar>
                  <w:vAlign w:val="center"/>
                </w:tcPr>
                <w:p w14:paraId="1F079010">
                  <w:pPr>
                    <w:jc w:val="center"/>
                    <w:rPr>
                      <w:rFonts w:hint="eastAsia"/>
                      <w:color w:val="auto"/>
                      <w:szCs w:val="21"/>
                    </w:rPr>
                  </w:pPr>
                </w:p>
              </w:tc>
              <w:tc>
                <w:tcPr>
                  <w:tcW w:w="666" w:type="pct"/>
                  <w:noWrap w:val="0"/>
                  <w:tcMar>
                    <w:top w:w="0" w:type="dxa"/>
                    <w:left w:w="0" w:type="dxa"/>
                    <w:bottom w:w="0" w:type="dxa"/>
                    <w:right w:w="0" w:type="dxa"/>
                  </w:tcMar>
                  <w:vAlign w:val="center"/>
                </w:tcPr>
                <w:p w14:paraId="0BC316EF">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530E891A">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6FB7ED91">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4F5758A7">
              <w:trPr>
                <w:trHeight w:val="397" w:hRule="atLeast"/>
                <w:jc w:val="center"/>
              </w:trPr>
              <w:tc>
                <w:tcPr>
                  <w:tcW w:w="315" w:type="pct"/>
                  <w:noWrap w:val="0"/>
                  <w:tcMar>
                    <w:top w:w="0" w:type="dxa"/>
                    <w:left w:w="0" w:type="dxa"/>
                    <w:bottom w:w="0" w:type="dxa"/>
                    <w:right w:w="0" w:type="dxa"/>
                  </w:tcMar>
                  <w:vAlign w:val="center"/>
                </w:tcPr>
                <w:p w14:paraId="34840864">
                  <w:pPr>
                    <w:numPr>
                      <w:ilvl w:val="0"/>
                      <w:numId w:val="12"/>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2E7296BE">
                  <w:pPr>
                    <w:jc w:val="center"/>
                    <w:rPr>
                      <w:rFonts w:hint="eastAsia"/>
                      <w:color w:val="auto"/>
                      <w:szCs w:val="21"/>
                    </w:rPr>
                  </w:pPr>
                </w:p>
              </w:tc>
              <w:tc>
                <w:tcPr>
                  <w:tcW w:w="604" w:type="pct"/>
                  <w:noWrap w:val="0"/>
                  <w:tcMar>
                    <w:top w:w="0" w:type="dxa"/>
                    <w:left w:w="0" w:type="dxa"/>
                    <w:bottom w:w="0" w:type="dxa"/>
                    <w:right w:w="0" w:type="dxa"/>
                  </w:tcMar>
                  <w:vAlign w:val="center"/>
                </w:tcPr>
                <w:p w14:paraId="7652A9B7">
                  <w:pPr>
                    <w:jc w:val="center"/>
                    <w:rPr>
                      <w:rFonts w:hint="eastAsia"/>
                      <w:color w:val="auto"/>
                      <w:szCs w:val="21"/>
                    </w:rPr>
                  </w:pPr>
                </w:p>
              </w:tc>
              <w:tc>
                <w:tcPr>
                  <w:tcW w:w="773" w:type="pct"/>
                  <w:noWrap w:val="0"/>
                  <w:tcMar>
                    <w:top w:w="0" w:type="dxa"/>
                    <w:left w:w="0" w:type="dxa"/>
                    <w:bottom w:w="0" w:type="dxa"/>
                    <w:right w:w="0" w:type="dxa"/>
                  </w:tcMar>
                  <w:vAlign w:val="center"/>
                </w:tcPr>
                <w:p w14:paraId="0AD38911">
                  <w:pPr>
                    <w:jc w:val="center"/>
                    <w:rPr>
                      <w:rFonts w:hint="eastAsia"/>
                      <w:color w:val="auto"/>
                      <w:szCs w:val="21"/>
                    </w:rPr>
                  </w:pPr>
                </w:p>
              </w:tc>
              <w:tc>
                <w:tcPr>
                  <w:tcW w:w="666" w:type="pct"/>
                  <w:noWrap w:val="0"/>
                  <w:tcMar>
                    <w:top w:w="0" w:type="dxa"/>
                    <w:left w:w="0" w:type="dxa"/>
                    <w:bottom w:w="0" w:type="dxa"/>
                    <w:right w:w="0" w:type="dxa"/>
                  </w:tcMar>
                  <w:vAlign w:val="center"/>
                </w:tcPr>
                <w:p w14:paraId="6A8315E7">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33AA41E9">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6D9132C5">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15DB40DE">
              <w:trPr>
                <w:trHeight w:val="397" w:hRule="atLeast"/>
                <w:jc w:val="center"/>
              </w:trPr>
              <w:tc>
                <w:tcPr>
                  <w:tcW w:w="315" w:type="pct"/>
                  <w:noWrap w:val="0"/>
                  <w:tcMar>
                    <w:top w:w="0" w:type="dxa"/>
                    <w:left w:w="0" w:type="dxa"/>
                    <w:bottom w:w="0" w:type="dxa"/>
                    <w:right w:w="0" w:type="dxa"/>
                  </w:tcMar>
                  <w:vAlign w:val="center"/>
                </w:tcPr>
                <w:p w14:paraId="2F20799D">
                  <w:pPr>
                    <w:numPr>
                      <w:ilvl w:val="0"/>
                      <w:numId w:val="12"/>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5BB93EEB">
                  <w:pPr>
                    <w:jc w:val="center"/>
                    <w:rPr>
                      <w:rFonts w:hint="eastAsia"/>
                      <w:color w:val="auto"/>
                      <w:szCs w:val="21"/>
                    </w:rPr>
                  </w:pPr>
                </w:p>
              </w:tc>
              <w:tc>
                <w:tcPr>
                  <w:tcW w:w="604" w:type="pct"/>
                  <w:noWrap w:val="0"/>
                  <w:tcMar>
                    <w:top w:w="0" w:type="dxa"/>
                    <w:left w:w="0" w:type="dxa"/>
                    <w:bottom w:w="0" w:type="dxa"/>
                    <w:right w:w="0" w:type="dxa"/>
                  </w:tcMar>
                  <w:vAlign w:val="center"/>
                </w:tcPr>
                <w:p w14:paraId="1EDA8F9A">
                  <w:pPr>
                    <w:jc w:val="center"/>
                    <w:rPr>
                      <w:rFonts w:hint="eastAsia"/>
                      <w:color w:val="auto"/>
                      <w:szCs w:val="21"/>
                    </w:rPr>
                  </w:pPr>
                </w:p>
              </w:tc>
              <w:tc>
                <w:tcPr>
                  <w:tcW w:w="773" w:type="pct"/>
                  <w:noWrap w:val="0"/>
                  <w:tcMar>
                    <w:top w:w="0" w:type="dxa"/>
                    <w:left w:w="0" w:type="dxa"/>
                    <w:bottom w:w="0" w:type="dxa"/>
                    <w:right w:w="0" w:type="dxa"/>
                  </w:tcMar>
                  <w:vAlign w:val="center"/>
                </w:tcPr>
                <w:p w14:paraId="129786E1">
                  <w:pPr>
                    <w:jc w:val="center"/>
                    <w:rPr>
                      <w:rFonts w:hint="eastAsia"/>
                      <w:color w:val="auto"/>
                      <w:szCs w:val="21"/>
                    </w:rPr>
                  </w:pPr>
                </w:p>
              </w:tc>
              <w:tc>
                <w:tcPr>
                  <w:tcW w:w="666" w:type="pct"/>
                  <w:noWrap w:val="0"/>
                  <w:tcMar>
                    <w:top w:w="0" w:type="dxa"/>
                    <w:left w:w="0" w:type="dxa"/>
                    <w:bottom w:w="0" w:type="dxa"/>
                    <w:right w:w="0" w:type="dxa"/>
                  </w:tcMar>
                  <w:vAlign w:val="center"/>
                </w:tcPr>
                <w:p w14:paraId="645DB2B5">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2BA2D819">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20EB7A2A">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49C544F1">
              <w:trPr>
                <w:trHeight w:val="397" w:hRule="atLeast"/>
                <w:jc w:val="center"/>
              </w:trPr>
              <w:tc>
                <w:tcPr>
                  <w:tcW w:w="315" w:type="pct"/>
                  <w:noWrap w:val="0"/>
                  <w:tcMar>
                    <w:top w:w="0" w:type="dxa"/>
                    <w:left w:w="0" w:type="dxa"/>
                    <w:bottom w:w="0" w:type="dxa"/>
                    <w:right w:w="0" w:type="dxa"/>
                  </w:tcMar>
                  <w:vAlign w:val="center"/>
                </w:tcPr>
                <w:p w14:paraId="3590254B">
                  <w:pPr>
                    <w:numPr>
                      <w:ilvl w:val="0"/>
                      <w:numId w:val="12"/>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4250D7FA">
                  <w:pPr>
                    <w:jc w:val="center"/>
                    <w:rPr>
                      <w:rFonts w:hint="eastAsia"/>
                      <w:color w:val="auto"/>
                      <w:szCs w:val="21"/>
                    </w:rPr>
                  </w:pPr>
                </w:p>
              </w:tc>
              <w:tc>
                <w:tcPr>
                  <w:tcW w:w="604" w:type="pct"/>
                  <w:noWrap w:val="0"/>
                  <w:tcMar>
                    <w:top w:w="0" w:type="dxa"/>
                    <w:left w:w="0" w:type="dxa"/>
                    <w:bottom w:w="0" w:type="dxa"/>
                    <w:right w:w="0" w:type="dxa"/>
                  </w:tcMar>
                  <w:vAlign w:val="center"/>
                </w:tcPr>
                <w:p w14:paraId="58FFD39F">
                  <w:pPr>
                    <w:jc w:val="center"/>
                    <w:rPr>
                      <w:rFonts w:hint="eastAsia"/>
                      <w:color w:val="auto"/>
                      <w:szCs w:val="21"/>
                    </w:rPr>
                  </w:pPr>
                </w:p>
              </w:tc>
              <w:tc>
                <w:tcPr>
                  <w:tcW w:w="773" w:type="pct"/>
                  <w:noWrap w:val="0"/>
                  <w:tcMar>
                    <w:top w:w="0" w:type="dxa"/>
                    <w:left w:w="0" w:type="dxa"/>
                    <w:bottom w:w="0" w:type="dxa"/>
                    <w:right w:w="0" w:type="dxa"/>
                  </w:tcMar>
                  <w:vAlign w:val="center"/>
                </w:tcPr>
                <w:p w14:paraId="5C4A8CA0">
                  <w:pPr>
                    <w:jc w:val="center"/>
                    <w:rPr>
                      <w:rFonts w:hint="eastAsia"/>
                      <w:color w:val="auto"/>
                      <w:szCs w:val="21"/>
                    </w:rPr>
                  </w:pPr>
                </w:p>
              </w:tc>
              <w:tc>
                <w:tcPr>
                  <w:tcW w:w="666" w:type="pct"/>
                  <w:noWrap w:val="0"/>
                  <w:tcMar>
                    <w:top w:w="0" w:type="dxa"/>
                    <w:left w:w="0" w:type="dxa"/>
                    <w:bottom w:w="0" w:type="dxa"/>
                    <w:right w:w="0" w:type="dxa"/>
                  </w:tcMar>
                  <w:vAlign w:val="center"/>
                </w:tcPr>
                <w:p w14:paraId="6C600767">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14A9C12F">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1BF385D4">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62303156">
              <w:trPr>
                <w:trHeight w:val="397" w:hRule="atLeast"/>
                <w:jc w:val="center"/>
              </w:trPr>
              <w:tc>
                <w:tcPr>
                  <w:tcW w:w="315" w:type="pct"/>
                  <w:noWrap w:val="0"/>
                  <w:tcMar>
                    <w:top w:w="0" w:type="dxa"/>
                    <w:left w:w="0" w:type="dxa"/>
                    <w:bottom w:w="0" w:type="dxa"/>
                    <w:right w:w="0" w:type="dxa"/>
                  </w:tcMar>
                  <w:vAlign w:val="center"/>
                </w:tcPr>
                <w:p w14:paraId="68F9139E">
                  <w:pPr>
                    <w:numPr>
                      <w:ilvl w:val="0"/>
                      <w:numId w:val="12"/>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5227B720">
                  <w:pPr>
                    <w:jc w:val="center"/>
                    <w:rPr>
                      <w:rFonts w:hint="eastAsia"/>
                      <w:color w:val="auto"/>
                      <w:szCs w:val="21"/>
                    </w:rPr>
                  </w:pPr>
                </w:p>
              </w:tc>
              <w:tc>
                <w:tcPr>
                  <w:tcW w:w="604" w:type="pct"/>
                  <w:noWrap w:val="0"/>
                  <w:tcMar>
                    <w:top w:w="0" w:type="dxa"/>
                    <w:left w:w="0" w:type="dxa"/>
                    <w:bottom w:w="0" w:type="dxa"/>
                    <w:right w:w="0" w:type="dxa"/>
                  </w:tcMar>
                  <w:vAlign w:val="center"/>
                </w:tcPr>
                <w:p w14:paraId="39CEC922">
                  <w:pPr>
                    <w:jc w:val="center"/>
                    <w:rPr>
                      <w:rFonts w:hint="eastAsia"/>
                      <w:color w:val="auto"/>
                      <w:szCs w:val="21"/>
                    </w:rPr>
                  </w:pPr>
                </w:p>
              </w:tc>
              <w:tc>
                <w:tcPr>
                  <w:tcW w:w="773" w:type="pct"/>
                  <w:noWrap w:val="0"/>
                  <w:tcMar>
                    <w:top w:w="0" w:type="dxa"/>
                    <w:left w:w="0" w:type="dxa"/>
                    <w:bottom w:w="0" w:type="dxa"/>
                    <w:right w:w="0" w:type="dxa"/>
                  </w:tcMar>
                  <w:vAlign w:val="center"/>
                </w:tcPr>
                <w:p w14:paraId="77D67E86">
                  <w:pPr>
                    <w:jc w:val="center"/>
                    <w:rPr>
                      <w:rFonts w:hint="eastAsia"/>
                      <w:color w:val="auto"/>
                      <w:szCs w:val="21"/>
                    </w:rPr>
                  </w:pPr>
                </w:p>
              </w:tc>
              <w:tc>
                <w:tcPr>
                  <w:tcW w:w="666" w:type="pct"/>
                  <w:noWrap w:val="0"/>
                  <w:tcMar>
                    <w:top w:w="0" w:type="dxa"/>
                    <w:left w:w="0" w:type="dxa"/>
                    <w:bottom w:w="0" w:type="dxa"/>
                    <w:right w:w="0" w:type="dxa"/>
                  </w:tcMar>
                  <w:vAlign w:val="center"/>
                </w:tcPr>
                <w:p w14:paraId="2366BB3D">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61695C12">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67D262E5">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15B00BAD">
              <w:trPr>
                <w:trHeight w:val="397" w:hRule="atLeast"/>
                <w:jc w:val="center"/>
              </w:trPr>
              <w:tc>
                <w:tcPr>
                  <w:tcW w:w="315" w:type="pct"/>
                  <w:noWrap w:val="0"/>
                  <w:tcMar>
                    <w:top w:w="0" w:type="dxa"/>
                    <w:left w:w="0" w:type="dxa"/>
                    <w:bottom w:w="0" w:type="dxa"/>
                    <w:right w:w="0" w:type="dxa"/>
                  </w:tcMar>
                  <w:vAlign w:val="center"/>
                </w:tcPr>
                <w:p w14:paraId="2ED70730">
                  <w:pPr>
                    <w:numPr>
                      <w:ilvl w:val="0"/>
                      <w:numId w:val="12"/>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69A148C2">
                  <w:pPr>
                    <w:jc w:val="center"/>
                    <w:rPr>
                      <w:rFonts w:hint="eastAsia"/>
                      <w:color w:val="auto"/>
                      <w:szCs w:val="21"/>
                    </w:rPr>
                  </w:pPr>
                </w:p>
              </w:tc>
              <w:tc>
                <w:tcPr>
                  <w:tcW w:w="604" w:type="pct"/>
                  <w:noWrap w:val="0"/>
                  <w:tcMar>
                    <w:top w:w="0" w:type="dxa"/>
                    <w:left w:w="0" w:type="dxa"/>
                    <w:bottom w:w="0" w:type="dxa"/>
                    <w:right w:w="0" w:type="dxa"/>
                  </w:tcMar>
                  <w:vAlign w:val="center"/>
                </w:tcPr>
                <w:p w14:paraId="52AB0CE4">
                  <w:pPr>
                    <w:jc w:val="center"/>
                    <w:rPr>
                      <w:rFonts w:hint="eastAsia"/>
                      <w:color w:val="auto"/>
                      <w:szCs w:val="21"/>
                    </w:rPr>
                  </w:pPr>
                </w:p>
              </w:tc>
              <w:tc>
                <w:tcPr>
                  <w:tcW w:w="773" w:type="pct"/>
                  <w:noWrap w:val="0"/>
                  <w:tcMar>
                    <w:top w:w="0" w:type="dxa"/>
                    <w:left w:w="0" w:type="dxa"/>
                    <w:bottom w:w="0" w:type="dxa"/>
                    <w:right w:w="0" w:type="dxa"/>
                  </w:tcMar>
                  <w:vAlign w:val="center"/>
                </w:tcPr>
                <w:p w14:paraId="5653074F">
                  <w:pPr>
                    <w:jc w:val="center"/>
                    <w:rPr>
                      <w:rFonts w:hint="eastAsia"/>
                      <w:color w:val="auto"/>
                      <w:szCs w:val="21"/>
                    </w:rPr>
                  </w:pPr>
                </w:p>
              </w:tc>
              <w:tc>
                <w:tcPr>
                  <w:tcW w:w="666" w:type="pct"/>
                  <w:noWrap w:val="0"/>
                  <w:tcMar>
                    <w:top w:w="0" w:type="dxa"/>
                    <w:left w:w="0" w:type="dxa"/>
                    <w:bottom w:w="0" w:type="dxa"/>
                    <w:right w:w="0" w:type="dxa"/>
                  </w:tcMar>
                  <w:vAlign w:val="center"/>
                </w:tcPr>
                <w:p w14:paraId="00B9E2C6">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104FC493">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326E89CB">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45547C9B">
              <w:trPr>
                <w:trHeight w:val="397" w:hRule="atLeast"/>
                <w:jc w:val="center"/>
              </w:trPr>
              <w:tc>
                <w:tcPr>
                  <w:tcW w:w="315" w:type="pct"/>
                  <w:noWrap w:val="0"/>
                  <w:tcMar>
                    <w:top w:w="0" w:type="dxa"/>
                    <w:left w:w="0" w:type="dxa"/>
                    <w:bottom w:w="0" w:type="dxa"/>
                    <w:right w:w="0" w:type="dxa"/>
                  </w:tcMar>
                  <w:vAlign w:val="center"/>
                </w:tcPr>
                <w:p w14:paraId="43DCE101">
                  <w:pPr>
                    <w:numPr>
                      <w:ilvl w:val="0"/>
                      <w:numId w:val="12"/>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68F73038">
                  <w:pPr>
                    <w:jc w:val="center"/>
                    <w:rPr>
                      <w:rFonts w:hint="eastAsia"/>
                      <w:color w:val="auto"/>
                      <w:szCs w:val="21"/>
                    </w:rPr>
                  </w:pPr>
                </w:p>
              </w:tc>
              <w:tc>
                <w:tcPr>
                  <w:tcW w:w="604" w:type="pct"/>
                  <w:noWrap w:val="0"/>
                  <w:tcMar>
                    <w:top w:w="0" w:type="dxa"/>
                    <w:left w:w="0" w:type="dxa"/>
                    <w:bottom w:w="0" w:type="dxa"/>
                    <w:right w:w="0" w:type="dxa"/>
                  </w:tcMar>
                  <w:vAlign w:val="center"/>
                </w:tcPr>
                <w:p w14:paraId="442B5E7D">
                  <w:pPr>
                    <w:jc w:val="center"/>
                    <w:rPr>
                      <w:rFonts w:hint="eastAsia"/>
                      <w:color w:val="auto"/>
                      <w:szCs w:val="21"/>
                    </w:rPr>
                  </w:pPr>
                </w:p>
              </w:tc>
              <w:tc>
                <w:tcPr>
                  <w:tcW w:w="773" w:type="pct"/>
                  <w:noWrap w:val="0"/>
                  <w:tcMar>
                    <w:top w:w="0" w:type="dxa"/>
                    <w:left w:w="0" w:type="dxa"/>
                    <w:bottom w:w="0" w:type="dxa"/>
                    <w:right w:w="0" w:type="dxa"/>
                  </w:tcMar>
                  <w:vAlign w:val="center"/>
                </w:tcPr>
                <w:p w14:paraId="6D38504A">
                  <w:pPr>
                    <w:jc w:val="center"/>
                    <w:rPr>
                      <w:rFonts w:hint="eastAsia"/>
                      <w:color w:val="auto"/>
                      <w:szCs w:val="21"/>
                    </w:rPr>
                  </w:pPr>
                </w:p>
              </w:tc>
              <w:tc>
                <w:tcPr>
                  <w:tcW w:w="666" w:type="pct"/>
                  <w:noWrap w:val="0"/>
                  <w:tcMar>
                    <w:top w:w="0" w:type="dxa"/>
                    <w:left w:w="0" w:type="dxa"/>
                    <w:bottom w:w="0" w:type="dxa"/>
                    <w:right w:w="0" w:type="dxa"/>
                  </w:tcMar>
                  <w:vAlign w:val="center"/>
                </w:tcPr>
                <w:p w14:paraId="4D513D3B">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6FDCA892">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174C3397">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33A4EB09">
              <w:trPr>
                <w:trHeight w:val="397" w:hRule="atLeast"/>
                <w:jc w:val="center"/>
              </w:trPr>
              <w:tc>
                <w:tcPr>
                  <w:tcW w:w="315" w:type="pct"/>
                  <w:noWrap w:val="0"/>
                  <w:tcMar>
                    <w:top w:w="0" w:type="dxa"/>
                    <w:left w:w="0" w:type="dxa"/>
                    <w:bottom w:w="0" w:type="dxa"/>
                    <w:right w:w="0" w:type="dxa"/>
                  </w:tcMar>
                  <w:vAlign w:val="center"/>
                </w:tcPr>
                <w:p w14:paraId="5D2F41C0">
                  <w:pPr>
                    <w:numPr>
                      <w:ilvl w:val="0"/>
                      <w:numId w:val="12"/>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13C5FE37">
                  <w:pPr>
                    <w:jc w:val="center"/>
                    <w:rPr>
                      <w:rFonts w:hint="eastAsia"/>
                      <w:color w:val="auto"/>
                      <w:szCs w:val="21"/>
                    </w:rPr>
                  </w:pPr>
                </w:p>
              </w:tc>
              <w:tc>
                <w:tcPr>
                  <w:tcW w:w="604" w:type="pct"/>
                  <w:noWrap w:val="0"/>
                  <w:tcMar>
                    <w:top w:w="0" w:type="dxa"/>
                    <w:left w:w="0" w:type="dxa"/>
                    <w:bottom w:w="0" w:type="dxa"/>
                    <w:right w:w="0" w:type="dxa"/>
                  </w:tcMar>
                  <w:vAlign w:val="center"/>
                </w:tcPr>
                <w:p w14:paraId="317D8ADC">
                  <w:pPr>
                    <w:jc w:val="center"/>
                    <w:rPr>
                      <w:rFonts w:hint="eastAsia"/>
                      <w:color w:val="auto"/>
                      <w:szCs w:val="21"/>
                    </w:rPr>
                  </w:pPr>
                </w:p>
              </w:tc>
              <w:tc>
                <w:tcPr>
                  <w:tcW w:w="773" w:type="pct"/>
                  <w:noWrap w:val="0"/>
                  <w:tcMar>
                    <w:top w:w="0" w:type="dxa"/>
                    <w:left w:w="0" w:type="dxa"/>
                    <w:bottom w:w="0" w:type="dxa"/>
                    <w:right w:w="0" w:type="dxa"/>
                  </w:tcMar>
                  <w:vAlign w:val="center"/>
                </w:tcPr>
                <w:p w14:paraId="39E378EA">
                  <w:pPr>
                    <w:jc w:val="center"/>
                    <w:rPr>
                      <w:rFonts w:hint="eastAsia"/>
                      <w:color w:val="auto"/>
                      <w:szCs w:val="21"/>
                    </w:rPr>
                  </w:pPr>
                </w:p>
              </w:tc>
              <w:tc>
                <w:tcPr>
                  <w:tcW w:w="666" w:type="pct"/>
                  <w:noWrap w:val="0"/>
                  <w:tcMar>
                    <w:top w:w="0" w:type="dxa"/>
                    <w:left w:w="0" w:type="dxa"/>
                    <w:bottom w:w="0" w:type="dxa"/>
                    <w:right w:w="0" w:type="dxa"/>
                  </w:tcMar>
                  <w:vAlign w:val="center"/>
                </w:tcPr>
                <w:p w14:paraId="2BA21C07">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00C4AF92">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6482F6F9">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3BAB3306">
              <w:trPr>
                <w:trHeight w:val="397" w:hRule="atLeast"/>
                <w:jc w:val="center"/>
              </w:trPr>
              <w:tc>
                <w:tcPr>
                  <w:tcW w:w="315" w:type="pct"/>
                  <w:noWrap w:val="0"/>
                  <w:tcMar>
                    <w:top w:w="0" w:type="dxa"/>
                    <w:left w:w="0" w:type="dxa"/>
                    <w:bottom w:w="0" w:type="dxa"/>
                    <w:right w:w="0" w:type="dxa"/>
                  </w:tcMar>
                  <w:vAlign w:val="center"/>
                </w:tcPr>
                <w:p w14:paraId="2AB52F6C">
                  <w:pPr>
                    <w:numPr>
                      <w:ilvl w:val="0"/>
                      <w:numId w:val="12"/>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7E93D19A">
                  <w:pPr>
                    <w:jc w:val="center"/>
                    <w:rPr>
                      <w:rFonts w:hint="eastAsia"/>
                      <w:color w:val="auto"/>
                      <w:szCs w:val="21"/>
                    </w:rPr>
                  </w:pPr>
                </w:p>
              </w:tc>
              <w:tc>
                <w:tcPr>
                  <w:tcW w:w="604" w:type="pct"/>
                  <w:noWrap w:val="0"/>
                  <w:tcMar>
                    <w:top w:w="0" w:type="dxa"/>
                    <w:left w:w="0" w:type="dxa"/>
                    <w:bottom w:w="0" w:type="dxa"/>
                    <w:right w:w="0" w:type="dxa"/>
                  </w:tcMar>
                  <w:vAlign w:val="center"/>
                </w:tcPr>
                <w:p w14:paraId="431E3C67">
                  <w:pPr>
                    <w:jc w:val="center"/>
                    <w:rPr>
                      <w:rFonts w:hint="eastAsia"/>
                      <w:color w:val="auto"/>
                      <w:szCs w:val="21"/>
                    </w:rPr>
                  </w:pPr>
                </w:p>
              </w:tc>
              <w:tc>
                <w:tcPr>
                  <w:tcW w:w="773" w:type="pct"/>
                  <w:noWrap w:val="0"/>
                  <w:tcMar>
                    <w:top w:w="0" w:type="dxa"/>
                    <w:left w:w="0" w:type="dxa"/>
                    <w:bottom w:w="0" w:type="dxa"/>
                    <w:right w:w="0" w:type="dxa"/>
                  </w:tcMar>
                  <w:vAlign w:val="center"/>
                </w:tcPr>
                <w:p w14:paraId="61D453E2">
                  <w:pPr>
                    <w:jc w:val="center"/>
                    <w:rPr>
                      <w:rFonts w:hint="eastAsia"/>
                      <w:color w:val="auto"/>
                      <w:szCs w:val="21"/>
                    </w:rPr>
                  </w:pPr>
                </w:p>
              </w:tc>
              <w:tc>
                <w:tcPr>
                  <w:tcW w:w="666" w:type="pct"/>
                  <w:noWrap w:val="0"/>
                  <w:tcMar>
                    <w:top w:w="0" w:type="dxa"/>
                    <w:left w:w="0" w:type="dxa"/>
                    <w:bottom w:w="0" w:type="dxa"/>
                    <w:right w:w="0" w:type="dxa"/>
                  </w:tcMar>
                  <w:vAlign w:val="center"/>
                </w:tcPr>
                <w:p w14:paraId="2D5DA072">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41FBDE0E">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6F91D21E">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05EE562B">
              <w:trPr>
                <w:trHeight w:val="397" w:hRule="atLeast"/>
                <w:jc w:val="center"/>
              </w:trPr>
              <w:tc>
                <w:tcPr>
                  <w:tcW w:w="315" w:type="pct"/>
                  <w:noWrap w:val="0"/>
                  <w:tcMar>
                    <w:top w:w="0" w:type="dxa"/>
                    <w:left w:w="0" w:type="dxa"/>
                    <w:bottom w:w="0" w:type="dxa"/>
                    <w:right w:w="0" w:type="dxa"/>
                  </w:tcMar>
                  <w:vAlign w:val="center"/>
                </w:tcPr>
                <w:p w14:paraId="67D8F887">
                  <w:pPr>
                    <w:numPr>
                      <w:ilvl w:val="0"/>
                      <w:numId w:val="12"/>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0FB05A29">
                  <w:pPr>
                    <w:jc w:val="center"/>
                    <w:rPr>
                      <w:rFonts w:hint="eastAsia"/>
                      <w:color w:val="auto"/>
                      <w:szCs w:val="21"/>
                    </w:rPr>
                  </w:pPr>
                </w:p>
              </w:tc>
              <w:tc>
                <w:tcPr>
                  <w:tcW w:w="604" w:type="pct"/>
                  <w:noWrap w:val="0"/>
                  <w:tcMar>
                    <w:top w:w="0" w:type="dxa"/>
                    <w:left w:w="0" w:type="dxa"/>
                    <w:bottom w:w="0" w:type="dxa"/>
                    <w:right w:w="0" w:type="dxa"/>
                  </w:tcMar>
                  <w:vAlign w:val="center"/>
                </w:tcPr>
                <w:p w14:paraId="0AC00566">
                  <w:pPr>
                    <w:jc w:val="center"/>
                    <w:rPr>
                      <w:rFonts w:hint="eastAsia"/>
                      <w:color w:val="auto"/>
                      <w:szCs w:val="21"/>
                    </w:rPr>
                  </w:pPr>
                </w:p>
              </w:tc>
              <w:tc>
                <w:tcPr>
                  <w:tcW w:w="773" w:type="pct"/>
                  <w:noWrap w:val="0"/>
                  <w:tcMar>
                    <w:top w:w="0" w:type="dxa"/>
                    <w:left w:w="0" w:type="dxa"/>
                    <w:bottom w:w="0" w:type="dxa"/>
                    <w:right w:w="0" w:type="dxa"/>
                  </w:tcMar>
                  <w:vAlign w:val="center"/>
                </w:tcPr>
                <w:p w14:paraId="31AD52F8">
                  <w:pPr>
                    <w:jc w:val="center"/>
                    <w:rPr>
                      <w:rFonts w:hint="eastAsia"/>
                      <w:color w:val="auto"/>
                      <w:szCs w:val="21"/>
                    </w:rPr>
                  </w:pPr>
                </w:p>
              </w:tc>
              <w:tc>
                <w:tcPr>
                  <w:tcW w:w="666" w:type="pct"/>
                  <w:noWrap w:val="0"/>
                  <w:tcMar>
                    <w:top w:w="0" w:type="dxa"/>
                    <w:left w:w="0" w:type="dxa"/>
                    <w:bottom w:w="0" w:type="dxa"/>
                    <w:right w:w="0" w:type="dxa"/>
                  </w:tcMar>
                  <w:vAlign w:val="center"/>
                </w:tcPr>
                <w:p w14:paraId="755EE98D">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542CE3F2">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4E648DC5">
                  <w:pPr>
                    <w:keepNext w:val="0"/>
                    <w:keepLines w:val="0"/>
                    <w:suppressLineNumbers w:val="0"/>
                    <w:spacing w:before="0" w:beforeAutospacing="0" w:after="0" w:afterAutospacing="0"/>
                    <w:ind w:left="0" w:leftChars="0" w:right="0" w:rightChars="0"/>
                    <w:jc w:val="center"/>
                    <w:rPr>
                      <w:rFonts w:hint="eastAsia" w:eastAsia="宋体"/>
                      <w:color w:val="auto"/>
                      <w:szCs w:val="21"/>
                      <w:lang w:val="en-US" w:eastAsia="zh-CN"/>
                    </w:rPr>
                  </w:pPr>
                </w:p>
              </w:tc>
            </w:tr>
            <w:tr w14:paraId="089FC9F8">
              <w:trPr>
                <w:trHeight w:val="397" w:hRule="atLeast"/>
                <w:jc w:val="center"/>
              </w:trPr>
              <w:tc>
                <w:tcPr>
                  <w:tcW w:w="5000" w:type="pct"/>
                  <w:gridSpan w:val="7"/>
                  <w:noWrap w:val="0"/>
                  <w:tcMar>
                    <w:top w:w="0" w:type="dxa"/>
                    <w:left w:w="0" w:type="dxa"/>
                    <w:bottom w:w="0" w:type="dxa"/>
                    <w:right w:w="0" w:type="dxa"/>
                  </w:tcMar>
                  <w:vAlign w:val="center"/>
                </w:tcPr>
                <w:p w14:paraId="3B59ADF6">
                  <w:pPr>
                    <w:keepNext w:val="0"/>
                    <w:keepLines w:val="0"/>
                    <w:suppressLineNumbers w:val="0"/>
                    <w:spacing w:before="0" w:beforeAutospacing="0" w:after="0" w:afterAutospacing="0"/>
                    <w:ind w:left="0" w:leftChars="0" w:right="0" w:rightChars="0"/>
                    <w:jc w:val="center"/>
                    <w:rPr>
                      <w:rFonts w:hint="eastAsia" w:eastAsia="宋体"/>
                      <w:color w:val="auto"/>
                      <w:szCs w:val="21"/>
                      <w:lang w:val="en-US" w:eastAsia="zh-CN"/>
                    </w:rPr>
                  </w:pPr>
                </w:p>
              </w:tc>
            </w:tr>
            <w:tr w14:paraId="4032C0F4">
              <w:trPr>
                <w:trHeight w:val="397" w:hRule="atLeast"/>
                <w:jc w:val="center"/>
              </w:trPr>
              <w:tc>
                <w:tcPr>
                  <w:tcW w:w="315" w:type="pct"/>
                  <w:noWrap w:val="0"/>
                  <w:tcMar>
                    <w:top w:w="0" w:type="dxa"/>
                    <w:left w:w="0" w:type="dxa"/>
                    <w:bottom w:w="0" w:type="dxa"/>
                    <w:right w:w="0" w:type="dxa"/>
                  </w:tcMar>
                  <w:vAlign w:val="center"/>
                </w:tcPr>
                <w:p w14:paraId="548D595F">
                  <w:pPr>
                    <w:numPr>
                      <w:ilvl w:val="0"/>
                      <w:numId w:val="13"/>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2E984150">
                  <w:pPr>
                    <w:jc w:val="center"/>
                    <w:rPr>
                      <w:rFonts w:hint="eastAsia"/>
                      <w:color w:val="auto"/>
                      <w:szCs w:val="21"/>
                    </w:rPr>
                  </w:pPr>
                </w:p>
              </w:tc>
              <w:tc>
                <w:tcPr>
                  <w:tcW w:w="604" w:type="pct"/>
                  <w:noWrap w:val="0"/>
                  <w:tcMar>
                    <w:top w:w="0" w:type="dxa"/>
                    <w:left w:w="0" w:type="dxa"/>
                    <w:bottom w:w="0" w:type="dxa"/>
                    <w:right w:w="0" w:type="dxa"/>
                  </w:tcMar>
                  <w:vAlign w:val="center"/>
                </w:tcPr>
                <w:p w14:paraId="105FA23A">
                  <w:pPr>
                    <w:jc w:val="center"/>
                    <w:rPr>
                      <w:rFonts w:hint="eastAsia"/>
                      <w:color w:val="auto"/>
                      <w:szCs w:val="21"/>
                    </w:rPr>
                  </w:pPr>
                </w:p>
              </w:tc>
              <w:tc>
                <w:tcPr>
                  <w:tcW w:w="773" w:type="pct"/>
                  <w:noWrap w:val="0"/>
                  <w:tcMar>
                    <w:top w:w="0" w:type="dxa"/>
                    <w:left w:w="0" w:type="dxa"/>
                    <w:bottom w:w="0" w:type="dxa"/>
                    <w:right w:w="0" w:type="dxa"/>
                  </w:tcMar>
                  <w:vAlign w:val="center"/>
                </w:tcPr>
                <w:p w14:paraId="6F4A42F7">
                  <w:pPr>
                    <w:jc w:val="center"/>
                    <w:rPr>
                      <w:rFonts w:hint="eastAsia"/>
                      <w:color w:val="auto"/>
                      <w:szCs w:val="21"/>
                    </w:rPr>
                  </w:pPr>
                </w:p>
              </w:tc>
              <w:tc>
                <w:tcPr>
                  <w:tcW w:w="666" w:type="pct"/>
                  <w:noWrap w:val="0"/>
                  <w:tcMar>
                    <w:top w:w="0" w:type="dxa"/>
                    <w:left w:w="0" w:type="dxa"/>
                    <w:bottom w:w="0" w:type="dxa"/>
                    <w:right w:w="0" w:type="dxa"/>
                  </w:tcMar>
                  <w:vAlign w:val="center"/>
                </w:tcPr>
                <w:p w14:paraId="32203B0A">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3B9BACC3">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6E5C5A70">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6AC30329">
              <w:trPr>
                <w:trHeight w:val="397" w:hRule="atLeast"/>
                <w:jc w:val="center"/>
              </w:trPr>
              <w:tc>
                <w:tcPr>
                  <w:tcW w:w="315" w:type="pct"/>
                  <w:noWrap w:val="0"/>
                  <w:tcMar>
                    <w:top w:w="0" w:type="dxa"/>
                    <w:left w:w="0" w:type="dxa"/>
                    <w:bottom w:w="0" w:type="dxa"/>
                    <w:right w:w="0" w:type="dxa"/>
                  </w:tcMar>
                  <w:vAlign w:val="center"/>
                </w:tcPr>
                <w:p w14:paraId="75432D5C">
                  <w:pPr>
                    <w:numPr>
                      <w:ilvl w:val="0"/>
                      <w:numId w:val="13"/>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4177BDF1">
                  <w:pPr>
                    <w:jc w:val="center"/>
                    <w:rPr>
                      <w:rFonts w:hint="eastAsia"/>
                      <w:color w:val="auto"/>
                      <w:szCs w:val="21"/>
                    </w:rPr>
                  </w:pPr>
                </w:p>
              </w:tc>
              <w:tc>
                <w:tcPr>
                  <w:tcW w:w="604" w:type="pct"/>
                  <w:noWrap w:val="0"/>
                  <w:tcMar>
                    <w:top w:w="0" w:type="dxa"/>
                    <w:left w:w="0" w:type="dxa"/>
                    <w:bottom w:w="0" w:type="dxa"/>
                    <w:right w:w="0" w:type="dxa"/>
                  </w:tcMar>
                  <w:vAlign w:val="center"/>
                </w:tcPr>
                <w:p w14:paraId="730912F8">
                  <w:pPr>
                    <w:jc w:val="center"/>
                    <w:rPr>
                      <w:rFonts w:hint="eastAsia"/>
                      <w:color w:val="auto"/>
                      <w:szCs w:val="21"/>
                    </w:rPr>
                  </w:pPr>
                </w:p>
              </w:tc>
              <w:tc>
                <w:tcPr>
                  <w:tcW w:w="773" w:type="pct"/>
                  <w:noWrap w:val="0"/>
                  <w:tcMar>
                    <w:top w:w="0" w:type="dxa"/>
                    <w:left w:w="0" w:type="dxa"/>
                    <w:bottom w:w="0" w:type="dxa"/>
                    <w:right w:w="0" w:type="dxa"/>
                  </w:tcMar>
                  <w:vAlign w:val="center"/>
                </w:tcPr>
                <w:p w14:paraId="56BBFB7B">
                  <w:pPr>
                    <w:jc w:val="center"/>
                    <w:rPr>
                      <w:rFonts w:hint="eastAsia"/>
                      <w:color w:val="auto"/>
                      <w:szCs w:val="21"/>
                    </w:rPr>
                  </w:pPr>
                </w:p>
              </w:tc>
              <w:tc>
                <w:tcPr>
                  <w:tcW w:w="666" w:type="pct"/>
                  <w:noWrap w:val="0"/>
                  <w:tcMar>
                    <w:top w:w="0" w:type="dxa"/>
                    <w:left w:w="0" w:type="dxa"/>
                    <w:bottom w:w="0" w:type="dxa"/>
                    <w:right w:w="0" w:type="dxa"/>
                  </w:tcMar>
                  <w:vAlign w:val="center"/>
                </w:tcPr>
                <w:p w14:paraId="67298530">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5FB81A8B">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50F2EABC">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69845B87">
              <w:trPr>
                <w:trHeight w:val="397" w:hRule="atLeast"/>
                <w:jc w:val="center"/>
              </w:trPr>
              <w:tc>
                <w:tcPr>
                  <w:tcW w:w="315" w:type="pct"/>
                  <w:noWrap w:val="0"/>
                  <w:tcMar>
                    <w:top w:w="0" w:type="dxa"/>
                    <w:left w:w="0" w:type="dxa"/>
                    <w:bottom w:w="0" w:type="dxa"/>
                    <w:right w:w="0" w:type="dxa"/>
                  </w:tcMar>
                  <w:vAlign w:val="center"/>
                </w:tcPr>
                <w:p w14:paraId="274CD7E5">
                  <w:pPr>
                    <w:numPr>
                      <w:ilvl w:val="0"/>
                      <w:numId w:val="13"/>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5A7F3C55">
                  <w:pPr>
                    <w:jc w:val="center"/>
                    <w:rPr>
                      <w:rFonts w:hint="eastAsia"/>
                      <w:color w:val="auto"/>
                      <w:szCs w:val="21"/>
                    </w:rPr>
                  </w:pPr>
                </w:p>
              </w:tc>
              <w:tc>
                <w:tcPr>
                  <w:tcW w:w="604" w:type="pct"/>
                  <w:noWrap w:val="0"/>
                  <w:tcMar>
                    <w:top w:w="0" w:type="dxa"/>
                    <w:left w:w="0" w:type="dxa"/>
                    <w:bottom w:w="0" w:type="dxa"/>
                    <w:right w:w="0" w:type="dxa"/>
                  </w:tcMar>
                  <w:vAlign w:val="center"/>
                </w:tcPr>
                <w:p w14:paraId="6E3C99B7">
                  <w:pPr>
                    <w:jc w:val="center"/>
                    <w:rPr>
                      <w:rFonts w:hint="eastAsia"/>
                      <w:color w:val="auto"/>
                      <w:szCs w:val="21"/>
                    </w:rPr>
                  </w:pPr>
                </w:p>
              </w:tc>
              <w:tc>
                <w:tcPr>
                  <w:tcW w:w="773" w:type="pct"/>
                  <w:noWrap w:val="0"/>
                  <w:tcMar>
                    <w:top w:w="0" w:type="dxa"/>
                    <w:left w:w="0" w:type="dxa"/>
                    <w:bottom w:w="0" w:type="dxa"/>
                    <w:right w:w="0" w:type="dxa"/>
                  </w:tcMar>
                  <w:vAlign w:val="center"/>
                </w:tcPr>
                <w:p w14:paraId="61030A38">
                  <w:pPr>
                    <w:jc w:val="center"/>
                    <w:rPr>
                      <w:rFonts w:hint="eastAsia"/>
                      <w:color w:val="auto"/>
                      <w:szCs w:val="21"/>
                    </w:rPr>
                  </w:pPr>
                </w:p>
              </w:tc>
              <w:tc>
                <w:tcPr>
                  <w:tcW w:w="666" w:type="pct"/>
                  <w:noWrap w:val="0"/>
                  <w:tcMar>
                    <w:top w:w="0" w:type="dxa"/>
                    <w:left w:w="0" w:type="dxa"/>
                    <w:bottom w:w="0" w:type="dxa"/>
                    <w:right w:w="0" w:type="dxa"/>
                  </w:tcMar>
                  <w:vAlign w:val="center"/>
                </w:tcPr>
                <w:p w14:paraId="7C6A8215">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45A84634">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65EA7480">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3FC1111C">
              <w:trPr>
                <w:trHeight w:val="397" w:hRule="atLeast"/>
                <w:jc w:val="center"/>
              </w:trPr>
              <w:tc>
                <w:tcPr>
                  <w:tcW w:w="315" w:type="pct"/>
                  <w:noWrap w:val="0"/>
                  <w:tcMar>
                    <w:top w:w="0" w:type="dxa"/>
                    <w:left w:w="0" w:type="dxa"/>
                    <w:bottom w:w="0" w:type="dxa"/>
                    <w:right w:w="0" w:type="dxa"/>
                  </w:tcMar>
                  <w:vAlign w:val="center"/>
                </w:tcPr>
                <w:p w14:paraId="3751C0A3">
                  <w:pPr>
                    <w:numPr>
                      <w:ilvl w:val="0"/>
                      <w:numId w:val="13"/>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7C9169D0">
                  <w:pPr>
                    <w:jc w:val="center"/>
                    <w:rPr>
                      <w:rFonts w:hint="eastAsia"/>
                      <w:color w:val="auto"/>
                      <w:szCs w:val="21"/>
                    </w:rPr>
                  </w:pPr>
                </w:p>
              </w:tc>
              <w:tc>
                <w:tcPr>
                  <w:tcW w:w="604" w:type="pct"/>
                  <w:noWrap w:val="0"/>
                  <w:tcMar>
                    <w:top w:w="0" w:type="dxa"/>
                    <w:left w:w="0" w:type="dxa"/>
                    <w:bottom w:w="0" w:type="dxa"/>
                    <w:right w:w="0" w:type="dxa"/>
                  </w:tcMar>
                  <w:vAlign w:val="center"/>
                </w:tcPr>
                <w:p w14:paraId="257C47B7">
                  <w:pPr>
                    <w:jc w:val="center"/>
                    <w:rPr>
                      <w:rFonts w:hint="eastAsia"/>
                      <w:color w:val="auto"/>
                      <w:szCs w:val="21"/>
                    </w:rPr>
                  </w:pPr>
                </w:p>
              </w:tc>
              <w:tc>
                <w:tcPr>
                  <w:tcW w:w="773" w:type="pct"/>
                  <w:noWrap w:val="0"/>
                  <w:tcMar>
                    <w:top w:w="0" w:type="dxa"/>
                    <w:left w:w="0" w:type="dxa"/>
                    <w:bottom w:w="0" w:type="dxa"/>
                    <w:right w:w="0" w:type="dxa"/>
                  </w:tcMar>
                  <w:vAlign w:val="center"/>
                </w:tcPr>
                <w:p w14:paraId="36AC1229">
                  <w:pPr>
                    <w:jc w:val="center"/>
                    <w:rPr>
                      <w:rFonts w:hint="eastAsia"/>
                      <w:color w:val="auto"/>
                      <w:szCs w:val="21"/>
                    </w:rPr>
                  </w:pPr>
                </w:p>
              </w:tc>
              <w:tc>
                <w:tcPr>
                  <w:tcW w:w="666" w:type="pct"/>
                  <w:noWrap w:val="0"/>
                  <w:tcMar>
                    <w:top w:w="0" w:type="dxa"/>
                    <w:left w:w="0" w:type="dxa"/>
                    <w:bottom w:w="0" w:type="dxa"/>
                    <w:right w:w="0" w:type="dxa"/>
                  </w:tcMar>
                  <w:vAlign w:val="center"/>
                </w:tcPr>
                <w:p w14:paraId="03344DFD">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5792349F">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20713FED">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5504C080">
              <w:trPr>
                <w:trHeight w:val="397" w:hRule="atLeast"/>
                <w:jc w:val="center"/>
              </w:trPr>
              <w:tc>
                <w:tcPr>
                  <w:tcW w:w="315" w:type="pct"/>
                  <w:noWrap w:val="0"/>
                  <w:tcMar>
                    <w:top w:w="0" w:type="dxa"/>
                    <w:left w:w="0" w:type="dxa"/>
                    <w:bottom w:w="0" w:type="dxa"/>
                    <w:right w:w="0" w:type="dxa"/>
                  </w:tcMar>
                  <w:vAlign w:val="center"/>
                </w:tcPr>
                <w:p w14:paraId="4C0742C4">
                  <w:pPr>
                    <w:numPr>
                      <w:ilvl w:val="0"/>
                      <w:numId w:val="13"/>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70276354">
                  <w:pPr>
                    <w:jc w:val="center"/>
                    <w:rPr>
                      <w:rFonts w:hint="eastAsia"/>
                      <w:color w:val="auto"/>
                      <w:szCs w:val="21"/>
                    </w:rPr>
                  </w:pPr>
                </w:p>
              </w:tc>
              <w:tc>
                <w:tcPr>
                  <w:tcW w:w="604" w:type="pct"/>
                  <w:noWrap w:val="0"/>
                  <w:tcMar>
                    <w:top w:w="0" w:type="dxa"/>
                    <w:left w:w="0" w:type="dxa"/>
                    <w:bottom w:w="0" w:type="dxa"/>
                    <w:right w:w="0" w:type="dxa"/>
                  </w:tcMar>
                  <w:vAlign w:val="center"/>
                </w:tcPr>
                <w:p w14:paraId="646B887A">
                  <w:pPr>
                    <w:jc w:val="center"/>
                    <w:rPr>
                      <w:rFonts w:hint="eastAsia"/>
                      <w:color w:val="auto"/>
                      <w:szCs w:val="21"/>
                    </w:rPr>
                  </w:pPr>
                </w:p>
              </w:tc>
              <w:tc>
                <w:tcPr>
                  <w:tcW w:w="773" w:type="pct"/>
                  <w:noWrap w:val="0"/>
                  <w:tcMar>
                    <w:top w:w="0" w:type="dxa"/>
                    <w:left w:w="0" w:type="dxa"/>
                    <w:bottom w:w="0" w:type="dxa"/>
                    <w:right w:w="0" w:type="dxa"/>
                  </w:tcMar>
                  <w:vAlign w:val="center"/>
                </w:tcPr>
                <w:p w14:paraId="44E2EAC9">
                  <w:pPr>
                    <w:jc w:val="center"/>
                    <w:rPr>
                      <w:rFonts w:hint="eastAsia"/>
                      <w:color w:val="auto"/>
                      <w:szCs w:val="21"/>
                    </w:rPr>
                  </w:pPr>
                </w:p>
              </w:tc>
              <w:tc>
                <w:tcPr>
                  <w:tcW w:w="666" w:type="pct"/>
                  <w:noWrap w:val="0"/>
                  <w:tcMar>
                    <w:top w:w="0" w:type="dxa"/>
                    <w:left w:w="0" w:type="dxa"/>
                    <w:bottom w:w="0" w:type="dxa"/>
                    <w:right w:w="0" w:type="dxa"/>
                  </w:tcMar>
                  <w:vAlign w:val="center"/>
                </w:tcPr>
                <w:p w14:paraId="0E919218">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34B3EBBF">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3A2AF002">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77EBE9CC">
              <w:trPr>
                <w:trHeight w:val="397" w:hRule="atLeast"/>
                <w:jc w:val="center"/>
              </w:trPr>
              <w:tc>
                <w:tcPr>
                  <w:tcW w:w="315" w:type="pct"/>
                  <w:noWrap w:val="0"/>
                  <w:tcMar>
                    <w:top w:w="0" w:type="dxa"/>
                    <w:left w:w="0" w:type="dxa"/>
                    <w:bottom w:w="0" w:type="dxa"/>
                    <w:right w:w="0" w:type="dxa"/>
                  </w:tcMar>
                  <w:vAlign w:val="center"/>
                </w:tcPr>
                <w:p w14:paraId="5E66FADC">
                  <w:pPr>
                    <w:numPr>
                      <w:ilvl w:val="0"/>
                      <w:numId w:val="13"/>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2ACD8CDC">
                  <w:pPr>
                    <w:jc w:val="center"/>
                    <w:rPr>
                      <w:rFonts w:hint="eastAsia"/>
                      <w:color w:val="auto"/>
                      <w:szCs w:val="21"/>
                    </w:rPr>
                  </w:pPr>
                </w:p>
              </w:tc>
              <w:tc>
                <w:tcPr>
                  <w:tcW w:w="604" w:type="pct"/>
                  <w:noWrap w:val="0"/>
                  <w:tcMar>
                    <w:top w:w="0" w:type="dxa"/>
                    <w:left w:w="0" w:type="dxa"/>
                    <w:bottom w:w="0" w:type="dxa"/>
                    <w:right w:w="0" w:type="dxa"/>
                  </w:tcMar>
                  <w:vAlign w:val="center"/>
                </w:tcPr>
                <w:p w14:paraId="03FC821C">
                  <w:pPr>
                    <w:jc w:val="center"/>
                    <w:rPr>
                      <w:rFonts w:hint="eastAsia"/>
                      <w:color w:val="auto"/>
                      <w:szCs w:val="21"/>
                    </w:rPr>
                  </w:pPr>
                </w:p>
              </w:tc>
              <w:tc>
                <w:tcPr>
                  <w:tcW w:w="773" w:type="pct"/>
                  <w:noWrap w:val="0"/>
                  <w:tcMar>
                    <w:top w:w="0" w:type="dxa"/>
                    <w:left w:w="0" w:type="dxa"/>
                    <w:bottom w:w="0" w:type="dxa"/>
                    <w:right w:w="0" w:type="dxa"/>
                  </w:tcMar>
                  <w:vAlign w:val="center"/>
                </w:tcPr>
                <w:p w14:paraId="0A6EA718">
                  <w:pPr>
                    <w:jc w:val="center"/>
                    <w:rPr>
                      <w:rFonts w:hint="eastAsia"/>
                      <w:color w:val="auto"/>
                      <w:szCs w:val="21"/>
                    </w:rPr>
                  </w:pPr>
                </w:p>
              </w:tc>
              <w:tc>
                <w:tcPr>
                  <w:tcW w:w="666" w:type="pct"/>
                  <w:noWrap w:val="0"/>
                  <w:tcMar>
                    <w:top w:w="0" w:type="dxa"/>
                    <w:left w:w="0" w:type="dxa"/>
                    <w:bottom w:w="0" w:type="dxa"/>
                    <w:right w:w="0" w:type="dxa"/>
                  </w:tcMar>
                  <w:vAlign w:val="center"/>
                </w:tcPr>
                <w:p w14:paraId="39A96AE5">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12B5A778">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0C5E4012">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1321F8FD">
              <w:trPr>
                <w:trHeight w:val="397" w:hRule="atLeast"/>
                <w:jc w:val="center"/>
              </w:trPr>
              <w:tc>
                <w:tcPr>
                  <w:tcW w:w="315" w:type="pct"/>
                  <w:noWrap w:val="0"/>
                  <w:tcMar>
                    <w:top w:w="0" w:type="dxa"/>
                    <w:left w:w="0" w:type="dxa"/>
                    <w:bottom w:w="0" w:type="dxa"/>
                    <w:right w:w="0" w:type="dxa"/>
                  </w:tcMar>
                  <w:vAlign w:val="center"/>
                </w:tcPr>
                <w:p w14:paraId="4D31E489">
                  <w:pPr>
                    <w:numPr>
                      <w:ilvl w:val="0"/>
                      <w:numId w:val="13"/>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36C78AF4">
                  <w:pPr>
                    <w:jc w:val="center"/>
                    <w:rPr>
                      <w:rFonts w:hint="eastAsia"/>
                      <w:color w:val="auto"/>
                      <w:szCs w:val="21"/>
                    </w:rPr>
                  </w:pPr>
                </w:p>
              </w:tc>
              <w:tc>
                <w:tcPr>
                  <w:tcW w:w="604" w:type="pct"/>
                  <w:noWrap w:val="0"/>
                  <w:tcMar>
                    <w:top w:w="0" w:type="dxa"/>
                    <w:left w:w="0" w:type="dxa"/>
                    <w:bottom w:w="0" w:type="dxa"/>
                    <w:right w:w="0" w:type="dxa"/>
                  </w:tcMar>
                  <w:vAlign w:val="center"/>
                </w:tcPr>
                <w:p w14:paraId="0FAF8382">
                  <w:pPr>
                    <w:jc w:val="center"/>
                    <w:rPr>
                      <w:rFonts w:hint="eastAsia"/>
                      <w:color w:val="auto"/>
                      <w:szCs w:val="21"/>
                    </w:rPr>
                  </w:pPr>
                </w:p>
              </w:tc>
              <w:tc>
                <w:tcPr>
                  <w:tcW w:w="773" w:type="pct"/>
                  <w:noWrap w:val="0"/>
                  <w:tcMar>
                    <w:top w:w="0" w:type="dxa"/>
                    <w:left w:w="0" w:type="dxa"/>
                    <w:bottom w:w="0" w:type="dxa"/>
                    <w:right w:w="0" w:type="dxa"/>
                  </w:tcMar>
                  <w:vAlign w:val="center"/>
                </w:tcPr>
                <w:p w14:paraId="61DA61D1">
                  <w:pPr>
                    <w:jc w:val="center"/>
                    <w:rPr>
                      <w:rFonts w:hint="eastAsia"/>
                      <w:color w:val="auto"/>
                      <w:szCs w:val="21"/>
                    </w:rPr>
                  </w:pPr>
                </w:p>
              </w:tc>
              <w:tc>
                <w:tcPr>
                  <w:tcW w:w="666" w:type="pct"/>
                  <w:noWrap w:val="0"/>
                  <w:tcMar>
                    <w:top w:w="0" w:type="dxa"/>
                    <w:left w:w="0" w:type="dxa"/>
                    <w:bottom w:w="0" w:type="dxa"/>
                    <w:right w:w="0" w:type="dxa"/>
                  </w:tcMar>
                  <w:vAlign w:val="center"/>
                </w:tcPr>
                <w:p w14:paraId="0AE3EF51">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196A5C31">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51DF2070">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24693BBD">
              <w:trPr>
                <w:trHeight w:val="397" w:hRule="atLeast"/>
                <w:jc w:val="center"/>
              </w:trPr>
              <w:tc>
                <w:tcPr>
                  <w:tcW w:w="315" w:type="pct"/>
                  <w:noWrap w:val="0"/>
                  <w:tcMar>
                    <w:top w:w="0" w:type="dxa"/>
                    <w:left w:w="0" w:type="dxa"/>
                    <w:bottom w:w="0" w:type="dxa"/>
                    <w:right w:w="0" w:type="dxa"/>
                  </w:tcMar>
                  <w:vAlign w:val="center"/>
                </w:tcPr>
                <w:p w14:paraId="629646EC">
                  <w:pPr>
                    <w:numPr>
                      <w:ilvl w:val="0"/>
                      <w:numId w:val="13"/>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0427DFFE">
                  <w:pPr>
                    <w:jc w:val="center"/>
                    <w:rPr>
                      <w:rFonts w:hint="eastAsia"/>
                      <w:color w:val="auto"/>
                      <w:szCs w:val="21"/>
                    </w:rPr>
                  </w:pPr>
                </w:p>
              </w:tc>
              <w:tc>
                <w:tcPr>
                  <w:tcW w:w="604" w:type="pct"/>
                  <w:noWrap w:val="0"/>
                  <w:tcMar>
                    <w:top w:w="0" w:type="dxa"/>
                    <w:left w:w="0" w:type="dxa"/>
                    <w:bottom w:w="0" w:type="dxa"/>
                    <w:right w:w="0" w:type="dxa"/>
                  </w:tcMar>
                  <w:vAlign w:val="center"/>
                </w:tcPr>
                <w:p w14:paraId="486CDF4E">
                  <w:pPr>
                    <w:jc w:val="center"/>
                    <w:rPr>
                      <w:rFonts w:hint="eastAsia"/>
                      <w:color w:val="auto"/>
                      <w:szCs w:val="21"/>
                    </w:rPr>
                  </w:pPr>
                </w:p>
              </w:tc>
              <w:tc>
                <w:tcPr>
                  <w:tcW w:w="773" w:type="pct"/>
                  <w:noWrap w:val="0"/>
                  <w:tcMar>
                    <w:top w:w="0" w:type="dxa"/>
                    <w:left w:w="0" w:type="dxa"/>
                    <w:bottom w:w="0" w:type="dxa"/>
                    <w:right w:w="0" w:type="dxa"/>
                  </w:tcMar>
                  <w:vAlign w:val="center"/>
                </w:tcPr>
                <w:p w14:paraId="181CE19C">
                  <w:pPr>
                    <w:jc w:val="center"/>
                    <w:rPr>
                      <w:rFonts w:hint="eastAsia"/>
                      <w:color w:val="auto"/>
                      <w:szCs w:val="21"/>
                    </w:rPr>
                  </w:pPr>
                </w:p>
              </w:tc>
              <w:tc>
                <w:tcPr>
                  <w:tcW w:w="666" w:type="pct"/>
                  <w:noWrap w:val="0"/>
                  <w:tcMar>
                    <w:top w:w="0" w:type="dxa"/>
                    <w:left w:w="0" w:type="dxa"/>
                    <w:bottom w:w="0" w:type="dxa"/>
                    <w:right w:w="0" w:type="dxa"/>
                  </w:tcMar>
                  <w:vAlign w:val="center"/>
                </w:tcPr>
                <w:p w14:paraId="597A8969">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0DBC9E48">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3C26E281">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5781E489">
              <w:trPr>
                <w:trHeight w:val="397" w:hRule="atLeast"/>
                <w:jc w:val="center"/>
              </w:trPr>
              <w:tc>
                <w:tcPr>
                  <w:tcW w:w="315" w:type="pct"/>
                  <w:noWrap w:val="0"/>
                  <w:tcMar>
                    <w:top w:w="0" w:type="dxa"/>
                    <w:left w:w="0" w:type="dxa"/>
                    <w:bottom w:w="0" w:type="dxa"/>
                    <w:right w:w="0" w:type="dxa"/>
                  </w:tcMar>
                  <w:vAlign w:val="center"/>
                </w:tcPr>
                <w:p w14:paraId="32C3727C">
                  <w:pPr>
                    <w:numPr>
                      <w:ilvl w:val="0"/>
                      <w:numId w:val="13"/>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48780B38">
                  <w:pPr>
                    <w:jc w:val="center"/>
                    <w:rPr>
                      <w:rFonts w:hint="eastAsia"/>
                      <w:color w:val="auto"/>
                      <w:szCs w:val="21"/>
                    </w:rPr>
                  </w:pPr>
                </w:p>
              </w:tc>
              <w:tc>
                <w:tcPr>
                  <w:tcW w:w="604" w:type="pct"/>
                  <w:noWrap w:val="0"/>
                  <w:tcMar>
                    <w:top w:w="0" w:type="dxa"/>
                    <w:left w:w="0" w:type="dxa"/>
                    <w:bottom w:w="0" w:type="dxa"/>
                    <w:right w:w="0" w:type="dxa"/>
                  </w:tcMar>
                  <w:vAlign w:val="center"/>
                </w:tcPr>
                <w:p w14:paraId="4A96EE3F">
                  <w:pPr>
                    <w:jc w:val="center"/>
                    <w:rPr>
                      <w:rFonts w:hint="eastAsia"/>
                      <w:color w:val="auto"/>
                      <w:szCs w:val="21"/>
                    </w:rPr>
                  </w:pPr>
                </w:p>
              </w:tc>
              <w:tc>
                <w:tcPr>
                  <w:tcW w:w="773" w:type="pct"/>
                  <w:noWrap w:val="0"/>
                  <w:tcMar>
                    <w:top w:w="0" w:type="dxa"/>
                    <w:left w:w="0" w:type="dxa"/>
                    <w:bottom w:w="0" w:type="dxa"/>
                    <w:right w:w="0" w:type="dxa"/>
                  </w:tcMar>
                  <w:vAlign w:val="center"/>
                </w:tcPr>
                <w:p w14:paraId="1C7E60DE">
                  <w:pPr>
                    <w:jc w:val="center"/>
                    <w:rPr>
                      <w:rFonts w:hint="eastAsia"/>
                      <w:color w:val="auto"/>
                      <w:szCs w:val="21"/>
                    </w:rPr>
                  </w:pPr>
                </w:p>
              </w:tc>
              <w:tc>
                <w:tcPr>
                  <w:tcW w:w="666" w:type="pct"/>
                  <w:noWrap w:val="0"/>
                  <w:tcMar>
                    <w:top w:w="0" w:type="dxa"/>
                    <w:left w:w="0" w:type="dxa"/>
                    <w:bottom w:w="0" w:type="dxa"/>
                    <w:right w:w="0" w:type="dxa"/>
                  </w:tcMar>
                  <w:vAlign w:val="center"/>
                </w:tcPr>
                <w:p w14:paraId="2CFAE398">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33477030">
                  <w:pPr>
                    <w:keepNext w:val="0"/>
                    <w:keepLines w:val="0"/>
                    <w:suppressLineNumbers w:val="0"/>
                    <w:spacing w:before="0" w:beforeAutospacing="0" w:after="0" w:afterAutospacing="0"/>
                    <w:ind w:left="0" w:leftChars="0" w:right="0" w:rightChars="0"/>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69A4B53C">
                  <w:pPr>
                    <w:keepNext w:val="0"/>
                    <w:keepLines w:val="0"/>
                    <w:suppressLineNumbers w:val="0"/>
                    <w:spacing w:before="0" w:beforeAutospacing="0" w:after="0" w:afterAutospacing="0"/>
                    <w:ind w:left="0" w:leftChars="0" w:right="0" w:rightChars="0"/>
                    <w:jc w:val="center"/>
                    <w:rPr>
                      <w:rFonts w:hint="eastAsia" w:eastAsia="宋体"/>
                      <w:color w:val="auto"/>
                      <w:szCs w:val="21"/>
                      <w:lang w:val="en-US" w:eastAsia="zh-CN"/>
                    </w:rPr>
                  </w:pPr>
                </w:p>
              </w:tc>
            </w:tr>
            <w:tr w14:paraId="5F6E9150">
              <w:trPr>
                <w:trHeight w:val="397" w:hRule="atLeast"/>
                <w:jc w:val="center"/>
              </w:trPr>
              <w:tc>
                <w:tcPr>
                  <w:tcW w:w="5000" w:type="pct"/>
                  <w:gridSpan w:val="7"/>
                  <w:noWrap w:val="0"/>
                  <w:tcMar>
                    <w:top w:w="0" w:type="dxa"/>
                    <w:left w:w="0" w:type="dxa"/>
                    <w:bottom w:w="0" w:type="dxa"/>
                    <w:right w:w="0" w:type="dxa"/>
                  </w:tcMar>
                  <w:vAlign w:val="center"/>
                </w:tcPr>
                <w:p w14:paraId="13CCDD2E">
                  <w:pPr>
                    <w:keepNext w:val="0"/>
                    <w:keepLines w:val="0"/>
                    <w:suppressLineNumbers w:val="0"/>
                    <w:spacing w:before="0" w:beforeAutospacing="0" w:after="0" w:afterAutospacing="0"/>
                    <w:ind w:left="0" w:leftChars="0" w:right="0" w:rightChars="0"/>
                    <w:jc w:val="center"/>
                    <w:rPr>
                      <w:rFonts w:hint="eastAsia" w:eastAsia="宋体"/>
                      <w:color w:val="auto"/>
                      <w:szCs w:val="21"/>
                      <w:lang w:val="en-US" w:eastAsia="zh-CN"/>
                    </w:rPr>
                  </w:pPr>
                </w:p>
              </w:tc>
            </w:tr>
            <w:tr w14:paraId="6F30DBB6">
              <w:trPr>
                <w:trHeight w:val="397" w:hRule="atLeast"/>
                <w:jc w:val="center"/>
              </w:trPr>
              <w:tc>
                <w:tcPr>
                  <w:tcW w:w="315" w:type="pct"/>
                  <w:noWrap w:val="0"/>
                  <w:tcMar>
                    <w:top w:w="0" w:type="dxa"/>
                    <w:left w:w="0" w:type="dxa"/>
                    <w:bottom w:w="0" w:type="dxa"/>
                    <w:right w:w="0" w:type="dxa"/>
                  </w:tcMar>
                  <w:vAlign w:val="center"/>
                </w:tcPr>
                <w:p w14:paraId="258B3EED">
                  <w:pPr>
                    <w:numPr>
                      <w:ilvl w:val="0"/>
                      <w:numId w:val="14"/>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7ED904E4">
                  <w:pPr>
                    <w:jc w:val="center"/>
                    <w:rPr>
                      <w:rFonts w:hint="eastAsia"/>
                      <w:color w:val="auto"/>
                      <w:szCs w:val="21"/>
                    </w:rPr>
                  </w:pPr>
                </w:p>
              </w:tc>
              <w:tc>
                <w:tcPr>
                  <w:tcW w:w="604" w:type="pct"/>
                  <w:noWrap w:val="0"/>
                  <w:tcMar>
                    <w:top w:w="0" w:type="dxa"/>
                    <w:left w:w="0" w:type="dxa"/>
                    <w:bottom w:w="0" w:type="dxa"/>
                    <w:right w:w="0" w:type="dxa"/>
                  </w:tcMar>
                  <w:vAlign w:val="center"/>
                </w:tcPr>
                <w:p w14:paraId="770CADF3">
                  <w:pPr>
                    <w:jc w:val="center"/>
                    <w:rPr>
                      <w:rFonts w:hint="eastAsia"/>
                      <w:color w:val="auto"/>
                      <w:szCs w:val="21"/>
                    </w:rPr>
                  </w:pPr>
                </w:p>
              </w:tc>
              <w:tc>
                <w:tcPr>
                  <w:tcW w:w="773" w:type="pct"/>
                  <w:noWrap w:val="0"/>
                  <w:tcMar>
                    <w:top w:w="0" w:type="dxa"/>
                    <w:left w:w="0" w:type="dxa"/>
                    <w:bottom w:w="0" w:type="dxa"/>
                    <w:right w:w="0" w:type="dxa"/>
                  </w:tcMar>
                  <w:vAlign w:val="center"/>
                </w:tcPr>
                <w:p w14:paraId="0CFDA8D8">
                  <w:pPr>
                    <w:jc w:val="center"/>
                    <w:rPr>
                      <w:rFonts w:hint="eastAsia"/>
                      <w:color w:val="auto"/>
                      <w:szCs w:val="21"/>
                    </w:rPr>
                  </w:pPr>
                </w:p>
              </w:tc>
              <w:tc>
                <w:tcPr>
                  <w:tcW w:w="666" w:type="pct"/>
                  <w:noWrap w:val="0"/>
                  <w:tcMar>
                    <w:top w:w="0" w:type="dxa"/>
                    <w:left w:w="0" w:type="dxa"/>
                    <w:bottom w:w="0" w:type="dxa"/>
                    <w:right w:w="0" w:type="dxa"/>
                  </w:tcMar>
                  <w:vAlign w:val="center"/>
                </w:tcPr>
                <w:p w14:paraId="2C1B40AB">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1957C57F">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1DB5B2A7">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0DAB46C9">
              <w:trPr>
                <w:trHeight w:val="397" w:hRule="atLeast"/>
                <w:jc w:val="center"/>
              </w:trPr>
              <w:tc>
                <w:tcPr>
                  <w:tcW w:w="315" w:type="pct"/>
                  <w:noWrap w:val="0"/>
                  <w:tcMar>
                    <w:top w:w="0" w:type="dxa"/>
                    <w:left w:w="0" w:type="dxa"/>
                    <w:bottom w:w="0" w:type="dxa"/>
                    <w:right w:w="0" w:type="dxa"/>
                  </w:tcMar>
                  <w:vAlign w:val="center"/>
                </w:tcPr>
                <w:p w14:paraId="6A5DF8CB">
                  <w:pPr>
                    <w:numPr>
                      <w:ilvl w:val="0"/>
                      <w:numId w:val="14"/>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50C11A2B">
                  <w:pPr>
                    <w:jc w:val="center"/>
                    <w:rPr>
                      <w:rFonts w:hint="eastAsia"/>
                      <w:color w:val="auto"/>
                      <w:szCs w:val="21"/>
                    </w:rPr>
                  </w:pPr>
                </w:p>
              </w:tc>
              <w:tc>
                <w:tcPr>
                  <w:tcW w:w="604" w:type="pct"/>
                  <w:noWrap w:val="0"/>
                  <w:tcMar>
                    <w:top w:w="0" w:type="dxa"/>
                    <w:left w:w="0" w:type="dxa"/>
                    <w:bottom w:w="0" w:type="dxa"/>
                    <w:right w:w="0" w:type="dxa"/>
                  </w:tcMar>
                  <w:vAlign w:val="center"/>
                </w:tcPr>
                <w:p w14:paraId="33C06D75">
                  <w:pPr>
                    <w:jc w:val="center"/>
                    <w:rPr>
                      <w:rFonts w:hint="eastAsia"/>
                      <w:color w:val="auto"/>
                      <w:szCs w:val="21"/>
                    </w:rPr>
                  </w:pPr>
                </w:p>
              </w:tc>
              <w:tc>
                <w:tcPr>
                  <w:tcW w:w="773" w:type="pct"/>
                  <w:noWrap w:val="0"/>
                  <w:tcMar>
                    <w:top w:w="0" w:type="dxa"/>
                    <w:left w:w="0" w:type="dxa"/>
                    <w:bottom w:w="0" w:type="dxa"/>
                    <w:right w:w="0" w:type="dxa"/>
                  </w:tcMar>
                  <w:vAlign w:val="center"/>
                </w:tcPr>
                <w:p w14:paraId="6C3B982E">
                  <w:pPr>
                    <w:jc w:val="center"/>
                    <w:rPr>
                      <w:rFonts w:hint="eastAsia"/>
                      <w:color w:val="auto"/>
                      <w:szCs w:val="21"/>
                    </w:rPr>
                  </w:pPr>
                </w:p>
              </w:tc>
              <w:tc>
                <w:tcPr>
                  <w:tcW w:w="666" w:type="pct"/>
                  <w:noWrap w:val="0"/>
                  <w:tcMar>
                    <w:top w:w="0" w:type="dxa"/>
                    <w:left w:w="0" w:type="dxa"/>
                    <w:bottom w:w="0" w:type="dxa"/>
                    <w:right w:w="0" w:type="dxa"/>
                  </w:tcMar>
                  <w:vAlign w:val="center"/>
                </w:tcPr>
                <w:p w14:paraId="791CBD3C">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109F57D4">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07C9C1AB">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5199099C">
              <w:trPr>
                <w:trHeight w:val="397" w:hRule="atLeast"/>
                <w:jc w:val="center"/>
              </w:trPr>
              <w:tc>
                <w:tcPr>
                  <w:tcW w:w="315" w:type="pct"/>
                  <w:noWrap w:val="0"/>
                  <w:tcMar>
                    <w:top w:w="0" w:type="dxa"/>
                    <w:left w:w="0" w:type="dxa"/>
                    <w:bottom w:w="0" w:type="dxa"/>
                    <w:right w:w="0" w:type="dxa"/>
                  </w:tcMar>
                  <w:vAlign w:val="center"/>
                </w:tcPr>
                <w:p w14:paraId="3B27DF3E">
                  <w:pPr>
                    <w:numPr>
                      <w:ilvl w:val="0"/>
                      <w:numId w:val="14"/>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5C1E2F90">
                  <w:pPr>
                    <w:jc w:val="center"/>
                    <w:rPr>
                      <w:rFonts w:hint="eastAsia"/>
                      <w:color w:val="auto"/>
                      <w:szCs w:val="21"/>
                    </w:rPr>
                  </w:pPr>
                </w:p>
              </w:tc>
              <w:tc>
                <w:tcPr>
                  <w:tcW w:w="604" w:type="pct"/>
                  <w:noWrap w:val="0"/>
                  <w:tcMar>
                    <w:top w:w="0" w:type="dxa"/>
                    <w:left w:w="0" w:type="dxa"/>
                    <w:bottom w:w="0" w:type="dxa"/>
                    <w:right w:w="0" w:type="dxa"/>
                  </w:tcMar>
                  <w:vAlign w:val="center"/>
                </w:tcPr>
                <w:p w14:paraId="1F02F7EF">
                  <w:pPr>
                    <w:jc w:val="center"/>
                    <w:rPr>
                      <w:rFonts w:hint="eastAsia"/>
                      <w:color w:val="auto"/>
                      <w:szCs w:val="21"/>
                    </w:rPr>
                  </w:pPr>
                </w:p>
              </w:tc>
              <w:tc>
                <w:tcPr>
                  <w:tcW w:w="773" w:type="pct"/>
                  <w:noWrap w:val="0"/>
                  <w:tcMar>
                    <w:top w:w="0" w:type="dxa"/>
                    <w:left w:w="0" w:type="dxa"/>
                    <w:bottom w:w="0" w:type="dxa"/>
                    <w:right w:w="0" w:type="dxa"/>
                  </w:tcMar>
                  <w:vAlign w:val="center"/>
                </w:tcPr>
                <w:p w14:paraId="119FD403">
                  <w:pPr>
                    <w:jc w:val="center"/>
                    <w:rPr>
                      <w:rFonts w:hint="eastAsia"/>
                      <w:color w:val="auto"/>
                      <w:szCs w:val="21"/>
                    </w:rPr>
                  </w:pPr>
                </w:p>
              </w:tc>
              <w:tc>
                <w:tcPr>
                  <w:tcW w:w="666" w:type="pct"/>
                  <w:noWrap w:val="0"/>
                  <w:tcMar>
                    <w:top w:w="0" w:type="dxa"/>
                    <w:left w:w="0" w:type="dxa"/>
                    <w:bottom w:w="0" w:type="dxa"/>
                    <w:right w:w="0" w:type="dxa"/>
                  </w:tcMar>
                  <w:vAlign w:val="center"/>
                </w:tcPr>
                <w:p w14:paraId="2A4BD683">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1597BEC7">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26756645">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6D4F97FB">
              <w:trPr>
                <w:trHeight w:val="397" w:hRule="atLeast"/>
                <w:jc w:val="center"/>
              </w:trPr>
              <w:tc>
                <w:tcPr>
                  <w:tcW w:w="315" w:type="pct"/>
                  <w:noWrap w:val="0"/>
                  <w:tcMar>
                    <w:top w:w="0" w:type="dxa"/>
                    <w:left w:w="0" w:type="dxa"/>
                    <w:bottom w:w="0" w:type="dxa"/>
                    <w:right w:w="0" w:type="dxa"/>
                  </w:tcMar>
                  <w:vAlign w:val="center"/>
                </w:tcPr>
                <w:p w14:paraId="609592C3">
                  <w:pPr>
                    <w:numPr>
                      <w:ilvl w:val="0"/>
                      <w:numId w:val="14"/>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7EF4CB31">
                  <w:pPr>
                    <w:jc w:val="center"/>
                    <w:rPr>
                      <w:rFonts w:hint="eastAsia"/>
                      <w:color w:val="auto"/>
                      <w:szCs w:val="21"/>
                    </w:rPr>
                  </w:pPr>
                </w:p>
              </w:tc>
              <w:tc>
                <w:tcPr>
                  <w:tcW w:w="604" w:type="pct"/>
                  <w:noWrap w:val="0"/>
                  <w:tcMar>
                    <w:top w:w="0" w:type="dxa"/>
                    <w:left w:w="0" w:type="dxa"/>
                    <w:bottom w:w="0" w:type="dxa"/>
                    <w:right w:w="0" w:type="dxa"/>
                  </w:tcMar>
                  <w:vAlign w:val="center"/>
                </w:tcPr>
                <w:p w14:paraId="700F5EA0">
                  <w:pPr>
                    <w:jc w:val="center"/>
                    <w:rPr>
                      <w:rFonts w:hint="eastAsia"/>
                      <w:color w:val="auto"/>
                      <w:szCs w:val="21"/>
                    </w:rPr>
                  </w:pPr>
                </w:p>
              </w:tc>
              <w:tc>
                <w:tcPr>
                  <w:tcW w:w="773" w:type="pct"/>
                  <w:noWrap w:val="0"/>
                  <w:tcMar>
                    <w:top w:w="0" w:type="dxa"/>
                    <w:left w:w="0" w:type="dxa"/>
                    <w:bottom w:w="0" w:type="dxa"/>
                    <w:right w:w="0" w:type="dxa"/>
                  </w:tcMar>
                  <w:vAlign w:val="center"/>
                </w:tcPr>
                <w:p w14:paraId="672FE994">
                  <w:pPr>
                    <w:jc w:val="center"/>
                    <w:rPr>
                      <w:rFonts w:hint="eastAsia"/>
                      <w:color w:val="auto"/>
                      <w:szCs w:val="21"/>
                    </w:rPr>
                  </w:pPr>
                </w:p>
              </w:tc>
              <w:tc>
                <w:tcPr>
                  <w:tcW w:w="666" w:type="pct"/>
                  <w:noWrap w:val="0"/>
                  <w:tcMar>
                    <w:top w:w="0" w:type="dxa"/>
                    <w:left w:w="0" w:type="dxa"/>
                    <w:bottom w:w="0" w:type="dxa"/>
                    <w:right w:w="0" w:type="dxa"/>
                  </w:tcMar>
                  <w:vAlign w:val="center"/>
                </w:tcPr>
                <w:p w14:paraId="169D20BC">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11D8B599">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339DCD23">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6AF17400">
              <w:trPr>
                <w:trHeight w:val="397" w:hRule="atLeast"/>
                <w:jc w:val="center"/>
              </w:trPr>
              <w:tc>
                <w:tcPr>
                  <w:tcW w:w="315" w:type="pct"/>
                  <w:noWrap w:val="0"/>
                  <w:tcMar>
                    <w:top w:w="0" w:type="dxa"/>
                    <w:left w:w="0" w:type="dxa"/>
                    <w:bottom w:w="0" w:type="dxa"/>
                    <w:right w:w="0" w:type="dxa"/>
                  </w:tcMar>
                  <w:vAlign w:val="center"/>
                </w:tcPr>
                <w:p w14:paraId="7CB9F4A9">
                  <w:pPr>
                    <w:numPr>
                      <w:ilvl w:val="0"/>
                      <w:numId w:val="14"/>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5907D6FE">
                  <w:pPr>
                    <w:jc w:val="center"/>
                    <w:rPr>
                      <w:rFonts w:hint="eastAsia"/>
                      <w:color w:val="auto"/>
                      <w:szCs w:val="21"/>
                    </w:rPr>
                  </w:pPr>
                </w:p>
              </w:tc>
              <w:tc>
                <w:tcPr>
                  <w:tcW w:w="604" w:type="pct"/>
                  <w:noWrap w:val="0"/>
                  <w:tcMar>
                    <w:top w:w="0" w:type="dxa"/>
                    <w:left w:w="0" w:type="dxa"/>
                    <w:bottom w:w="0" w:type="dxa"/>
                    <w:right w:w="0" w:type="dxa"/>
                  </w:tcMar>
                  <w:vAlign w:val="center"/>
                </w:tcPr>
                <w:p w14:paraId="1C17F66B">
                  <w:pPr>
                    <w:jc w:val="center"/>
                    <w:rPr>
                      <w:rFonts w:hint="eastAsia"/>
                      <w:color w:val="auto"/>
                      <w:szCs w:val="21"/>
                    </w:rPr>
                  </w:pPr>
                </w:p>
              </w:tc>
              <w:tc>
                <w:tcPr>
                  <w:tcW w:w="773" w:type="pct"/>
                  <w:noWrap w:val="0"/>
                  <w:tcMar>
                    <w:top w:w="0" w:type="dxa"/>
                    <w:left w:w="0" w:type="dxa"/>
                    <w:bottom w:w="0" w:type="dxa"/>
                    <w:right w:w="0" w:type="dxa"/>
                  </w:tcMar>
                  <w:vAlign w:val="center"/>
                </w:tcPr>
                <w:p w14:paraId="185C3E0D">
                  <w:pPr>
                    <w:jc w:val="center"/>
                    <w:rPr>
                      <w:rFonts w:hint="eastAsia"/>
                      <w:color w:val="auto"/>
                      <w:szCs w:val="21"/>
                    </w:rPr>
                  </w:pPr>
                </w:p>
              </w:tc>
              <w:tc>
                <w:tcPr>
                  <w:tcW w:w="666" w:type="pct"/>
                  <w:noWrap w:val="0"/>
                  <w:tcMar>
                    <w:top w:w="0" w:type="dxa"/>
                    <w:left w:w="0" w:type="dxa"/>
                    <w:bottom w:w="0" w:type="dxa"/>
                    <w:right w:w="0" w:type="dxa"/>
                  </w:tcMar>
                  <w:vAlign w:val="center"/>
                </w:tcPr>
                <w:p w14:paraId="67427154">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49C7DD65">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39947943">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365088B8">
              <w:trPr>
                <w:trHeight w:val="397" w:hRule="atLeast"/>
                <w:jc w:val="center"/>
              </w:trPr>
              <w:tc>
                <w:tcPr>
                  <w:tcW w:w="315" w:type="pct"/>
                  <w:noWrap w:val="0"/>
                  <w:tcMar>
                    <w:top w:w="0" w:type="dxa"/>
                    <w:left w:w="0" w:type="dxa"/>
                    <w:bottom w:w="0" w:type="dxa"/>
                    <w:right w:w="0" w:type="dxa"/>
                  </w:tcMar>
                  <w:vAlign w:val="center"/>
                </w:tcPr>
                <w:p w14:paraId="11C33587">
                  <w:pPr>
                    <w:numPr>
                      <w:ilvl w:val="0"/>
                      <w:numId w:val="14"/>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28AEB25F">
                  <w:pPr>
                    <w:jc w:val="center"/>
                    <w:rPr>
                      <w:rFonts w:hint="eastAsia"/>
                      <w:color w:val="auto"/>
                      <w:szCs w:val="21"/>
                    </w:rPr>
                  </w:pPr>
                </w:p>
              </w:tc>
              <w:tc>
                <w:tcPr>
                  <w:tcW w:w="604" w:type="pct"/>
                  <w:noWrap w:val="0"/>
                  <w:tcMar>
                    <w:top w:w="0" w:type="dxa"/>
                    <w:left w:w="0" w:type="dxa"/>
                    <w:bottom w:w="0" w:type="dxa"/>
                    <w:right w:w="0" w:type="dxa"/>
                  </w:tcMar>
                  <w:vAlign w:val="center"/>
                </w:tcPr>
                <w:p w14:paraId="5424D096">
                  <w:pPr>
                    <w:jc w:val="center"/>
                    <w:rPr>
                      <w:rFonts w:hint="eastAsia"/>
                      <w:color w:val="auto"/>
                      <w:szCs w:val="21"/>
                    </w:rPr>
                  </w:pPr>
                </w:p>
              </w:tc>
              <w:tc>
                <w:tcPr>
                  <w:tcW w:w="773" w:type="pct"/>
                  <w:noWrap w:val="0"/>
                  <w:tcMar>
                    <w:top w:w="0" w:type="dxa"/>
                    <w:left w:w="0" w:type="dxa"/>
                    <w:bottom w:w="0" w:type="dxa"/>
                    <w:right w:w="0" w:type="dxa"/>
                  </w:tcMar>
                  <w:vAlign w:val="center"/>
                </w:tcPr>
                <w:p w14:paraId="66C3E3B1">
                  <w:pPr>
                    <w:jc w:val="center"/>
                    <w:rPr>
                      <w:rFonts w:hint="eastAsia"/>
                      <w:color w:val="auto"/>
                      <w:szCs w:val="21"/>
                    </w:rPr>
                  </w:pPr>
                </w:p>
              </w:tc>
              <w:tc>
                <w:tcPr>
                  <w:tcW w:w="666" w:type="pct"/>
                  <w:noWrap w:val="0"/>
                  <w:tcMar>
                    <w:top w:w="0" w:type="dxa"/>
                    <w:left w:w="0" w:type="dxa"/>
                    <w:bottom w:w="0" w:type="dxa"/>
                    <w:right w:w="0" w:type="dxa"/>
                  </w:tcMar>
                  <w:vAlign w:val="center"/>
                </w:tcPr>
                <w:p w14:paraId="2FFBABA6">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64F1BB55">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02D75D5D">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5F5D74CF">
              <w:trPr>
                <w:trHeight w:val="397" w:hRule="atLeast"/>
                <w:jc w:val="center"/>
              </w:trPr>
              <w:tc>
                <w:tcPr>
                  <w:tcW w:w="315" w:type="pct"/>
                  <w:noWrap w:val="0"/>
                  <w:tcMar>
                    <w:top w:w="0" w:type="dxa"/>
                    <w:left w:w="0" w:type="dxa"/>
                    <w:bottom w:w="0" w:type="dxa"/>
                    <w:right w:w="0" w:type="dxa"/>
                  </w:tcMar>
                  <w:vAlign w:val="center"/>
                </w:tcPr>
                <w:p w14:paraId="493C1227">
                  <w:pPr>
                    <w:numPr>
                      <w:ilvl w:val="0"/>
                      <w:numId w:val="14"/>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7D0EB79D">
                  <w:pPr>
                    <w:jc w:val="center"/>
                    <w:rPr>
                      <w:rFonts w:hint="eastAsia"/>
                      <w:color w:val="auto"/>
                      <w:szCs w:val="21"/>
                    </w:rPr>
                  </w:pPr>
                </w:p>
              </w:tc>
              <w:tc>
                <w:tcPr>
                  <w:tcW w:w="604" w:type="pct"/>
                  <w:noWrap w:val="0"/>
                  <w:tcMar>
                    <w:top w:w="0" w:type="dxa"/>
                    <w:left w:w="0" w:type="dxa"/>
                    <w:bottom w:w="0" w:type="dxa"/>
                    <w:right w:w="0" w:type="dxa"/>
                  </w:tcMar>
                  <w:vAlign w:val="center"/>
                </w:tcPr>
                <w:p w14:paraId="4C58DABE">
                  <w:pPr>
                    <w:jc w:val="center"/>
                    <w:rPr>
                      <w:rFonts w:hint="eastAsia"/>
                      <w:color w:val="auto"/>
                      <w:szCs w:val="21"/>
                    </w:rPr>
                  </w:pPr>
                </w:p>
              </w:tc>
              <w:tc>
                <w:tcPr>
                  <w:tcW w:w="773" w:type="pct"/>
                  <w:noWrap w:val="0"/>
                  <w:tcMar>
                    <w:top w:w="0" w:type="dxa"/>
                    <w:left w:w="0" w:type="dxa"/>
                    <w:bottom w:w="0" w:type="dxa"/>
                    <w:right w:w="0" w:type="dxa"/>
                  </w:tcMar>
                  <w:vAlign w:val="center"/>
                </w:tcPr>
                <w:p w14:paraId="6190742F">
                  <w:pPr>
                    <w:jc w:val="center"/>
                    <w:rPr>
                      <w:rFonts w:hint="eastAsia"/>
                      <w:color w:val="auto"/>
                      <w:szCs w:val="21"/>
                    </w:rPr>
                  </w:pPr>
                </w:p>
              </w:tc>
              <w:tc>
                <w:tcPr>
                  <w:tcW w:w="666" w:type="pct"/>
                  <w:noWrap w:val="0"/>
                  <w:tcMar>
                    <w:top w:w="0" w:type="dxa"/>
                    <w:left w:w="0" w:type="dxa"/>
                    <w:bottom w:w="0" w:type="dxa"/>
                    <w:right w:w="0" w:type="dxa"/>
                  </w:tcMar>
                  <w:vAlign w:val="center"/>
                </w:tcPr>
                <w:p w14:paraId="75778E0B">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6D13059C">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33BF52BB">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60D6BB54">
              <w:trPr>
                <w:trHeight w:val="397" w:hRule="atLeast"/>
                <w:jc w:val="center"/>
              </w:trPr>
              <w:tc>
                <w:tcPr>
                  <w:tcW w:w="315" w:type="pct"/>
                  <w:noWrap w:val="0"/>
                  <w:tcMar>
                    <w:top w:w="0" w:type="dxa"/>
                    <w:left w:w="0" w:type="dxa"/>
                    <w:bottom w:w="0" w:type="dxa"/>
                    <w:right w:w="0" w:type="dxa"/>
                  </w:tcMar>
                  <w:vAlign w:val="center"/>
                </w:tcPr>
                <w:p w14:paraId="5FB9E387">
                  <w:pPr>
                    <w:numPr>
                      <w:ilvl w:val="0"/>
                      <w:numId w:val="14"/>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24C4AE5F">
                  <w:pPr>
                    <w:jc w:val="center"/>
                    <w:rPr>
                      <w:rFonts w:hint="eastAsia"/>
                      <w:color w:val="auto"/>
                      <w:szCs w:val="21"/>
                    </w:rPr>
                  </w:pPr>
                </w:p>
              </w:tc>
              <w:tc>
                <w:tcPr>
                  <w:tcW w:w="604" w:type="pct"/>
                  <w:noWrap w:val="0"/>
                  <w:tcMar>
                    <w:top w:w="0" w:type="dxa"/>
                    <w:left w:w="0" w:type="dxa"/>
                    <w:bottom w:w="0" w:type="dxa"/>
                    <w:right w:w="0" w:type="dxa"/>
                  </w:tcMar>
                  <w:vAlign w:val="center"/>
                </w:tcPr>
                <w:p w14:paraId="5DB17FAF">
                  <w:pPr>
                    <w:jc w:val="center"/>
                    <w:rPr>
                      <w:rFonts w:hint="eastAsia"/>
                      <w:color w:val="auto"/>
                      <w:szCs w:val="21"/>
                    </w:rPr>
                  </w:pPr>
                </w:p>
              </w:tc>
              <w:tc>
                <w:tcPr>
                  <w:tcW w:w="773" w:type="pct"/>
                  <w:noWrap w:val="0"/>
                  <w:tcMar>
                    <w:top w:w="0" w:type="dxa"/>
                    <w:left w:w="0" w:type="dxa"/>
                    <w:bottom w:w="0" w:type="dxa"/>
                    <w:right w:w="0" w:type="dxa"/>
                  </w:tcMar>
                  <w:vAlign w:val="center"/>
                </w:tcPr>
                <w:p w14:paraId="676B4C73">
                  <w:pPr>
                    <w:jc w:val="center"/>
                    <w:rPr>
                      <w:rFonts w:hint="eastAsia"/>
                      <w:color w:val="auto"/>
                      <w:szCs w:val="21"/>
                    </w:rPr>
                  </w:pPr>
                </w:p>
              </w:tc>
              <w:tc>
                <w:tcPr>
                  <w:tcW w:w="666" w:type="pct"/>
                  <w:noWrap w:val="0"/>
                  <w:tcMar>
                    <w:top w:w="0" w:type="dxa"/>
                    <w:left w:w="0" w:type="dxa"/>
                    <w:bottom w:w="0" w:type="dxa"/>
                    <w:right w:w="0" w:type="dxa"/>
                  </w:tcMar>
                  <w:vAlign w:val="center"/>
                </w:tcPr>
                <w:p w14:paraId="502F22ED">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33659CEB">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124B9B61">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65A7A254">
              <w:trPr>
                <w:trHeight w:val="397" w:hRule="atLeast"/>
                <w:jc w:val="center"/>
              </w:trPr>
              <w:tc>
                <w:tcPr>
                  <w:tcW w:w="315" w:type="pct"/>
                  <w:noWrap w:val="0"/>
                  <w:tcMar>
                    <w:top w:w="0" w:type="dxa"/>
                    <w:left w:w="0" w:type="dxa"/>
                    <w:bottom w:w="0" w:type="dxa"/>
                    <w:right w:w="0" w:type="dxa"/>
                  </w:tcMar>
                  <w:vAlign w:val="center"/>
                </w:tcPr>
                <w:p w14:paraId="622DC47A">
                  <w:pPr>
                    <w:numPr>
                      <w:ilvl w:val="0"/>
                      <w:numId w:val="14"/>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7B1C9C45">
                  <w:pPr>
                    <w:jc w:val="center"/>
                    <w:rPr>
                      <w:rFonts w:hint="eastAsia"/>
                      <w:color w:val="auto"/>
                      <w:szCs w:val="21"/>
                    </w:rPr>
                  </w:pPr>
                </w:p>
              </w:tc>
              <w:tc>
                <w:tcPr>
                  <w:tcW w:w="604" w:type="pct"/>
                  <w:noWrap w:val="0"/>
                  <w:tcMar>
                    <w:top w:w="0" w:type="dxa"/>
                    <w:left w:w="0" w:type="dxa"/>
                    <w:bottom w:w="0" w:type="dxa"/>
                    <w:right w:w="0" w:type="dxa"/>
                  </w:tcMar>
                  <w:vAlign w:val="center"/>
                </w:tcPr>
                <w:p w14:paraId="496BD358">
                  <w:pPr>
                    <w:jc w:val="center"/>
                    <w:rPr>
                      <w:rFonts w:hint="eastAsia"/>
                      <w:color w:val="auto"/>
                      <w:szCs w:val="21"/>
                    </w:rPr>
                  </w:pPr>
                </w:p>
              </w:tc>
              <w:tc>
                <w:tcPr>
                  <w:tcW w:w="773" w:type="pct"/>
                  <w:noWrap w:val="0"/>
                  <w:tcMar>
                    <w:top w:w="0" w:type="dxa"/>
                    <w:left w:w="0" w:type="dxa"/>
                    <w:bottom w:w="0" w:type="dxa"/>
                    <w:right w:w="0" w:type="dxa"/>
                  </w:tcMar>
                  <w:vAlign w:val="center"/>
                </w:tcPr>
                <w:p w14:paraId="762FC738">
                  <w:pPr>
                    <w:jc w:val="center"/>
                    <w:rPr>
                      <w:rFonts w:hint="eastAsia"/>
                      <w:color w:val="auto"/>
                      <w:szCs w:val="21"/>
                    </w:rPr>
                  </w:pPr>
                </w:p>
              </w:tc>
              <w:tc>
                <w:tcPr>
                  <w:tcW w:w="666" w:type="pct"/>
                  <w:noWrap w:val="0"/>
                  <w:tcMar>
                    <w:top w:w="0" w:type="dxa"/>
                    <w:left w:w="0" w:type="dxa"/>
                    <w:bottom w:w="0" w:type="dxa"/>
                    <w:right w:w="0" w:type="dxa"/>
                  </w:tcMar>
                  <w:vAlign w:val="center"/>
                </w:tcPr>
                <w:p w14:paraId="688CE8B9">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07099FCA">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692B0CA1">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55F401B6">
              <w:trPr>
                <w:trHeight w:val="397" w:hRule="atLeast"/>
                <w:jc w:val="center"/>
              </w:trPr>
              <w:tc>
                <w:tcPr>
                  <w:tcW w:w="315" w:type="pct"/>
                  <w:noWrap w:val="0"/>
                  <w:tcMar>
                    <w:top w:w="0" w:type="dxa"/>
                    <w:left w:w="0" w:type="dxa"/>
                    <w:bottom w:w="0" w:type="dxa"/>
                    <w:right w:w="0" w:type="dxa"/>
                  </w:tcMar>
                  <w:vAlign w:val="center"/>
                </w:tcPr>
                <w:p w14:paraId="35DE4160">
                  <w:pPr>
                    <w:numPr>
                      <w:ilvl w:val="0"/>
                      <w:numId w:val="14"/>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3C3CD7F6">
                  <w:pPr>
                    <w:jc w:val="center"/>
                    <w:rPr>
                      <w:rFonts w:hint="eastAsia"/>
                      <w:color w:val="auto"/>
                      <w:szCs w:val="21"/>
                    </w:rPr>
                  </w:pPr>
                </w:p>
              </w:tc>
              <w:tc>
                <w:tcPr>
                  <w:tcW w:w="604" w:type="pct"/>
                  <w:noWrap w:val="0"/>
                  <w:tcMar>
                    <w:top w:w="0" w:type="dxa"/>
                    <w:left w:w="0" w:type="dxa"/>
                    <w:bottom w:w="0" w:type="dxa"/>
                    <w:right w:w="0" w:type="dxa"/>
                  </w:tcMar>
                  <w:vAlign w:val="center"/>
                </w:tcPr>
                <w:p w14:paraId="438168A1">
                  <w:pPr>
                    <w:jc w:val="center"/>
                    <w:rPr>
                      <w:rFonts w:hint="eastAsia"/>
                      <w:color w:val="auto"/>
                      <w:szCs w:val="21"/>
                    </w:rPr>
                  </w:pPr>
                </w:p>
              </w:tc>
              <w:tc>
                <w:tcPr>
                  <w:tcW w:w="773" w:type="pct"/>
                  <w:noWrap w:val="0"/>
                  <w:tcMar>
                    <w:top w:w="0" w:type="dxa"/>
                    <w:left w:w="0" w:type="dxa"/>
                    <w:bottom w:w="0" w:type="dxa"/>
                    <w:right w:w="0" w:type="dxa"/>
                  </w:tcMar>
                  <w:vAlign w:val="center"/>
                </w:tcPr>
                <w:p w14:paraId="33C2C3BF">
                  <w:pPr>
                    <w:jc w:val="center"/>
                    <w:rPr>
                      <w:rFonts w:hint="eastAsia"/>
                      <w:color w:val="auto"/>
                      <w:szCs w:val="21"/>
                    </w:rPr>
                  </w:pPr>
                </w:p>
              </w:tc>
              <w:tc>
                <w:tcPr>
                  <w:tcW w:w="666" w:type="pct"/>
                  <w:noWrap w:val="0"/>
                  <w:tcMar>
                    <w:top w:w="0" w:type="dxa"/>
                    <w:left w:w="0" w:type="dxa"/>
                    <w:bottom w:w="0" w:type="dxa"/>
                    <w:right w:w="0" w:type="dxa"/>
                  </w:tcMar>
                  <w:vAlign w:val="center"/>
                </w:tcPr>
                <w:p w14:paraId="67E3E9B3">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4CB689D1">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4CB0176A">
                  <w:pPr>
                    <w:keepNext w:val="0"/>
                    <w:keepLines w:val="0"/>
                    <w:suppressLineNumbers w:val="0"/>
                    <w:spacing w:before="0" w:beforeAutospacing="0" w:after="0" w:afterAutospacing="0"/>
                    <w:ind w:left="0" w:leftChars="0" w:right="0" w:rightChars="0"/>
                    <w:jc w:val="center"/>
                    <w:rPr>
                      <w:rFonts w:hint="eastAsia" w:eastAsia="宋体"/>
                      <w:color w:val="auto"/>
                      <w:szCs w:val="21"/>
                      <w:lang w:val="en-US" w:eastAsia="zh-CN"/>
                    </w:rPr>
                  </w:pPr>
                </w:p>
              </w:tc>
            </w:tr>
            <w:tr w14:paraId="0459E67A">
              <w:trPr>
                <w:trHeight w:val="397" w:hRule="atLeast"/>
                <w:jc w:val="center"/>
              </w:trPr>
              <w:tc>
                <w:tcPr>
                  <w:tcW w:w="5000" w:type="pct"/>
                  <w:gridSpan w:val="7"/>
                  <w:noWrap w:val="0"/>
                  <w:tcMar>
                    <w:top w:w="0" w:type="dxa"/>
                    <w:left w:w="0" w:type="dxa"/>
                    <w:bottom w:w="0" w:type="dxa"/>
                    <w:right w:w="0" w:type="dxa"/>
                  </w:tcMar>
                  <w:vAlign w:val="center"/>
                </w:tcPr>
                <w:p w14:paraId="2C903A47">
                  <w:pPr>
                    <w:keepNext w:val="0"/>
                    <w:keepLines w:val="0"/>
                    <w:suppressLineNumbers w:val="0"/>
                    <w:spacing w:before="0" w:beforeAutospacing="0" w:after="0" w:afterAutospacing="0"/>
                    <w:ind w:left="0" w:leftChars="0" w:right="0" w:rightChars="0"/>
                    <w:jc w:val="center"/>
                    <w:rPr>
                      <w:rFonts w:hint="eastAsia" w:eastAsia="宋体"/>
                      <w:color w:val="auto"/>
                      <w:szCs w:val="21"/>
                      <w:lang w:val="en-US" w:eastAsia="zh-CN"/>
                    </w:rPr>
                  </w:pPr>
                </w:p>
              </w:tc>
            </w:tr>
            <w:tr w14:paraId="57C748D0">
              <w:trPr>
                <w:trHeight w:val="397" w:hRule="atLeast"/>
                <w:jc w:val="center"/>
              </w:trPr>
              <w:tc>
                <w:tcPr>
                  <w:tcW w:w="315" w:type="pct"/>
                  <w:noWrap w:val="0"/>
                  <w:tcMar>
                    <w:top w:w="0" w:type="dxa"/>
                    <w:left w:w="0" w:type="dxa"/>
                    <w:bottom w:w="0" w:type="dxa"/>
                    <w:right w:w="0" w:type="dxa"/>
                  </w:tcMar>
                  <w:vAlign w:val="center"/>
                </w:tcPr>
                <w:p w14:paraId="2DCC84E1">
                  <w:pPr>
                    <w:numPr>
                      <w:ilvl w:val="0"/>
                      <w:numId w:val="15"/>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636E0730">
                  <w:pPr>
                    <w:jc w:val="center"/>
                    <w:rPr>
                      <w:rFonts w:hint="eastAsia"/>
                      <w:color w:val="auto"/>
                      <w:szCs w:val="21"/>
                    </w:rPr>
                  </w:pPr>
                </w:p>
              </w:tc>
              <w:tc>
                <w:tcPr>
                  <w:tcW w:w="604" w:type="pct"/>
                  <w:noWrap w:val="0"/>
                  <w:tcMar>
                    <w:top w:w="0" w:type="dxa"/>
                    <w:left w:w="0" w:type="dxa"/>
                    <w:bottom w:w="0" w:type="dxa"/>
                    <w:right w:w="0" w:type="dxa"/>
                  </w:tcMar>
                  <w:vAlign w:val="center"/>
                </w:tcPr>
                <w:p w14:paraId="0296A2E7">
                  <w:pPr>
                    <w:jc w:val="center"/>
                    <w:rPr>
                      <w:rFonts w:hint="eastAsia"/>
                      <w:color w:val="auto"/>
                      <w:szCs w:val="21"/>
                    </w:rPr>
                  </w:pPr>
                </w:p>
              </w:tc>
              <w:tc>
                <w:tcPr>
                  <w:tcW w:w="773" w:type="pct"/>
                  <w:noWrap w:val="0"/>
                  <w:tcMar>
                    <w:top w:w="0" w:type="dxa"/>
                    <w:left w:w="0" w:type="dxa"/>
                    <w:bottom w:w="0" w:type="dxa"/>
                    <w:right w:w="0" w:type="dxa"/>
                  </w:tcMar>
                  <w:vAlign w:val="center"/>
                </w:tcPr>
                <w:p w14:paraId="2A47722F">
                  <w:pPr>
                    <w:jc w:val="center"/>
                    <w:rPr>
                      <w:rFonts w:hint="eastAsia"/>
                      <w:color w:val="auto"/>
                      <w:szCs w:val="21"/>
                    </w:rPr>
                  </w:pPr>
                </w:p>
              </w:tc>
              <w:tc>
                <w:tcPr>
                  <w:tcW w:w="666" w:type="pct"/>
                  <w:noWrap w:val="0"/>
                  <w:tcMar>
                    <w:top w:w="0" w:type="dxa"/>
                    <w:left w:w="0" w:type="dxa"/>
                    <w:bottom w:w="0" w:type="dxa"/>
                    <w:right w:w="0" w:type="dxa"/>
                  </w:tcMar>
                  <w:vAlign w:val="center"/>
                </w:tcPr>
                <w:p w14:paraId="1995EE6C">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6D4D1702">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0A801105">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6C8859DD">
              <w:trPr>
                <w:trHeight w:val="397" w:hRule="atLeast"/>
                <w:jc w:val="center"/>
              </w:trPr>
              <w:tc>
                <w:tcPr>
                  <w:tcW w:w="315" w:type="pct"/>
                  <w:noWrap w:val="0"/>
                  <w:tcMar>
                    <w:top w:w="0" w:type="dxa"/>
                    <w:left w:w="0" w:type="dxa"/>
                    <w:bottom w:w="0" w:type="dxa"/>
                    <w:right w:w="0" w:type="dxa"/>
                  </w:tcMar>
                  <w:vAlign w:val="center"/>
                </w:tcPr>
                <w:p w14:paraId="56703D9F">
                  <w:pPr>
                    <w:numPr>
                      <w:ilvl w:val="0"/>
                      <w:numId w:val="15"/>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1E534B9D">
                  <w:pPr>
                    <w:jc w:val="center"/>
                    <w:rPr>
                      <w:rFonts w:hint="eastAsia"/>
                      <w:color w:val="auto"/>
                      <w:szCs w:val="21"/>
                    </w:rPr>
                  </w:pPr>
                </w:p>
              </w:tc>
              <w:tc>
                <w:tcPr>
                  <w:tcW w:w="604" w:type="pct"/>
                  <w:noWrap w:val="0"/>
                  <w:tcMar>
                    <w:top w:w="0" w:type="dxa"/>
                    <w:left w:w="0" w:type="dxa"/>
                    <w:bottom w:w="0" w:type="dxa"/>
                    <w:right w:w="0" w:type="dxa"/>
                  </w:tcMar>
                  <w:vAlign w:val="center"/>
                </w:tcPr>
                <w:p w14:paraId="1AE02A46">
                  <w:pPr>
                    <w:jc w:val="center"/>
                    <w:rPr>
                      <w:rFonts w:hint="eastAsia"/>
                      <w:color w:val="auto"/>
                      <w:szCs w:val="21"/>
                    </w:rPr>
                  </w:pPr>
                </w:p>
              </w:tc>
              <w:tc>
                <w:tcPr>
                  <w:tcW w:w="773" w:type="pct"/>
                  <w:noWrap w:val="0"/>
                  <w:tcMar>
                    <w:top w:w="0" w:type="dxa"/>
                    <w:left w:w="0" w:type="dxa"/>
                    <w:bottom w:w="0" w:type="dxa"/>
                    <w:right w:w="0" w:type="dxa"/>
                  </w:tcMar>
                  <w:vAlign w:val="center"/>
                </w:tcPr>
                <w:p w14:paraId="67B0519A">
                  <w:pPr>
                    <w:jc w:val="center"/>
                    <w:rPr>
                      <w:rFonts w:hint="eastAsia"/>
                      <w:color w:val="auto"/>
                      <w:szCs w:val="21"/>
                    </w:rPr>
                  </w:pPr>
                </w:p>
              </w:tc>
              <w:tc>
                <w:tcPr>
                  <w:tcW w:w="666" w:type="pct"/>
                  <w:noWrap w:val="0"/>
                  <w:tcMar>
                    <w:top w:w="0" w:type="dxa"/>
                    <w:left w:w="0" w:type="dxa"/>
                    <w:bottom w:w="0" w:type="dxa"/>
                    <w:right w:w="0" w:type="dxa"/>
                  </w:tcMar>
                  <w:vAlign w:val="center"/>
                </w:tcPr>
                <w:p w14:paraId="06B754E4">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4E92A2EB">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34304F88">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19EC7BFC">
              <w:trPr>
                <w:trHeight w:val="397" w:hRule="atLeast"/>
                <w:jc w:val="center"/>
              </w:trPr>
              <w:tc>
                <w:tcPr>
                  <w:tcW w:w="315" w:type="pct"/>
                  <w:noWrap w:val="0"/>
                  <w:tcMar>
                    <w:top w:w="0" w:type="dxa"/>
                    <w:left w:w="0" w:type="dxa"/>
                    <w:bottom w:w="0" w:type="dxa"/>
                    <w:right w:w="0" w:type="dxa"/>
                  </w:tcMar>
                  <w:vAlign w:val="center"/>
                </w:tcPr>
                <w:p w14:paraId="55130819">
                  <w:pPr>
                    <w:numPr>
                      <w:ilvl w:val="0"/>
                      <w:numId w:val="15"/>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746A65C6">
                  <w:pPr>
                    <w:jc w:val="center"/>
                    <w:rPr>
                      <w:rFonts w:hint="eastAsia"/>
                      <w:color w:val="auto"/>
                      <w:szCs w:val="21"/>
                    </w:rPr>
                  </w:pPr>
                </w:p>
              </w:tc>
              <w:tc>
                <w:tcPr>
                  <w:tcW w:w="604" w:type="pct"/>
                  <w:noWrap w:val="0"/>
                  <w:tcMar>
                    <w:top w:w="0" w:type="dxa"/>
                    <w:left w:w="0" w:type="dxa"/>
                    <w:bottom w:w="0" w:type="dxa"/>
                    <w:right w:w="0" w:type="dxa"/>
                  </w:tcMar>
                  <w:vAlign w:val="center"/>
                </w:tcPr>
                <w:p w14:paraId="5C85FE5B">
                  <w:pPr>
                    <w:jc w:val="center"/>
                    <w:rPr>
                      <w:rFonts w:hint="eastAsia"/>
                      <w:color w:val="auto"/>
                      <w:szCs w:val="21"/>
                    </w:rPr>
                  </w:pPr>
                </w:p>
              </w:tc>
              <w:tc>
                <w:tcPr>
                  <w:tcW w:w="773" w:type="pct"/>
                  <w:noWrap w:val="0"/>
                  <w:tcMar>
                    <w:top w:w="0" w:type="dxa"/>
                    <w:left w:w="0" w:type="dxa"/>
                    <w:bottom w:w="0" w:type="dxa"/>
                    <w:right w:w="0" w:type="dxa"/>
                  </w:tcMar>
                  <w:vAlign w:val="center"/>
                </w:tcPr>
                <w:p w14:paraId="48A9A457">
                  <w:pPr>
                    <w:jc w:val="center"/>
                    <w:rPr>
                      <w:rFonts w:hint="eastAsia"/>
                      <w:color w:val="auto"/>
                      <w:szCs w:val="21"/>
                    </w:rPr>
                  </w:pPr>
                </w:p>
              </w:tc>
              <w:tc>
                <w:tcPr>
                  <w:tcW w:w="666" w:type="pct"/>
                  <w:noWrap w:val="0"/>
                  <w:tcMar>
                    <w:top w:w="0" w:type="dxa"/>
                    <w:left w:w="0" w:type="dxa"/>
                    <w:bottom w:w="0" w:type="dxa"/>
                    <w:right w:w="0" w:type="dxa"/>
                  </w:tcMar>
                  <w:vAlign w:val="center"/>
                </w:tcPr>
                <w:p w14:paraId="386E0BC5">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338038A0">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7FC91DDD">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779FA314">
              <w:trPr>
                <w:trHeight w:val="397" w:hRule="atLeast"/>
                <w:jc w:val="center"/>
              </w:trPr>
              <w:tc>
                <w:tcPr>
                  <w:tcW w:w="315" w:type="pct"/>
                  <w:noWrap w:val="0"/>
                  <w:tcMar>
                    <w:top w:w="0" w:type="dxa"/>
                    <w:left w:w="0" w:type="dxa"/>
                    <w:bottom w:w="0" w:type="dxa"/>
                    <w:right w:w="0" w:type="dxa"/>
                  </w:tcMar>
                  <w:vAlign w:val="center"/>
                </w:tcPr>
                <w:p w14:paraId="04B2119D">
                  <w:pPr>
                    <w:numPr>
                      <w:ilvl w:val="0"/>
                      <w:numId w:val="15"/>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21AF3970">
                  <w:pPr>
                    <w:jc w:val="center"/>
                    <w:rPr>
                      <w:rFonts w:hint="eastAsia"/>
                      <w:color w:val="auto"/>
                      <w:szCs w:val="21"/>
                    </w:rPr>
                  </w:pPr>
                </w:p>
              </w:tc>
              <w:tc>
                <w:tcPr>
                  <w:tcW w:w="604" w:type="pct"/>
                  <w:noWrap w:val="0"/>
                  <w:tcMar>
                    <w:top w:w="0" w:type="dxa"/>
                    <w:left w:w="0" w:type="dxa"/>
                    <w:bottom w:w="0" w:type="dxa"/>
                    <w:right w:w="0" w:type="dxa"/>
                  </w:tcMar>
                  <w:vAlign w:val="center"/>
                </w:tcPr>
                <w:p w14:paraId="516E45F7">
                  <w:pPr>
                    <w:jc w:val="center"/>
                    <w:rPr>
                      <w:rFonts w:hint="eastAsia"/>
                      <w:color w:val="auto"/>
                      <w:szCs w:val="21"/>
                    </w:rPr>
                  </w:pPr>
                </w:p>
              </w:tc>
              <w:tc>
                <w:tcPr>
                  <w:tcW w:w="773" w:type="pct"/>
                  <w:noWrap w:val="0"/>
                  <w:tcMar>
                    <w:top w:w="0" w:type="dxa"/>
                    <w:left w:w="0" w:type="dxa"/>
                    <w:bottom w:w="0" w:type="dxa"/>
                    <w:right w:w="0" w:type="dxa"/>
                  </w:tcMar>
                  <w:vAlign w:val="center"/>
                </w:tcPr>
                <w:p w14:paraId="4A5A70DB">
                  <w:pPr>
                    <w:jc w:val="center"/>
                    <w:rPr>
                      <w:rFonts w:hint="eastAsia"/>
                      <w:color w:val="auto"/>
                      <w:szCs w:val="21"/>
                    </w:rPr>
                  </w:pPr>
                </w:p>
              </w:tc>
              <w:tc>
                <w:tcPr>
                  <w:tcW w:w="666" w:type="pct"/>
                  <w:noWrap w:val="0"/>
                  <w:tcMar>
                    <w:top w:w="0" w:type="dxa"/>
                    <w:left w:w="0" w:type="dxa"/>
                    <w:bottom w:w="0" w:type="dxa"/>
                    <w:right w:w="0" w:type="dxa"/>
                  </w:tcMar>
                  <w:vAlign w:val="center"/>
                </w:tcPr>
                <w:p w14:paraId="10696DF2">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1364E88F">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1DAD8FBA">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4AEEA658">
              <w:trPr>
                <w:trHeight w:val="397" w:hRule="atLeast"/>
                <w:jc w:val="center"/>
              </w:trPr>
              <w:tc>
                <w:tcPr>
                  <w:tcW w:w="315" w:type="pct"/>
                  <w:noWrap w:val="0"/>
                  <w:tcMar>
                    <w:top w:w="0" w:type="dxa"/>
                    <w:left w:w="0" w:type="dxa"/>
                    <w:bottom w:w="0" w:type="dxa"/>
                    <w:right w:w="0" w:type="dxa"/>
                  </w:tcMar>
                  <w:vAlign w:val="center"/>
                </w:tcPr>
                <w:p w14:paraId="7A4D0E6E">
                  <w:pPr>
                    <w:numPr>
                      <w:ilvl w:val="0"/>
                      <w:numId w:val="15"/>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75FF3C52">
                  <w:pPr>
                    <w:jc w:val="center"/>
                    <w:rPr>
                      <w:rFonts w:hint="eastAsia"/>
                      <w:color w:val="auto"/>
                      <w:szCs w:val="21"/>
                    </w:rPr>
                  </w:pPr>
                </w:p>
              </w:tc>
              <w:tc>
                <w:tcPr>
                  <w:tcW w:w="604" w:type="pct"/>
                  <w:noWrap w:val="0"/>
                  <w:tcMar>
                    <w:top w:w="0" w:type="dxa"/>
                    <w:left w:w="0" w:type="dxa"/>
                    <w:bottom w:w="0" w:type="dxa"/>
                    <w:right w:w="0" w:type="dxa"/>
                  </w:tcMar>
                  <w:vAlign w:val="center"/>
                </w:tcPr>
                <w:p w14:paraId="4359F0AB">
                  <w:pPr>
                    <w:jc w:val="center"/>
                    <w:rPr>
                      <w:rFonts w:hint="eastAsia"/>
                      <w:color w:val="auto"/>
                      <w:szCs w:val="21"/>
                    </w:rPr>
                  </w:pPr>
                </w:p>
              </w:tc>
              <w:tc>
                <w:tcPr>
                  <w:tcW w:w="773" w:type="pct"/>
                  <w:noWrap w:val="0"/>
                  <w:tcMar>
                    <w:top w:w="0" w:type="dxa"/>
                    <w:left w:w="0" w:type="dxa"/>
                    <w:bottom w:w="0" w:type="dxa"/>
                    <w:right w:w="0" w:type="dxa"/>
                  </w:tcMar>
                  <w:vAlign w:val="center"/>
                </w:tcPr>
                <w:p w14:paraId="2B13706F">
                  <w:pPr>
                    <w:jc w:val="center"/>
                    <w:rPr>
                      <w:rFonts w:hint="eastAsia"/>
                      <w:color w:val="auto"/>
                      <w:szCs w:val="21"/>
                    </w:rPr>
                  </w:pPr>
                </w:p>
              </w:tc>
              <w:tc>
                <w:tcPr>
                  <w:tcW w:w="666" w:type="pct"/>
                  <w:noWrap w:val="0"/>
                  <w:tcMar>
                    <w:top w:w="0" w:type="dxa"/>
                    <w:left w:w="0" w:type="dxa"/>
                    <w:bottom w:w="0" w:type="dxa"/>
                    <w:right w:w="0" w:type="dxa"/>
                  </w:tcMar>
                  <w:vAlign w:val="center"/>
                </w:tcPr>
                <w:p w14:paraId="4BCC9074">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30006B14">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47621ACC">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174EA511">
              <w:trPr>
                <w:trHeight w:val="397" w:hRule="atLeast"/>
                <w:jc w:val="center"/>
              </w:trPr>
              <w:tc>
                <w:tcPr>
                  <w:tcW w:w="315" w:type="pct"/>
                  <w:noWrap w:val="0"/>
                  <w:tcMar>
                    <w:top w:w="0" w:type="dxa"/>
                    <w:left w:w="0" w:type="dxa"/>
                    <w:bottom w:w="0" w:type="dxa"/>
                    <w:right w:w="0" w:type="dxa"/>
                  </w:tcMar>
                  <w:vAlign w:val="center"/>
                </w:tcPr>
                <w:p w14:paraId="4897FE7A">
                  <w:pPr>
                    <w:numPr>
                      <w:ilvl w:val="0"/>
                      <w:numId w:val="15"/>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363C34F5">
                  <w:pPr>
                    <w:jc w:val="center"/>
                    <w:rPr>
                      <w:rFonts w:hint="eastAsia"/>
                      <w:color w:val="auto"/>
                      <w:szCs w:val="21"/>
                    </w:rPr>
                  </w:pPr>
                </w:p>
              </w:tc>
              <w:tc>
                <w:tcPr>
                  <w:tcW w:w="604" w:type="pct"/>
                  <w:noWrap w:val="0"/>
                  <w:tcMar>
                    <w:top w:w="0" w:type="dxa"/>
                    <w:left w:w="0" w:type="dxa"/>
                    <w:bottom w:w="0" w:type="dxa"/>
                    <w:right w:w="0" w:type="dxa"/>
                  </w:tcMar>
                  <w:vAlign w:val="center"/>
                </w:tcPr>
                <w:p w14:paraId="232A4715">
                  <w:pPr>
                    <w:jc w:val="center"/>
                    <w:rPr>
                      <w:rFonts w:hint="eastAsia"/>
                      <w:color w:val="auto"/>
                      <w:szCs w:val="21"/>
                    </w:rPr>
                  </w:pPr>
                </w:p>
              </w:tc>
              <w:tc>
                <w:tcPr>
                  <w:tcW w:w="773" w:type="pct"/>
                  <w:noWrap w:val="0"/>
                  <w:tcMar>
                    <w:top w:w="0" w:type="dxa"/>
                    <w:left w:w="0" w:type="dxa"/>
                    <w:bottom w:w="0" w:type="dxa"/>
                    <w:right w:w="0" w:type="dxa"/>
                  </w:tcMar>
                  <w:vAlign w:val="center"/>
                </w:tcPr>
                <w:p w14:paraId="70BD85C9">
                  <w:pPr>
                    <w:jc w:val="center"/>
                    <w:rPr>
                      <w:rFonts w:hint="eastAsia"/>
                      <w:color w:val="auto"/>
                      <w:szCs w:val="21"/>
                    </w:rPr>
                  </w:pPr>
                </w:p>
              </w:tc>
              <w:tc>
                <w:tcPr>
                  <w:tcW w:w="666" w:type="pct"/>
                  <w:noWrap w:val="0"/>
                  <w:tcMar>
                    <w:top w:w="0" w:type="dxa"/>
                    <w:left w:w="0" w:type="dxa"/>
                    <w:bottom w:w="0" w:type="dxa"/>
                    <w:right w:w="0" w:type="dxa"/>
                  </w:tcMar>
                  <w:vAlign w:val="center"/>
                </w:tcPr>
                <w:p w14:paraId="33FD2B26">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7F5441AE">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590A1FA0">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44B52F53">
              <w:trPr>
                <w:trHeight w:val="397" w:hRule="atLeast"/>
                <w:jc w:val="center"/>
              </w:trPr>
              <w:tc>
                <w:tcPr>
                  <w:tcW w:w="315" w:type="pct"/>
                  <w:noWrap w:val="0"/>
                  <w:tcMar>
                    <w:top w:w="0" w:type="dxa"/>
                    <w:left w:w="0" w:type="dxa"/>
                    <w:bottom w:w="0" w:type="dxa"/>
                    <w:right w:w="0" w:type="dxa"/>
                  </w:tcMar>
                  <w:vAlign w:val="center"/>
                </w:tcPr>
                <w:p w14:paraId="1A689652">
                  <w:pPr>
                    <w:numPr>
                      <w:ilvl w:val="0"/>
                      <w:numId w:val="15"/>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00708795">
                  <w:pPr>
                    <w:jc w:val="center"/>
                    <w:rPr>
                      <w:rFonts w:hint="eastAsia"/>
                      <w:color w:val="auto"/>
                      <w:szCs w:val="21"/>
                    </w:rPr>
                  </w:pPr>
                </w:p>
              </w:tc>
              <w:tc>
                <w:tcPr>
                  <w:tcW w:w="604" w:type="pct"/>
                  <w:noWrap w:val="0"/>
                  <w:tcMar>
                    <w:top w:w="0" w:type="dxa"/>
                    <w:left w:w="0" w:type="dxa"/>
                    <w:bottom w:w="0" w:type="dxa"/>
                    <w:right w:w="0" w:type="dxa"/>
                  </w:tcMar>
                  <w:vAlign w:val="center"/>
                </w:tcPr>
                <w:p w14:paraId="5EDCADEB">
                  <w:pPr>
                    <w:jc w:val="center"/>
                    <w:rPr>
                      <w:rFonts w:hint="eastAsia"/>
                      <w:color w:val="auto"/>
                      <w:szCs w:val="21"/>
                    </w:rPr>
                  </w:pPr>
                </w:p>
              </w:tc>
              <w:tc>
                <w:tcPr>
                  <w:tcW w:w="773" w:type="pct"/>
                  <w:noWrap w:val="0"/>
                  <w:tcMar>
                    <w:top w:w="0" w:type="dxa"/>
                    <w:left w:w="0" w:type="dxa"/>
                    <w:bottom w:w="0" w:type="dxa"/>
                    <w:right w:w="0" w:type="dxa"/>
                  </w:tcMar>
                  <w:vAlign w:val="center"/>
                </w:tcPr>
                <w:p w14:paraId="59349528">
                  <w:pPr>
                    <w:jc w:val="center"/>
                    <w:rPr>
                      <w:rFonts w:hint="eastAsia"/>
                      <w:color w:val="auto"/>
                      <w:szCs w:val="21"/>
                    </w:rPr>
                  </w:pPr>
                </w:p>
              </w:tc>
              <w:tc>
                <w:tcPr>
                  <w:tcW w:w="666" w:type="pct"/>
                  <w:noWrap w:val="0"/>
                  <w:tcMar>
                    <w:top w:w="0" w:type="dxa"/>
                    <w:left w:w="0" w:type="dxa"/>
                    <w:bottom w:w="0" w:type="dxa"/>
                    <w:right w:w="0" w:type="dxa"/>
                  </w:tcMar>
                  <w:vAlign w:val="center"/>
                </w:tcPr>
                <w:p w14:paraId="398389A2">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3F4E222F">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1C28D0BE">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3F498E0A">
              <w:trPr>
                <w:trHeight w:val="397" w:hRule="atLeast"/>
                <w:jc w:val="center"/>
              </w:trPr>
              <w:tc>
                <w:tcPr>
                  <w:tcW w:w="315" w:type="pct"/>
                  <w:noWrap w:val="0"/>
                  <w:tcMar>
                    <w:top w:w="0" w:type="dxa"/>
                    <w:left w:w="0" w:type="dxa"/>
                    <w:bottom w:w="0" w:type="dxa"/>
                    <w:right w:w="0" w:type="dxa"/>
                  </w:tcMar>
                  <w:vAlign w:val="center"/>
                </w:tcPr>
                <w:p w14:paraId="4503ECF9">
                  <w:pPr>
                    <w:numPr>
                      <w:ilvl w:val="0"/>
                      <w:numId w:val="15"/>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265CA7D4">
                  <w:pPr>
                    <w:jc w:val="center"/>
                    <w:rPr>
                      <w:rFonts w:hint="eastAsia"/>
                      <w:color w:val="auto"/>
                      <w:szCs w:val="21"/>
                    </w:rPr>
                  </w:pPr>
                </w:p>
              </w:tc>
              <w:tc>
                <w:tcPr>
                  <w:tcW w:w="604" w:type="pct"/>
                  <w:noWrap w:val="0"/>
                  <w:tcMar>
                    <w:top w:w="0" w:type="dxa"/>
                    <w:left w:w="0" w:type="dxa"/>
                    <w:bottom w:w="0" w:type="dxa"/>
                    <w:right w:w="0" w:type="dxa"/>
                  </w:tcMar>
                  <w:vAlign w:val="center"/>
                </w:tcPr>
                <w:p w14:paraId="1EEBEA15">
                  <w:pPr>
                    <w:jc w:val="center"/>
                    <w:rPr>
                      <w:rFonts w:hint="eastAsia"/>
                      <w:color w:val="auto"/>
                      <w:szCs w:val="21"/>
                    </w:rPr>
                  </w:pPr>
                </w:p>
              </w:tc>
              <w:tc>
                <w:tcPr>
                  <w:tcW w:w="773" w:type="pct"/>
                  <w:noWrap w:val="0"/>
                  <w:tcMar>
                    <w:top w:w="0" w:type="dxa"/>
                    <w:left w:w="0" w:type="dxa"/>
                    <w:bottom w:w="0" w:type="dxa"/>
                    <w:right w:w="0" w:type="dxa"/>
                  </w:tcMar>
                  <w:vAlign w:val="center"/>
                </w:tcPr>
                <w:p w14:paraId="42DFCE37">
                  <w:pPr>
                    <w:jc w:val="center"/>
                    <w:rPr>
                      <w:rFonts w:hint="eastAsia"/>
                      <w:color w:val="auto"/>
                      <w:szCs w:val="21"/>
                    </w:rPr>
                  </w:pPr>
                </w:p>
              </w:tc>
              <w:tc>
                <w:tcPr>
                  <w:tcW w:w="666" w:type="pct"/>
                  <w:noWrap w:val="0"/>
                  <w:tcMar>
                    <w:top w:w="0" w:type="dxa"/>
                    <w:left w:w="0" w:type="dxa"/>
                    <w:bottom w:w="0" w:type="dxa"/>
                    <w:right w:w="0" w:type="dxa"/>
                  </w:tcMar>
                  <w:vAlign w:val="center"/>
                </w:tcPr>
                <w:p w14:paraId="797A6721">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14C55328">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261CAADA">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20DE78DB">
              <w:trPr>
                <w:trHeight w:val="397" w:hRule="atLeast"/>
                <w:jc w:val="center"/>
              </w:trPr>
              <w:tc>
                <w:tcPr>
                  <w:tcW w:w="315" w:type="pct"/>
                  <w:noWrap w:val="0"/>
                  <w:tcMar>
                    <w:top w:w="0" w:type="dxa"/>
                    <w:left w:w="0" w:type="dxa"/>
                    <w:bottom w:w="0" w:type="dxa"/>
                    <w:right w:w="0" w:type="dxa"/>
                  </w:tcMar>
                  <w:vAlign w:val="center"/>
                </w:tcPr>
                <w:p w14:paraId="1A890212">
                  <w:pPr>
                    <w:numPr>
                      <w:ilvl w:val="0"/>
                      <w:numId w:val="15"/>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1B09A9BF">
                  <w:pPr>
                    <w:jc w:val="center"/>
                    <w:rPr>
                      <w:rFonts w:hint="eastAsia"/>
                      <w:color w:val="auto"/>
                      <w:szCs w:val="21"/>
                    </w:rPr>
                  </w:pPr>
                </w:p>
              </w:tc>
              <w:tc>
                <w:tcPr>
                  <w:tcW w:w="604" w:type="pct"/>
                  <w:noWrap w:val="0"/>
                  <w:tcMar>
                    <w:top w:w="0" w:type="dxa"/>
                    <w:left w:w="0" w:type="dxa"/>
                    <w:bottom w:w="0" w:type="dxa"/>
                    <w:right w:w="0" w:type="dxa"/>
                  </w:tcMar>
                  <w:vAlign w:val="center"/>
                </w:tcPr>
                <w:p w14:paraId="2068C012">
                  <w:pPr>
                    <w:jc w:val="center"/>
                    <w:rPr>
                      <w:rFonts w:hint="eastAsia"/>
                      <w:color w:val="auto"/>
                      <w:szCs w:val="21"/>
                    </w:rPr>
                  </w:pPr>
                </w:p>
              </w:tc>
              <w:tc>
                <w:tcPr>
                  <w:tcW w:w="773" w:type="pct"/>
                  <w:noWrap w:val="0"/>
                  <w:tcMar>
                    <w:top w:w="0" w:type="dxa"/>
                    <w:left w:w="0" w:type="dxa"/>
                    <w:bottom w:w="0" w:type="dxa"/>
                    <w:right w:w="0" w:type="dxa"/>
                  </w:tcMar>
                  <w:vAlign w:val="center"/>
                </w:tcPr>
                <w:p w14:paraId="5B10F4AD">
                  <w:pPr>
                    <w:jc w:val="center"/>
                    <w:rPr>
                      <w:rFonts w:hint="eastAsia"/>
                      <w:color w:val="auto"/>
                      <w:szCs w:val="21"/>
                    </w:rPr>
                  </w:pPr>
                </w:p>
              </w:tc>
              <w:tc>
                <w:tcPr>
                  <w:tcW w:w="666" w:type="pct"/>
                  <w:noWrap w:val="0"/>
                  <w:tcMar>
                    <w:top w:w="0" w:type="dxa"/>
                    <w:left w:w="0" w:type="dxa"/>
                    <w:bottom w:w="0" w:type="dxa"/>
                    <w:right w:w="0" w:type="dxa"/>
                  </w:tcMar>
                  <w:vAlign w:val="center"/>
                </w:tcPr>
                <w:p w14:paraId="0FD679E8">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03FD8E98">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6BE7E788">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14EDC8A6">
              <w:trPr>
                <w:trHeight w:val="397" w:hRule="atLeast"/>
                <w:jc w:val="center"/>
              </w:trPr>
              <w:tc>
                <w:tcPr>
                  <w:tcW w:w="315" w:type="pct"/>
                  <w:noWrap w:val="0"/>
                  <w:tcMar>
                    <w:top w:w="0" w:type="dxa"/>
                    <w:left w:w="0" w:type="dxa"/>
                    <w:bottom w:w="0" w:type="dxa"/>
                    <w:right w:w="0" w:type="dxa"/>
                  </w:tcMar>
                  <w:vAlign w:val="center"/>
                </w:tcPr>
                <w:p w14:paraId="523EA174">
                  <w:pPr>
                    <w:numPr>
                      <w:ilvl w:val="0"/>
                      <w:numId w:val="15"/>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2E4E9B37">
                  <w:pPr>
                    <w:jc w:val="center"/>
                    <w:rPr>
                      <w:rFonts w:hint="eastAsia"/>
                      <w:color w:val="auto"/>
                      <w:szCs w:val="21"/>
                    </w:rPr>
                  </w:pPr>
                </w:p>
              </w:tc>
              <w:tc>
                <w:tcPr>
                  <w:tcW w:w="604" w:type="pct"/>
                  <w:noWrap w:val="0"/>
                  <w:tcMar>
                    <w:top w:w="0" w:type="dxa"/>
                    <w:left w:w="0" w:type="dxa"/>
                    <w:bottom w:w="0" w:type="dxa"/>
                    <w:right w:w="0" w:type="dxa"/>
                  </w:tcMar>
                  <w:vAlign w:val="center"/>
                </w:tcPr>
                <w:p w14:paraId="56A1E66E">
                  <w:pPr>
                    <w:jc w:val="center"/>
                    <w:rPr>
                      <w:rFonts w:hint="eastAsia"/>
                      <w:color w:val="auto"/>
                      <w:szCs w:val="21"/>
                    </w:rPr>
                  </w:pPr>
                </w:p>
              </w:tc>
              <w:tc>
                <w:tcPr>
                  <w:tcW w:w="773" w:type="pct"/>
                  <w:noWrap w:val="0"/>
                  <w:tcMar>
                    <w:top w:w="0" w:type="dxa"/>
                    <w:left w:w="0" w:type="dxa"/>
                    <w:bottom w:w="0" w:type="dxa"/>
                    <w:right w:w="0" w:type="dxa"/>
                  </w:tcMar>
                  <w:vAlign w:val="center"/>
                </w:tcPr>
                <w:p w14:paraId="7063229F">
                  <w:pPr>
                    <w:jc w:val="center"/>
                    <w:rPr>
                      <w:rFonts w:hint="eastAsia"/>
                      <w:color w:val="auto"/>
                      <w:szCs w:val="21"/>
                    </w:rPr>
                  </w:pPr>
                </w:p>
              </w:tc>
              <w:tc>
                <w:tcPr>
                  <w:tcW w:w="666" w:type="pct"/>
                  <w:noWrap w:val="0"/>
                  <w:tcMar>
                    <w:top w:w="0" w:type="dxa"/>
                    <w:left w:w="0" w:type="dxa"/>
                    <w:bottom w:w="0" w:type="dxa"/>
                    <w:right w:w="0" w:type="dxa"/>
                  </w:tcMar>
                  <w:vAlign w:val="center"/>
                </w:tcPr>
                <w:p w14:paraId="7A0CC1B5">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31B61E99">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3D96CC44">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22F25618">
              <w:trPr>
                <w:trHeight w:val="397" w:hRule="atLeast"/>
                <w:jc w:val="center"/>
              </w:trPr>
              <w:tc>
                <w:tcPr>
                  <w:tcW w:w="315" w:type="pct"/>
                  <w:noWrap w:val="0"/>
                  <w:tcMar>
                    <w:top w:w="0" w:type="dxa"/>
                    <w:left w:w="0" w:type="dxa"/>
                    <w:bottom w:w="0" w:type="dxa"/>
                    <w:right w:w="0" w:type="dxa"/>
                  </w:tcMar>
                  <w:vAlign w:val="center"/>
                </w:tcPr>
                <w:p w14:paraId="15E03D09">
                  <w:pPr>
                    <w:numPr>
                      <w:ilvl w:val="0"/>
                      <w:numId w:val="15"/>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545B993F">
                  <w:pPr>
                    <w:jc w:val="center"/>
                    <w:rPr>
                      <w:rFonts w:hint="eastAsia"/>
                      <w:color w:val="auto"/>
                      <w:szCs w:val="21"/>
                    </w:rPr>
                  </w:pPr>
                </w:p>
              </w:tc>
              <w:tc>
                <w:tcPr>
                  <w:tcW w:w="604" w:type="pct"/>
                  <w:noWrap w:val="0"/>
                  <w:tcMar>
                    <w:top w:w="0" w:type="dxa"/>
                    <w:left w:w="0" w:type="dxa"/>
                    <w:bottom w:w="0" w:type="dxa"/>
                    <w:right w:w="0" w:type="dxa"/>
                  </w:tcMar>
                  <w:vAlign w:val="center"/>
                </w:tcPr>
                <w:p w14:paraId="743D7B1B">
                  <w:pPr>
                    <w:jc w:val="center"/>
                    <w:rPr>
                      <w:rFonts w:hint="eastAsia"/>
                      <w:color w:val="auto"/>
                      <w:szCs w:val="21"/>
                    </w:rPr>
                  </w:pPr>
                </w:p>
              </w:tc>
              <w:tc>
                <w:tcPr>
                  <w:tcW w:w="773" w:type="pct"/>
                  <w:noWrap w:val="0"/>
                  <w:tcMar>
                    <w:top w:w="0" w:type="dxa"/>
                    <w:left w:w="0" w:type="dxa"/>
                    <w:bottom w:w="0" w:type="dxa"/>
                    <w:right w:w="0" w:type="dxa"/>
                  </w:tcMar>
                  <w:vAlign w:val="center"/>
                </w:tcPr>
                <w:p w14:paraId="0DEC9975">
                  <w:pPr>
                    <w:jc w:val="center"/>
                    <w:rPr>
                      <w:rFonts w:hint="eastAsia"/>
                      <w:color w:val="auto"/>
                      <w:szCs w:val="21"/>
                    </w:rPr>
                  </w:pPr>
                </w:p>
              </w:tc>
              <w:tc>
                <w:tcPr>
                  <w:tcW w:w="666" w:type="pct"/>
                  <w:noWrap w:val="0"/>
                  <w:tcMar>
                    <w:top w:w="0" w:type="dxa"/>
                    <w:left w:w="0" w:type="dxa"/>
                    <w:bottom w:w="0" w:type="dxa"/>
                    <w:right w:w="0" w:type="dxa"/>
                  </w:tcMar>
                  <w:vAlign w:val="center"/>
                </w:tcPr>
                <w:p w14:paraId="349CFFB4">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4BFEDE53">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0E8E846E">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16E182C1">
              <w:trPr>
                <w:trHeight w:val="397" w:hRule="atLeast"/>
                <w:jc w:val="center"/>
              </w:trPr>
              <w:tc>
                <w:tcPr>
                  <w:tcW w:w="315" w:type="pct"/>
                  <w:noWrap w:val="0"/>
                  <w:tcMar>
                    <w:top w:w="0" w:type="dxa"/>
                    <w:left w:w="0" w:type="dxa"/>
                    <w:bottom w:w="0" w:type="dxa"/>
                    <w:right w:w="0" w:type="dxa"/>
                  </w:tcMar>
                  <w:vAlign w:val="center"/>
                </w:tcPr>
                <w:p w14:paraId="6152E494">
                  <w:pPr>
                    <w:numPr>
                      <w:ilvl w:val="0"/>
                      <w:numId w:val="15"/>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715D604E">
                  <w:pPr>
                    <w:jc w:val="center"/>
                    <w:rPr>
                      <w:rFonts w:hint="eastAsia"/>
                      <w:color w:val="auto"/>
                      <w:szCs w:val="21"/>
                    </w:rPr>
                  </w:pPr>
                </w:p>
              </w:tc>
              <w:tc>
                <w:tcPr>
                  <w:tcW w:w="604" w:type="pct"/>
                  <w:noWrap w:val="0"/>
                  <w:tcMar>
                    <w:top w:w="0" w:type="dxa"/>
                    <w:left w:w="0" w:type="dxa"/>
                    <w:bottom w:w="0" w:type="dxa"/>
                    <w:right w:w="0" w:type="dxa"/>
                  </w:tcMar>
                  <w:vAlign w:val="center"/>
                </w:tcPr>
                <w:p w14:paraId="7FBF4C37">
                  <w:pPr>
                    <w:jc w:val="center"/>
                    <w:rPr>
                      <w:rFonts w:hint="eastAsia"/>
                      <w:color w:val="auto"/>
                      <w:szCs w:val="21"/>
                    </w:rPr>
                  </w:pPr>
                </w:p>
              </w:tc>
              <w:tc>
                <w:tcPr>
                  <w:tcW w:w="773" w:type="pct"/>
                  <w:noWrap w:val="0"/>
                  <w:tcMar>
                    <w:top w:w="0" w:type="dxa"/>
                    <w:left w:w="0" w:type="dxa"/>
                    <w:bottom w:w="0" w:type="dxa"/>
                    <w:right w:w="0" w:type="dxa"/>
                  </w:tcMar>
                  <w:vAlign w:val="center"/>
                </w:tcPr>
                <w:p w14:paraId="3DC1A509">
                  <w:pPr>
                    <w:jc w:val="center"/>
                    <w:rPr>
                      <w:rFonts w:hint="eastAsia"/>
                      <w:color w:val="auto"/>
                      <w:szCs w:val="21"/>
                    </w:rPr>
                  </w:pPr>
                </w:p>
              </w:tc>
              <w:tc>
                <w:tcPr>
                  <w:tcW w:w="666" w:type="pct"/>
                  <w:noWrap w:val="0"/>
                  <w:tcMar>
                    <w:top w:w="0" w:type="dxa"/>
                    <w:left w:w="0" w:type="dxa"/>
                    <w:bottom w:w="0" w:type="dxa"/>
                    <w:right w:w="0" w:type="dxa"/>
                  </w:tcMar>
                  <w:vAlign w:val="center"/>
                </w:tcPr>
                <w:p w14:paraId="6CD3633E">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3B182F27">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2ACAFD26">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25C50C61">
              <w:trPr>
                <w:trHeight w:val="397" w:hRule="atLeast"/>
                <w:jc w:val="center"/>
              </w:trPr>
              <w:tc>
                <w:tcPr>
                  <w:tcW w:w="315" w:type="pct"/>
                  <w:noWrap w:val="0"/>
                  <w:tcMar>
                    <w:top w:w="0" w:type="dxa"/>
                    <w:left w:w="0" w:type="dxa"/>
                    <w:bottom w:w="0" w:type="dxa"/>
                    <w:right w:w="0" w:type="dxa"/>
                  </w:tcMar>
                  <w:vAlign w:val="center"/>
                </w:tcPr>
                <w:p w14:paraId="44467D85">
                  <w:pPr>
                    <w:numPr>
                      <w:ilvl w:val="0"/>
                      <w:numId w:val="15"/>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71C7BBBC">
                  <w:pPr>
                    <w:jc w:val="center"/>
                    <w:rPr>
                      <w:rFonts w:hint="eastAsia"/>
                      <w:color w:val="auto"/>
                      <w:szCs w:val="21"/>
                    </w:rPr>
                  </w:pPr>
                </w:p>
              </w:tc>
              <w:tc>
                <w:tcPr>
                  <w:tcW w:w="604" w:type="pct"/>
                  <w:noWrap w:val="0"/>
                  <w:tcMar>
                    <w:top w:w="0" w:type="dxa"/>
                    <w:left w:w="0" w:type="dxa"/>
                    <w:bottom w:w="0" w:type="dxa"/>
                    <w:right w:w="0" w:type="dxa"/>
                  </w:tcMar>
                  <w:vAlign w:val="center"/>
                </w:tcPr>
                <w:p w14:paraId="452500AB">
                  <w:pPr>
                    <w:jc w:val="center"/>
                    <w:rPr>
                      <w:rFonts w:hint="eastAsia"/>
                      <w:color w:val="auto"/>
                      <w:szCs w:val="21"/>
                    </w:rPr>
                  </w:pPr>
                </w:p>
              </w:tc>
              <w:tc>
                <w:tcPr>
                  <w:tcW w:w="773" w:type="pct"/>
                  <w:noWrap w:val="0"/>
                  <w:tcMar>
                    <w:top w:w="0" w:type="dxa"/>
                    <w:left w:w="0" w:type="dxa"/>
                    <w:bottom w:w="0" w:type="dxa"/>
                    <w:right w:w="0" w:type="dxa"/>
                  </w:tcMar>
                  <w:vAlign w:val="center"/>
                </w:tcPr>
                <w:p w14:paraId="0D25AD94">
                  <w:pPr>
                    <w:jc w:val="center"/>
                    <w:rPr>
                      <w:rFonts w:hint="eastAsia"/>
                      <w:color w:val="auto"/>
                      <w:szCs w:val="21"/>
                    </w:rPr>
                  </w:pPr>
                </w:p>
              </w:tc>
              <w:tc>
                <w:tcPr>
                  <w:tcW w:w="666" w:type="pct"/>
                  <w:noWrap w:val="0"/>
                  <w:tcMar>
                    <w:top w:w="0" w:type="dxa"/>
                    <w:left w:w="0" w:type="dxa"/>
                    <w:bottom w:w="0" w:type="dxa"/>
                    <w:right w:w="0" w:type="dxa"/>
                  </w:tcMar>
                  <w:vAlign w:val="center"/>
                </w:tcPr>
                <w:p w14:paraId="7A8DBE84">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7D32D0D8">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1FB9F6BF">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41A9821B">
              <w:trPr>
                <w:trHeight w:val="397" w:hRule="atLeast"/>
                <w:jc w:val="center"/>
              </w:trPr>
              <w:tc>
                <w:tcPr>
                  <w:tcW w:w="315" w:type="pct"/>
                  <w:noWrap w:val="0"/>
                  <w:tcMar>
                    <w:top w:w="0" w:type="dxa"/>
                    <w:left w:w="0" w:type="dxa"/>
                    <w:bottom w:w="0" w:type="dxa"/>
                    <w:right w:w="0" w:type="dxa"/>
                  </w:tcMar>
                  <w:vAlign w:val="center"/>
                </w:tcPr>
                <w:p w14:paraId="6E0F2FBD">
                  <w:pPr>
                    <w:numPr>
                      <w:ilvl w:val="0"/>
                      <w:numId w:val="15"/>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64F0ED93">
                  <w:pPr>
                    <w:jc w:val="center"/>
                    <w:rPr>
                      <w:rFonts w:hint="eastAsia"/>
                      <w:color w:val="auto"/>
                      <w:szCs w:val="21"/>
                    </w:rPr>
                  </w:pPr>
                </w:p>
              </w:tc>
              <w:tc>
                <w:tcPr>
                  <w:tcW w:w="604" w:type="pct"/>
                  <w:noWrap w:val="0"/>
                  <w:tcMar>
                    <w:top w:w="0" w:type="dxa"/>
                    <w:left w:w="0" w:type="dxa"/>
                    <w:bottom w:w="0" w:type="dxa"/>
                    <w:right w:w="0" w:type="dxa"/>
                  </w:tcMar>
                  <w:vAlign w:val="center"/>
                </w:tcPr>
                <w:p w14:paraId="54D7B5F7">
                  <w:pPr>
                    <w:jc w:val="center"/>
                    <w:rPr>
                      <w:rFonts w:hint="eastAsia"/>
                      <w:color w:val="auto"/>
                      <w:szCs w:val="21"/>
                    </w:rPr>
                  </w:pPr>
                </w:p>
              </w:tc>
              <w:tc>
                <w:tcPr>
                  <w:tcW w:w="773" w:type="pct"/>
                  <w:noWrap w:val="0"/>
                  <w:tcMar>
                    <w:top w:w="0" w:type="dxa"/>
                    <w:left w:w="0" w:type="dxa"/>
                    <w:bottom w:w="0" w:type="dxa"/>
                    <w:right w:w="0" w:type="dxa"/>
                  </w:tcMar>
                  <w:vAlign w:val="center"/>
                </w:tcPr>
                <w:p w14:paraId="629357E5">
                  <w:pPr>
                    <w:jc w:val="center"/>
                    <w:rPr>
                      <w:rFonts w:hint="eastAsia"/>
                      <w:color w:val="auto"/>
                      <w:szCs w:val="21"/>
                    </w:rPr>
                  </w:pPr>
                </w:p>
              </w:tc>
              <w:tc>
                <w:tcPr>
                  <w:tcW w:w="666" w:type="pct"/>
                  <w:noWrap w:val="0"/>
                  <w:tcMar>
                    <w:top w:w="0" w:type="dxa"/>
                    <w:left w:w="0" w:type="dxa"/>
                    <w:bottom w:w="0" w:type="dxa"/>
                    <w:right w:w="0" w:type="dxa"/>
                  </w:tcMar>
                  <w:vAlign w:val="center"/>
                </w:tcPr>
                <w:p w14:paraId="660D11EC">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522C4BE5">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4C9B6BC9">
                  <w:pPr>
                    <w:keepNext w:val="0"/>
                    <w:keepLines w:val="0"/>
                    <w:suppressLineNumbers w:val="0"/>
                    <w:spacing w:before="0" w:beforeAutospacing="0" w:after="0" w:afterAutospacing="0"/>
                    <w:ind w:left="0" w:leftChars="0" w:right="0" w:rightChars="0"/>
                    <w:jc w:val="center"/>
                    <w:rPr>
                      <w:rFonts w:hint="eastAsia" w:eastAsia="宋体"/>
                      <w:color w:val="auto"/>
                      <w:szCs w:val="21"/>
                      <w:lang w:val="en-US" w:eastAsia="zh-CN"/>
                    </w:rPr>
                  </w:pPr>
                </w:p>
              </w:tc>
            </w:tr>
            <w:tr w14:paraId="362FBC93">
              <w:trPr>
                <w:trHeight w:val="397" w:hRule="atLeast"/>
                <w:jc w:val="center"/>
              </w:trPr>
              <w:tc>
                <w:tcPr>
                  <w:tcW w:w="5000" w:type="pct"/>
                  <w:gridSpan w:val="7"/>
                  <w:noWrap w:val="0"/>
                  <w:tcMar>
                    <w:top w:w="0" w:type="dxa"/>
                    <w:left w:w="0" w:type="dxa"/>
                    <w:bottom w:w="0" w:type="dxa"/>
                    <w:right w:w="0" w:type="dxa"/>
                  </w:tcMar>
                  <w:vAlign w:val="center"/>
                </w:tcPr>
                <w:p w14:paraId="4DEF5525">
                  <w:pPr>
                    <w:keepNext w:val="0"/>
                    <w:keepLines w:val="0"/>
                    <w:suppressLineNumbers w:val="0"/>
                    <w:spacing w:before="0" w:beforeAutospacing="0" w:after="0" w:afterAutospacing="0"/>
                    <w:ind w:left="0" w:leftChars="0" w:right="0" w:rightChars="0"/>
                    <w:jc w:val="center"/>
                    <w:rPr>
                      <w:rFonts w:hint="eastAsia" w:eastAsia="宋体"/>
                      <w:color w:val="auto"/>
                      <w:szCs w:val="21"/>
                      <w:lang w:val="en-US" w:eastAsia="zh-CN"/>
                    </w:rPr>
                  </w:pPr>
                </w:p>
              </w:tc>
            </w:tr>
            <w:tr w14:paraId="4BC0DD78">
              <w:trPr>
                <w:trHeight w:val="397" w:hRule="atLeast"/>
                <w:jc w:val="center"/>
              </w:trPr>
              <w:tc>
                <w:tcPr>
                  <w:tcW w:w="315" w:type="pct"/>
                  <w:noWrap w:val="0"/>
                  <w:tcMar>
                    <w:top w:w="0" w:type="dxa"/>
                    <w:left w:w="0" w:type="dxa"/>
                    <w:bottom w:w="0" w:type="dxa"/>
                    <w:right w:w="0" w:type="dxa"/>
                  </w:tcMar>
                  <w:vAlign w:val="center"/>
                </w:tcPr>
                <w:p w14:paraId="302BEA46">
                  <w:pPr>
                    <w:numPr>
                      <w:ilvl w:val="0"/>
                      <w:numId w:val="16"/>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18247EFC">
                  <w:pPr>
                    <w:jc w:val="center"/>
                    <w:rPr>
                      <w:rFonts w:hint="eastAsia"/>
                      <w:color w:val="auto"/>
                      <w:szCs w:val="21"/>
                    </w:rPr>
                  </w:pPr>
                </w:p>
              </w:tc>
              <w:tc>
                <w:tcPr>
                  <w:tcW w:w="604" w:type="pct"/>
                  <w:noWrap w:val="0"/>
                  <w:tcMar>
                    <w:top w:w="0" w:type="dxa"/>
                    <w:left w:w="0" w:type="dxa"/>
                    <w:bottom w:w="0" w:type="dxa"/>
                    <w:right w:w="0" w:type="dxa"/>
                  </w:tcMar>
                  <w:vAlign w:val="center"/>
                </w:tcPr>
                <w:p w14:paraId="030656A4">
                  <w:pPr>
                    <w:jc w:val="center"/>
                    <w:rPr>
                      <w:rFonts w:hint="eastAsia"/>
                      <w:color w:val="auto"/>
                      <w:szCs w:val="21"/>
                    </w:rPr>
                  </w:pPr>
                </w:p>
              </w:tc>
              <w:tc>
                <w:tcPr>
                  <w:tcW w:w="773" w:type="pct"/>
                  <w:noWrap w:val="0"/>
                  <w:tcMar>
                    <w:top w:w="0" w:type="dxa"/>
                    <w:left w:w="0" w:type="dxa"/>
                    <w:bottom w:w="0" w:type="dxa"/>
                    <w:right w:w="0" w:type="dxa"/>
                  </w:tcMar>
                  <w:vAlign w:val="center"/>
                </w:tcPr>
                <w:p w14:paraId="00F69D9D">
                  <w:pPr>
                    <w:jc w:val="center"/>
                    <w:rPr>
                      <w:rFonts w:hint="eastAsia"/>
                      <w:color w:val="auto"/>
                      <w:szCs w:val="21"/>
                    </w:rPr>
                  </w:pPr>
                </w:p>
              </w:tc>
              <w:tc>
                <w:tcPr>
                  <w:tcW w:w="666" w:type="pct"/>
                  <w:noWrap w:val="0"/>
                  <w:tcMar>
                    <w:top w:w="0" w:type="dxa"/>
                    <w:left w:w="0" w:type="dxa"/>
                    <w:bottom w:w="0" w:type="dxa"/>
                    <w:right w:w="0" w:type="dxa"/>
                  </w:tcMar>
                  <w:vAlign w:val="center"/>
                </w:tcPr>
                <w:p w14:paraId="3DD54A38">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29A236A5">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291D8DCE">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4698E255">
              <w:trPr>
                <w:trHeight w:val="397" w:hRule="atLeast"/>
                <w:jc w:val="center"/>
              </w:trPr>
              <w:tc>
                <w:tcPr>
                  <w:tcW w:w="315" w:type="pct"/>
                  <w:noWrap w:val="0"/>
                  <w:tcMar>
                    <w:top w:w="0" w:type="dxa"/>
                    <w:left w:w="0" w:type="dxa"/>
                    <w:bottom w:w="0" w:type="dxa"/>
                    <w:right w:w="0" w:type="dxa"/>
                  </w:tcMar>
                  <w:vAlign w:val="center"/>
                </w:tcPr>
                <w:p w14:paraId="1594CDF4">
                  <w:pPr>
                    <w:numPr>
                      <w:ilvl w:val="0"/>
                      <w:numId w:val="16"/>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1890BE83">
                  <w:pPr>
                    <w:jc w:val="center"/>
                    <w:rPr>
                      <w:rFonts w:hint="eastAsia"/>
                      <w:color w:val="auto"/>
                      <w:szCs w:val="21"/>
                    </w:rPr>
                  </w:pPr>
                </w:p>
              </w:tc>
              <w:tc>
                <w:tcPr>
                  <w:tcW w:w="604" w:type="pct"/>
                  <w:noWrap w:val="0"/>
                  <w:tcMar>
                    <w:top w:w="0" w:type="dxa"/>
                    <w:left w:w="0" w:type="dxa"/>
                    <w:bottom w:w="0" w:type="dxa"/>
                    <w:right w:w="0" w:type="dxa"/>
                  </w:tcMar>
                  <w:vAlign w:val="center"/>
                </w:tcPr>
                <w:p w14:paraId="65611C14">
                  <w:pPr>
                    <w:jc w:val="center"/>
                    <w:rPr>
                      <w:rFonts w:hint="eastAsia"/>
                      <w:color w:val="auto"/>
                      <w:szCs w:val="21"/>
                    </w:rPr>
                  </w:pPr>
                </w:p>
              </w:tc>
              <w:tc>
                <w:tcPr>
                  <w:tcW w:w="773" w:type="pct"/>
                  <w:noWrap w:val="0"/>
                  <w:tcMar>
                    <w:top w:w="0" w:type="dxa"/>
                    <w:left w:w="0" w:type="dxa"/>
                    <w:bottom w:w="0" w:type="dxa"/>
                    <w:right w:w="0" w:type="dxa"/>
                  </w:tcMar>
                  <w:vAlign w:val="center"/>
                </w:tcPr>
                <w:p w14:paraId="551B44FA">
                  <w:pPr>
                    <w:jc w:val="center"/>
                    <w:rPr>
                      <w:rFonts w:hint="eastAsia"/>
                      <w:color w:val="auto"/>
                      <w:szCs w:val="21"/>
                    </w:rPr>
                  </w:pPr>
                </w:p>
              </w:tc>
              <w:tc>
                <w:tcPr>
                  <w:tcW w:w="666" w:type="pct"/>
                  <w:noWrap w:val="0"/>
                  <w:tcMar>
                    <w:top w:w="0" w:type="dxa"/>
                    <w:left w:w="0" w:type="dxa"/>
                    <w:bottom w:w="0" w:type="dxa"/>
                    <w:right w:w="0" w:type="dxa"/>
                  </w:tcMar>
                  <w:vAlign w:val="center"/>
                </w:tcPr>
                <w:p w14:paraId="21B1483E">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73A84687">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56232CD4">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148BD8F5">
              <w:trPr>
                <w:trHeight w:val="397" w:hRule="atLeast"/>
                <w:jc w:val="center"/>
              </w:trPr>
              <w:tc>
                <w:tcPr>
                  <w:tcW w:w="315" w:type="pct"/>
                  <w:noWrap w:val="0"/>
                  <w:tcMar>
                    <w:top w:w="0" w:type="dxa"/>
                    <w:left w:w="0" w:type="dxa"/>
                    <w:bottom w:w="0" w:type="dxa"/>
                    <w:right w:w="0" w:type="dxa"/>
                  </w:tcMar>
                  <w:vAlign w:val="center"/>
                </w:tcPr>
                <w:p w14:paraId="5B099FDA">
                  <w:pPr>
                    <w:numPr>
                      <w:ilvl w:val="0"/>
                      <w:numId w:val="16"/>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5D187FA3">
                  <w:pPr>
                    <w:jc w:val="center"/>
                    <w:rPr>
                      <w:rFonts w:hint="eastAsia"/>
                      <w:color w:val="auto"/>
                      <w:szCs w:val="21"/>
                    </w:rPr>
                  </w:pPr>
                </w:p>
              </w:tc>
              <w:tc>
                <w:tcPr>
                  <w:tcW w:w="604" w:type="pct"/>
                  <w:noWrap w:val="0"/>
                  <w:tcMar>
                    <w:top w:w="0" w:type="dxa"/>
                    <w:left w:w="0" w:type="dxa"/>
                    <w:bottom w:w="0" w:type="dxa"/>
                    <w:right w:w="0" w:type="dxa"/>
                  </w:tcMar>
                  <w:vAlign w:val="center"/>
                </w:tcPr>
                <w:p w14:paraId="1160701A">
                  <w:pPr>
                    <w:jc w:val="center"/>
                    <w:rPr>
                      <w:rFonts w:hint="eastAsia"/>
                      <w:color w:val="auto"/>
                      <w:szCs w:val="21"/>
                    </w:rPr>
                  </w:pPr>
                </w:p>
              </w:tc>
              <w:tc>
                <w:tcPr>
                  <w:tcW w:w="773" w:type="pct"/>
                  <w:noWrap w:val="0"/>
                  <w:tcMar>
                    <w:top w:w="0" w:type="dxa"/>
                    <w:left w:w="0" w:type="dxa"/>
                    <w:bottom w:w="0" w:type="dxa"/>
                    <w:right w:w="0" w:type="dxa"/>
                  </w:tcMar>
                  <w:vAlign w:val="center"/>
                </w:tcPr>
                <w:p w14:paraId="19AA0FEB">
                  <w:pPr>
                    <w:jc w:val="center"/>
                    <w:rPr>
                      <w:rFonts w:hint="eastAsia"/>
                      <w:color w:val="auto"/>
                      <w:szCs w:val="21"/>
                    </w:rPr>
                  </w:pPr>
                </w:p>
              </w:tc>
              <w:tc>
                <w:tcPr>
                  <w:tcW w:w="666" w:type="pct"/>
                  <w:noWrap w:val="0"/>
                  <w:tcMar>
                    <w:top w:w="0" w:type="dxa"/>
                    <w:left w:w="0" w:type="dxa"/>
                    <w:bottom w:w="0" w:type="dxa"/>
                    <w:right w:w="0" w:type="dxa"/>
                  </w:tcMar>
                  <w:vAlign w:val="center"/>
                </w:tcPr>
                <w:p w14:paraId="664D3DB6">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1F34C04A">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1703DD09">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2546299F">
              <w:trPr>
                <w:trHeight w:val="397" w:hRule="atLeast"/>
                <w:jc w:val="center"/>
              </w:trPr>
              <w:tc>
                <w:tcPr>
                  <w:tcW w:w="315" w:type="pct"/>
                  <w:noWrap w:val="0"/>
                  <w:tcMar>
                    <w:top w:w="0" w:type="dxa"/>
                    <w:left w:w="0" w:type="dxa"/>
                    <w:bottom w:w="0" w:type="dxa"/>
                    <w:right w:w="0" w:type="dxa"/>
                  </w:tcMar>
                  <w:vAlign w:val="center"/>
                </w:tcPr>
                <w:p w14:paraId="7B57B562">
                  <w:pPr>
                    <w:numPr>
                      <w:ilvl w:val="0"/>
                      <w:numId w:val="16"/>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60BFE068">
                  <w:pPr>
                    <w:jc w:val="center"/>
                    <w:rPr>
                      <w:rFonts w:hint="eastAsia"/>
                      <w:color w:val="auto"/>
                      <w:szCs w:val="21"/>
                    </w:rPr>
                  </w:pPr>
                </w:p>
              </w:tc>
              <w:tc>
                <w:tcPr>
                  <w:tcW w:w="604" w:type="pct"/>
                  <w:noWrap w:val="0"/>
                  <w:tcMar>
                    <w:top w:w="0" w:type="dxa"/>
                    <w:left w:w="0" w:type="dxa"/>
                    <w:bottom w:w="0" w:type="dxa"/>
                    <w:right w:w="0" w:type="dxa"/>
                  </w:tcMar>
                  <w:vAlign w:val="center"/>
                </w:tcPr>
                <w:p w14:paraId="6DE4A376">
                  <w:pPr>
                    <w:jc w:val="center"/>
                    <w:rPr>
                      <w:rFonts w:hint="eastAsia"/>
                      <w:color w:val="auto"/>
                      <w:szCs w:val="21"/>
                    </w:rPr>
                  </w:pPr>
                </w:p>
              </w:tc>
              <w:tc>
                <w:tcPr>
                  <w:tcW w:w="773" w:type="pct"/>
                  <w:noWrap w:val="0"/>
                  <w:tcMar>
                    <w:top w:w="0" w:type="dxa"/>
                    <w:left w:w="0" w:type="dxa"/>
                    <w:bottom w:w="0" w:type="dxa"/>
                    <w:right w:w="0" w:type="dxa"/>
                  </w:tcMar>
                  <w:vAlign w:val="center"/>
                </w:tcPr>
                <w:p w14:paraId="25786C24">
                  <w:pPr>
                    <w:jc w:val="center"/>
                    <w:rPr>
                      <w:rFonts w:hint="eastAsia"/>
                      <w:color w:val="auto"/>
                      <w:szCs w:val="21"/>
                    </w:rPr>
                  </w:pPr>
                </w:p>
              </w:tc>
              <w:tc>
                <w:tcPr>
                  <w:tcW w:w="666" w:type="pct"/>
                  <w:noWrap w:val="0"/>
                  <w:tcMar>
                    <w:top w:w="0" w:type="dxa"/>
                    <w:left w:w="0" w:type="dxa"/>
                    <w:bottom w:w="0" w:type="dxa"/>
                    <w:right w:w="0" w:type="dxa"/>
                  </w:tcMar>
                  <w:vAlign w:val="center"/>
                </w:tcPr>
                <w:p w14:paraId="5B99B820">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7FF097D0">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6EE1C4B2">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081FBF1F">
              <w:trPr>
                <w:trHeight w:val="397" w:hRule="atLeast"/>
                <w:jc w:val="center"/>
              </w:trPr>
              <w:tc>
                <w:tcPr>
                  <w:tcW w:w="315" w:type="pct"/>
                  <w:noWrap w:val="0"/>
                  <w:tcMar>
                    <w:top w:w="0" w:type="dxa"/>
                    <w:left w:w="0" w:type="dxa"/>
                    <w:bottom w:w="0" w:type="dxa"/>
                    <w:right w:w="0" w:type="dxa"/>
                  </w:tcMar>
                  <w:vAlign w:val="center"/>
                </w:tcPr>
                <w:p w14:paraId="098987FB">
                  <w:pPr>
                    <w:numPr>
                      <w:ilvl w:val="0"/>
                      <w:numId w:val="16"/>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00107D9E">
                  <w:pPr>
                    <w:jc w:val="center"/>
                    <w:rPr>
                      <w:rFonts w:hint="eastAsia"/>
                      <w:color w:val="auto"/>
                      <w:szCs w:val="21"/>
                    </w:rPr>
                  </w:pPr>
                </w:p>
              </w:tc>
              <w:tc>
                <w:tcPr>
                  <w:tcW w:w="604" w:type="pct"/>
                  <w:noWrap w:val="0"/>
                  <w:tcMar>
                    <w:top w:w="0" w:type="dxa"/>
                    <w:left w:w="0" w:type="dxa"/>
                    <w:bottom w:w="0" w:type="dxa"/>
                    <w:right w:w="0" w:type="dxa"/>
                  </w:tcMar>
                  <w:vAlign w:val="center"/>
                </w:tcPr>
                <w:p w14:paraId="7ABCFE75">
                  <w:pPr>
                    <w:jc w:val="center"/>
                    <w:rPr>
                      <w:rFonts w:hint="eastAsia"/>
                      <w:color w:val="auto"/>
                      <w:szCs w:val="21"/>
                    </w:rPr>
                  </w:pPr>
                </w:p>
              </w:tc>
              <w:tc>
                <w:tcPr>
                  <w:tcW w:w="773" w:type="pct"/>
                  <w:noWrap w:val="0"/>
                  <w:tcMar>
                    <w:top w:w="0" w:type="dxa"/>
                    <w:left w:w="0" w:type="dxa"/>
                    <w:bottom w:w="0" w:type="dxa"/>
                    <w:right w:w="0" w:type="dxa"/>
                  </w:tcMar>
                  <w:vAlign w:val="center"/>
                </w:tcPr>
                <w:p w14:paraId="57CA6B66">
                  <w:pPr>
                    <w:jc w:val="center"/>
                    <w:rPr>
                      <w:rFonts w:hint="eastAsia"/>
                      <w:color w:val="auto"/>
                      <w:szCs w:val="21"/>
                    </w:rPr>
                  </w:pPr>
                </w:p>
              </w:tc>
              <w:tc>
                <w:tcPr>
                  <w:tcW w:w="666" w:type="pct"/>
                  <w:noWrap w:val="0"/>
                  <w:tcMar>
                    <w:top w:w="0" w:type="dxa"/>
                    <w:left w:w="0" w:type="dxa"/>
                    <w:bottom w:w="0" w:type="dxa"/>
                    <w:right w:w="0" w:type="dxa"/>
                  </w:tcMar>
                  <w:vAlign w:val="center"/>
                </w:tcPr>
                <w:p w14:paraId="17C80036">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3971DF43">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1A8D0034">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0433CBDA">
              <w:trPr>
                <w:trHeight w:val="397" w:hRule="atLeast"/>
                <w:jc w:val="center"/>
              </w:trPr>
              <w:tc>
                <w:tcPr>
                  <w:tcW w:w="315" w:type="pct"/>
                  <w:noWrap w:val="0"/>
                  <w:tcMar>
                    <w:top w:w="0" w:type="dxa"/>
                    <w:left w:w="0" w:type="dxa"/>
                    <w:bottom w:w="0" w:type="dxa"/>
                    <w:right w:w="0" w:type="dxa"/>
                  </w:tcMar>
                  <w:vAlign w:val="center"/>
                </w:tcPr>
                <w:p w14:paraId="47328CEF">
                  <w:pPr>
                    <w:numPr>
                      <w:ilvl w:val="0"/>
                      <w:numId w:val="16"/>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7F3DF951">
                  <w:pPr>
                    <w:jc w:val="center"/>
                    <w:rPr>
                      <w:rFonts w:hint="eastAsia"/>
                      <w:color w:val="auto"/>
                      <w:szCs w:val="21"/>
                    </w:rPr>
                  </w:pPr>
                </w:p>
              </w:tc>
              <w:tc>
                <w:tcPr>
                  <w:tcW w:w="604" w:type="pct"/>
                  <w:noWrap w:val="0"/>
                  <w:tcMar>
                    <w:top w:w="0" w:type="dxa"/>
                    <w:left w:w="0" w:type="dxa"/>
                    <w:bottom w:w="0" w:type="dxa"/>
                    <w:right w:w="0" w:type="dxa"/>
                  </w:tcMar>
                  <w:vAlign w:val="center"/>
                </w:tcPr>
                <w:p w14:paraId="70FABDEA">
                  <w:pPr>
                    <w:jc w:val="center"/>
                    <w:rPr>
                      <w:rFonts w:hint="eastAsia"/>
                      <w:color w:val="auto"/>
                      <w:szCs w:val="21"/>
                    </w:rPr>
                  </w:pPr>
                </w:p>
              </w:tc>
              <w:tc>
                <w:tcPr>
                  <w:tcW w:w="773" w:type="pct"/>
                  <w:noWrap w:val="0"/>
                  <w:tcMar>
                    <w:top w:w="0" w:type="dxa"/>
                    <w:left w:w="0" w:type="dxa"/>
                    <w:bottom w:w="0" w:type="dxa"/>
                    <w:right w:w="0" w:type="dxa"/>
                  </w:tcMar>
                  <w:vAlign w:val="center"/>
                </w:tcPr>
                <w:p w14:paraId="43C26BA4">
                  <w:pPr>
                    <w:jc w:val="center"/>
                    <w:rPr>
                      <w:rFonts w:hint="eastAsia"/>
                      <w:color w:val="auto"/>
                      <w:szCs w:val="21"/>
                    </w:rPr>
                  </w:pPr>
                </w:p>
              </w:tc>
              <w:tc>
                <w:tcPr>
                  <w:tcW w:w="666" w:type="pct"/>
                  <w:noWrap w:val="0"/>
                  <w:tcMar>
                    <w:top w:w="0" w:type="dxa"/>
                    <w:left w:w="0" w:type="dxa"/>
                    <w:bottom w:w="0" w:type="dxa"/>
                    <w:right w:w="0" w:type="dxa"/>
                  </w:tcMar>
                  <w:vAlign w:val="center"/>
                </w:tcPr>
                <w:p w14:paraId="39A629FC">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3F7248D4">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7031BF6C">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4AAEF096">
              <w:trPr>
                <w:trHeight w:val="397" w:hRule="atLeast"/>
                <w:jc w:val="center"/>
              </w:trPr>
              <w:tc>
                <w:tcPr>
                  <w:tcW w:w="315" w:type="pct"/>
                  <w:noWrap w:val="0"/>
                  <w:tcMar>
                    <w:top w:w="0" w:type="dxa"/>
                    <w:left w:w="0" w:type="dxa"/>
                    <w:bottom w:w="0" w:type="dxa"/>
                    <w:right w:w="0" w:type="dxa"/>
                  </w:tcMar>
                  <w:vAlign w:val="center"/>
                </w:tcPr>
                <w:p w14:paraId="2070F328">
                  <w:pPr>
                    <w:numPr>
                      <w:ilvl w:val="0"/>
                      <w:numId w:val="16"/>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41BE88F6">
                  <w:pPr>
                    <w:jc w:val="center"/>
                    <w:rPr>
                      <w:rFonts w:hint="eastAsia"/>
                      <w:color w:val="auto"/>
                      <w:szCs w:val="21"/>
                    </w:rPr>
                  </w:pPr>
                </w:p>
              </w:tc>
              <w:tc>
                <w:tcPr>
                  <w:tcW w:w="604" w:type="pct"/>
                  <w:noWrap w:val="0"/>
                  <w:tcMar>
                    <w:top w:w="0" w:type="dxa"/>
                    <w:left w:w="0" w:type="dxa"/>
                    <w:bottom w:w="0" w:type="dxa"/>
                    <w:right w:w="0" w:type="dxa"/>
                  </w:tcMar>
                  <w:vAlign w:val="center"/>
                </w:tcPr>
                <w:p w14:paraId="37EBF70B">
                  <w:pPr>
                    <w:jc w:val="center"/>
                    <w:rPr>
                      <w:rFonts w:hint="eastAsia"/>
                      <w:color w:val="auto"/>
                      <w:szCs w:val="21"/>
                    </w:rPr>
                  </w:pPr>
                </w:p>
              </w:tc>
              <w:tc>
                <w:tcPr>
                  <w:tcW w:w="773" w:type="pct"/>
                  <w:noWrap w:val="0"/>
                  <w:tcMar>
                    <w:top w:w="0" w:type="dxa"/>
                    <w:left w:w="0" w:type="dxa"/>
                    <w:bottom w:w="0" w:type="dxa"/>
                    <w:right w:w="0" w:type="dxa"/>
                  </w:tcMar>
                  <w:vAlign w:val="center"/>
                </w:tcPr>
                <w:p w14:paraId="0ED9CF27">
                  <w:pPr>
                    <w:jc w:val="center"/>
                    <w:rPr>
                      <w:rFonts w:hint="eastAsia"/>
                      <w:color w:val="auto"/>
                      <w:szCs w:val="21"/>
                    </w:rPr>
                  </w:pPr>
                </w:p>
              </w:tc>
              <w:tc>
                <w:tcPr>
                  <w:tcW w:w="666" w:type="pct"/>
                  <w:noWrap w:val="0"/>
                  <w:tcMar>
                    <w:top w:w="0" w:type="dxa"/>
                    <w:left w:w="0" w:type="dxa"/>
                    <w:bottom w:w="0" w:type="dxa"/>
                    <w:right w:w="0" w:type="dxa"/>
                  </w:tcMar>
                  <w:vAlign w:val="center"/>
                </w:tcPr>
                <w:p w14:paraId="7C8878B8">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5916CE64">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2F13246A">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4DCC8CA0">
              <w:trPr>
                <w:trHeight w:val="397" w:hRule="atLeast"/>
                <w:jc w:val="center"/>
              </w:trPr>
              <w:tc>
                <w:tcPr>
                  <w:tcW w:w="315" w:type="pct"/>
                  <w:noWrap w:val="0"/>
                  <w:tcMar>
                    <w:top w:w="0" w:type="dxa"/>
                    <w:left w:w="0" w:type="dxa"/>
                    <w:bottom w:w="0" w:type="dxa"/>
                    <w:right w:w="0" w:type="dxa"/>
                  </w:tcMar>
                  <w:vAlign w:val="center"/>
                </w:tcPr>
                <w:p w14:paraId="47B11E90">
                  <w:pPr>
                    <w:numPr>
                      <w:ilvl w:val="0"/>
                      <w:numId w:val="16"/>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3ED8CEAE">
                  <w:pPr>
                    <w:jc w:val="center"/>
                    <w:rPr>
                      <w:rFonts w:hint="eastAsia"/>
                      <w:color w:val="auto"/>
                      <w:szCs w:val="21"/>
                    </w:rPr>
                  </w:pPr>
                </w:p>
              </w:tc>
              <w:tc>
                <w:tcPr>
                  <w:tcW w:w="604" w:type="pct"/>
                  <w:noWrap w:val="0"/>
                  <w:tcMar>
                    <w:top w:w="0" w:type="dxa"/>
                    <w:left w:w="0" w:type="dxa"/>
                    <w:bottom w:w="0" w:type="dxa"/>
                    <w:right w:w="0" w:type="dxa"/>
                  </w:tcMar>
                  <w:vAlign w:val="center"/>
                </w:tcPr>
                <w:p w14:paraId="4F028518">
                  <w:pPr>
                    <w:jc w:val="center"/>
                    <w:rPr>
                      <w:rFonts w:hint="eastAsia"/>
                      <w:color w:val="auto"/>
                      <w:szCs w:val="21"/>
                    </w:rPr>
                  </w:pPr>
                </w:p>
              </w:tc>
              <w:tc>
                <w:tcPr>
                  <w:tcW w:w="773" w:type="pct"/>
                  <w:noWrap w:val="0"/>
                  <w:tcMar>
                    <w:top w:w="0" w:type="dxa"/>
                    <w:left w:w="0" w:type="dxa"/>
                    <w:bottom w:w="0" w:type="dxa"/>
                    <w:right w:w="0" w:type="dxa"/>
                  </w:tcMar>
                  <w:vAlign w:val="center"/>
                </w:tcPr>
                <w:p w14:paraId="4BEB6458">
                  <w:pPr>
                    <w:jc w:val="center"/>
                    <w:rPr>
                      <w:rFonts w:hint="eastAsia"/>
                      <w:color w:val="auto"/>
                      <w:szCs w:val="21"/>
                    </w:rPr>
                  </w:pPr>
                </w:p>
              </w:tc>
              <w:tc>
                <w:tcPr>
                  <w:tcW w:w="666" w:type="pct"/>
                  <w:noWrap w:val="0"/>
                  <w:tcMar>
                    <w:top w:w="0" w:type="dxa"/>
                    <w:left w:w="0" w:type="dxa"/>
                    <w:bottom w:w="0" w:type="dxa"/>
                    <w:right w:w="0" w:type="dxa"/>
                  </w:tcMar>
                  <w:vAlign w:val="center"/>
                </w:tcPr>
                <w:p w14:paraId="40B99D72">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60302D49">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210B5A29">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77AFB787">
              <w:trPr>
                <w:trHeight w:val="397" w:hRule="atLeast"/>
                <w:jc w:val="center"/>
              </w:trPr>
              <w:tc>
                <w:tcPr>
                  <w:tcW w:w="315" w:type="pct"/>
                  <w:noWrap w:val="0"/>
                  <w:tcMar>
                    <w:top w:w="0" w:type="dxa"/>
                    <w:left w:w="0" w:type="dxa"/>
                    <w:bottom w:w="0" w:type="dxa"/>
                    <w:right w:w="0" w:type="dxa"/>
                  </w:tcMar>
                  <w:vAlign w:val="center"/>
                </w:tcPr>
                <w:p w14:paraId="5BF9F086">
                  <w:pPr>
                    <w:numPr>
                      <w:ilvl w:val="0"/>
                      <w:numId w:val="16"/>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7810DF99">
                  <w:pPr>
                    <w:jc w:val="center"/>
                    <w:rPr>
                      <w:rFonts w:hint="eastAsia"/>
                      <w:color w:val="auto"/>
                      <w:szCs w:val="21"/>
                    </w:rPr>
                  </w:pPr>
                </w:p>
              </w:tc>
              <w:tc>
                <w:tcPr>
                  <w:tcW w:w="604" w:type="pct"/>
                  <w:noWrap w:val="0"/>
                  <w:tcMar>
                    <w:top w:w="0" w:type="dxa"/>
                    <w:left w:w="0" w:type="dxa"/>
                    <w:bottom w:w="0" w:type="dxa"/>
                    <w:right w:w="0" w:type="dxa"/>
                  </w:tcMar>
                  <w:vAlign w:val="center"/>
                </w:tcPr>
                <w:p w14:paraId="13D681F2">
                  <w:pPr>
                    <w:jc w:val="center"/>
                    <w:rPr>
                      <w:rFonts w:hint="eastAsia"/>
                      <w:color w:val="auto"/>
                      <w:szCs w:val="21"/>
                    </w:rPr>
                  </w:pPr>
                </w:p>
              </w:tc>
              <w:tc>
                <w:tcPr>
                  <w:tcW w:w="773" w:type="pct"/>
                  <w:noWrap w:val="0"/>
                  <w:tcMar>
                    <w:top w:w="0" w:type="dxa"/>
                    <w:left w:w="0" w:type="dxa"/>
                    <w:bottom w:w="0" w:type="dxa"/>
                    <w:right w:w="0" w:type="dxa"/>
                  </w:tcMar>
                  <w:vAlign w:val="center"/>
                </w:tcPr>
                <w:p w14:paraId="4BF97446">
                  <w:pPr>
                    <w:jc w:val="center"/>
                    <w:rPr>
                      <w:rFonts w:hint="eastAsia"/>
                      <w:color w:val="auto"/>
                      <w:szCs w:val="21"/>
                    </w:rPr>
                  </w:pPr>
                </w:p>
              </w:tc>
              <w:tc>
                <w:tcPr>
                  <w:tcW w:w="666" w:type="pct"/>
                  <w:noWrap w:val="0"/>
                  <w:tcMar>
                    <w:top w:w="0" w:type="dxa"/>
                    <w:left w:w="0" w:type="dxa"/>
                    <w:bottom w:w="0" w:type="dxa"/>
                    <w:right w:w="0" w:type="dxa"/>
                  </w:tcMar>
                  <w:vAlign w:val="center"/>
                </w:tcPr>
                <w:p w14:paraId="159A9118">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22C98644">
                  <w:pPr>
                    <w:keepNext w:val="0"/>
                    <w:keepLines w:val="0"/>
                    <w:suppressLineNumbers w:val="0"/>
                    <w:spacing w:before="0" w:beforeAutospacing="0" w:after="0" w:afterAutospacing="0"/>
                    <w:ind w:left="0" w:leftChars="0" w:right="0" w:rightChars="0"/>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3B784A6E">
                  <w:pPr>
                    <w:keepNext w:val="0"/>
                    <w:keepLines w:val="0"/>
                    <w:suppressLineNumbers w:val="0"/>
                    <w:spacing w:before="0" w:beforeAutospacing="0" w:after="0" w:afterAutospacing="0"/>
                    <w:ind w:left="0" w:leftChars="0" w:right="0" w:rightChars="0"/>
                    <w:jc w:val="center"/>
                    <w:rPr>
                      <w:rFonts w:hint="eastAsia" w:eastAsia="宋体"/>
                      <w:color w:val="auto"/>
                      <w:szCs w:val="21"/>
                      <w:lang w:val="en-US" w:eastAsia="zh-CN"/>
                    </w:rPr>
                  </w:pPr>
                </w:p>
              </w:tc>
            </w:tr>
            <w:tr w14:paraId="3168DE6E">
              <w:trPr>
                <w:trHeight w:val="397" w:hRule="atLeast"/>
                <w:jc w:val="center"/>
              </w:trPr>
              <w:tc>
                <w:tcPr>
                  <w:tcW w:w="5000" w:type="pct"/>
                  <w:gridSpan w:val="7"/>
                  <w:noWrap w:val="0"/>
                  <w:tcMar>
                    <w:top w:w="0" w:type="dxa"/>
                    <w:left w:w="0" w:type="dxa"/>
                    <w:bottom w:w="0" w:type="dxa"/>
                    <w:right w:w="0" w:type="dxa"/>
                  </w:tcMar>
                  <w:vAlign w:val="center"/>
                </w:tcPr>
                <w:p w14:paraId="4B31740E">
                  <w:pPr>
                    <w:keepNext w:val="0"/>
                    <w:keepLines w:val="0"/>
                    <w:suppressLineNumbers w:val="0"/>
                    <w:spacing w:before="0" w:beforeAutospacing="0" w:after="0" w:afterAutospacing="0"/>
                    <w:ind w:left="0" w:leftChars="0" w:right="0" w:rightChars="0"/>
                    <w:jc w:val="center"/>
                    <w:rPr>
                      <w:rFonts w:hint="eastAsia" w:eastAsia="宋体"/>
                      <w:color w:val="auto"/>
                      <w:szCs w:val="21"/>
                      <w:lang w:val="en-US" w:eastAsia="zh-CN"/>
                    </w:rPr>
                  </w:pPr>
                </w:p>
              </w:tc>
            </w:tr>
            <w:tr w14:paraId="2F58E35D">
              <w:trPr>
                <w:trHeight w:val="397" w:hRule="atLeast"/>
                <w:jc w:val="center"/>
              </w:trPr>
              <w:tc>
                <w:tcPr>
                  <w:tcW w:w="315" w:type="pct"/>
                  <w:noWrap w:val="0"/>
                  <w:tcMar>
                    <w:top w:w="0" w:type="dxa"/>
                    <w:left w:w="0" w:type="dxa"/>
                    <w:bottom w:w="0" w:type="dxa"/>
                    <w:right w:w="0" w:type="dxa"/>
                  </w:tcMar>
                  <w:vAlign w:val="center"/>
                </w:tcPr>
                <w:p w14:paraId="475772F3">
                  <w:pPr>
                    <w:numPr>
                      <w:ilvl w:val="0"/>
                      <w:numId w:val="17"/>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411FAC3A">
                  <w:pPr>
                    <w:jc w:val="center"/>
                    <w:rPr>
                      <w:rFonts w:hint="eastAsia"/>
                      <w:color w:val="auto"/>
                      <w:szCs w:val="21"/>
                    </w:rPr>
                  </w:pPr>
                </w:p>
              </w:tc>
              <w:tc>
                <w:tcPr>
                  <w:tcW w:w="604" w:type="pct"/>
                  <w:noWrap w:val="0"/>
                  <w:tcMar>
                    <w:top w:w="0" w:type="dxa"/>
                    <w:left w:w="0" w:type="dxa"/>
                    <w:bottom w:w="0" w:type="dxa"/>
                    <w:right w:w="0" w:type="dxa"/>
                  </w:tcMar>
                  <w:vAlign w:val="center"/>
                </w:tcPr>
                <w:p w14:paraId="54A1FCBC">
                  <w:pPr>
                    <w:jc w:val="center"/>
                    <w:rPr>
                      <w:rFonts w:hint="eastAsia" w:eastAsia="宋体"/>
                      <w:color w:val="auto"/>
                      <w:szCs w:val="21"/>
                      <w:lang w:val="en-US" w:eastAsia="zh-CN"/>
                    </w:rPr>
                  </w:pPr>
                </w:p>
              </w:tc>
              <w:tc>
                <w:tcPr>
                  <w:tcW w:w="773" w:type="pct"/>
                  <w:noWrap w:val="0"/>
                  <w:tcMar>
                    <w:top w:w="0" w:type="dxa"/>
                    <w:left w:w="0" w:type="dxa"/>
                    <w:bottom w:w="0" w:type="dxa"/>
                    <w:right w:w="0" w:type="dxa"/>
                  </w:tcMar>
                  <w:vAlign w:val="center"/>
                </w:tcPr>
                <w:p w14:paraId="24311659">
                  <w:pPr>
                    <w:jc w:val="center"/>
                    <w:rPr>
                      <w:rFonts w:hint="eastAsia"/>
                      <w:color w:val="auto"/>
                      <w:szCs w:val="21"/>
                    </w:rPr>
                  </w:pPr>
                </w:p>
              </w:tc>
              <w:tc>
                <w:tcPr>
                  <w:tcW w:w="666" w:type="pct"/>
                  <w:noWrap w:val="0"/>
                  <w:tcMar>
                    <w:top w:w="0" w:type="dxa"/>
                    <w:left w:w="0" w:type="dxa"/>
                    <w:bottom w:w="0" w:type="dxa"/>
                    <w:right w:w="0" w:type="dxa"/>
                  </w:tcMar>
                  <w:vAlign w:val="center"/>
                </w:tcPr>
                <w:p w14:paraId="43817379">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76C207ED">
                  <w:pPr>
                    <w:keepNext w:val="0"/>
                    <w:keepLines w:val="0"/>
                    <w:suppressLineNumbers w:val="0"/>
                    <w:spacing w:before="0" w:beforeAutospacing="0" w:after="0" w:afterAutospacing="0"/>
                    <w:ind w:left="0" w:leftChars="0" w:right="0" w:rightChars="0"/>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0DDE8707">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34B26965">
              <w:trPr>
                <w:trHeight w:val="397" w:hRule="atLeast"/>
                <w:jc w:val="center"/>
              </w:trPr>
              <w:tc>
                <w:tcPr>
                  <w:tcW w:w="5000" w:type="pct"/>
                  <w:gridSpan w:val="7"/>
                  <w:noWrap w:val="0"/>
                  <w:tcMar>
                    <w:top w:w="0" w:type="dxa"/>
                    <w:left w:w="0" w:type="dxa"/>
                    <w:bottom w:w="0" w:type="dxa"/>
                    <w:right w:w="0" w:type="dxa"/>
                  </w:tcMar>
                  <w:vAlign w:val="center"/>
                </w:tcPr>
                <w:p w14:paraId="2A441B3D">
                  <w:pPr>
                    <w:keepNext w:val="0"/>
                    <w:keepLines w:val="0"/>
                    <w:suppressLineNumbers w:val="0"/>
                    <w:spacing w:before="0" w:beforeAutospacing="0" w:after="0" w:afterAutospacing="0"/>
                    <w:ind w:left="0" w:leftChars="0" w:right="0" w:rightChars="0"/>
                    <w:jc w:val="center"/>
                    <w:rPr>
                      <w:rFonts w:hint="eastAsia" w:eastAsia="宋体"/>
                      <w:color w:val="auto"/>
                      <w:szCs w:val="21"/>
                      <w:lang w:val="en-US" w:eastAsia="zh-CN"/>
                    </w:rPr>
                  </w:pPr>
                </w:p>
              </w:tc>
            </w:tr>
            <w:tr w14:paraId="42FF1E3E">
              <w:trPr>
                <w:trHeight w:val="397" w:hRule="atLeast"/>
                <w:jc w:val="center"/>
              </w:trPr>
              <w:tc>
                <w:tcPr>
                  <w:tcW w:w="315" w:type="pct"/>
                  <w:noWrap w:val="0"/>
                  <w:tcMar>
                    <w:top w:w="0" w:type="dxa"/>
                    <w:left w:w="0" w:type="dxa"/>
                    <w:bottom w:w="0" w:type="dxa"/>
                    <w:right w:w="0" w:type="dxa"/>
                  </w:tcMar>
                  <w:vAlign w:val="center"/>
                </w:tcPr>
                <w:p w14:paraId="51F24DD9">
                  <w:pPr>
                    <w:numPr>
                      <w:ilvl w:val="0"/>
                      <w:numId w:val="18"/>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5C1B9D8C">
                  <w:pPr>
                    <w:jc w:val="center"/>
                    <w:rPr>
                      <w:rFonts w:hint="eastAsia"/>
                      <w:color w:val="auto"/>
                      <w:szCs w:val="21"/>
                    </w:rPr>
                  </w:pPr>
                </w:p>
              </w:tc>
              <w:tc>
                <w:tcPr>
                  <w:tcW w:w="604" w:type="pct"/>
                  <w:noWrap w:val="0"/>
                  <w:tcMar>
                    <w:top w:w="0" w:type="dxa"/>
                    <w:left w:w="0" w:type="dxa"/>
                    <w:bottom w:w="0" w:type="dxa"/>
                    <w:right w:w="0" w:type="dxa"/>
                  </w:tcMar>
                  <w:vAlign w:val="center"/>
                </w:tcPr>
                <w:p w14:paraId="040FFA43">
                  <w:pPr>
                    <w:jc w:val="center"/>
                    <w:rPr>
                      <w:rFonts w:hint="eastAsia"/>
                      <w:color w:val="auto"/>
                      <w:szCs w:val="21"/>
                    </w:rPr>
                  </w:pPr>
                </w:p>
              </w:tc>
              <w:tc>
                <w:tcPr>
                  <w:tcW w:w="773" w:type="pct"/>
                  <w:noWrap w:val="0"/>
                  <w:tcMar>
                    <w:top w:w="0" w:type="dxa"/>
                    <w:left w:w="0" w:type="dxa"/>
                    <w:bottom w:w="0" w:type="dxa"/>
                    <w:right w:w="0" w:type="dxa"/>
                  </w:tcMar>
                  <w:vAlign w:val="center"/>
                </w:tcPr>
                <w:p w14:paraId="11A622B3">
                  <w:pPr>
                    <w:jc w:val="center"/>
                    <w:rPr>
                      <w:rFonts w:hint="eastAsia"/>
                      <w:color w:val="auto"/>
                      <w:szCs w:val="21"/>
                    </w:rPr>
                  </w:pPr>
                </w:p>
              </w:tc>
              <w:tc>
                <w:tcPr>
                  <w:tcW w:w="666" w:type="pct"/>
                  <w:noWrap w:val="0"/>
                  <w:tcMar>
                    <w:top w:w="0" w:type="dxa"/>
                    <w:left w:w="0" w:type="dxa"/>
                    <w:bottom w:w="0" w:type="dxa"/>
                    <w:right w:w="0" w:type="dxa"/>
                  </w:tcMar>
                  <w:vAlign w:val="center"/>
                </w:tcPr>
                <w:p w14:paraId="2B386D69">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0AD321BB">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533D2C40">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1D67E719">
              <w:trPr>
                <w:trHeight w:val="397" w:hRule="atLeast"/>
                <w:jc w:val="center"/>
              </w:trPr>
              <w:tc>
                <w:tcPr>
                  <w:tcW w:w="315" w:type="pct"/>
                  <w:noWrap w:val="0"/>
                  <w:tcMar>
                    <w:top w:w="0" w:type="dxa"/>
                    <w:left w:w="0" w:type="dxa"/>
                    <w:bottom w:w="0" w:type="dxa"/>
                    <w:right w:w="0" w:type="dxa"/>
                  </w:tcMar>
                  <w:vAlign w:val="center"/>
                </w:tcPr>
                <w:p w14:paraId="3D8DF6A6">
                  <w:pPr>
                    <w:numPr>
                      <w:ilvl w:val="0"/>
                      <w:numId w:val="18"/>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19A904FD">
                  <w:pPr>
                    <w:jc w:val="center"/>
                    <w:rPr>
                      <w:rFonts w:hint="eastAsia"/>
                      <w:color w:val="auto"/>
                      <w:szCs w:val="21"/>
                    </w:rPr>
                  </w:pPr>
                </w:p>
              </w:tc>
              <w:tc>
                <w:tcPr>
                  <w:tcW w:w="604" w:type="pct"/>
                  <w:noWrap w:val="0"/>
                  <w:tcMar>
                    <w:top w:w="0" w:type="dxa"/>
                    <w:left w:w="0" w:type="dxa"/>
                    <w:bottom w:w="0" w:type="dxa"/>
                    <w:right w:w="0" w:type="dxa"/>
                  </w:tcMar>
                  <w:vAlign w:val="center"/>
                </w:tcPr>
                <w:p w14:paraId="47345651">
                  <w:pPr>
                    <w:jc w:val="center"/>
                    <w:rPr>
                      <w:rFonts w:hint="eastAsia"/>
                      <w:color w:val="auto"/>
                      <w:szCs w:val="21"/>
                    </w:rPr>
                  </w:pPr>
                </w:p>
              </w:tc>
              <w:tc>
                <w:tcPr>
                  <w:tcW w:w="773" w:type="pct"/>
                  <w:noWrap w:val="0"/>
                  <w:tcMar>
                    <w:top w:w="0" w:type="dxa"/>
                    <w:left w:w="0" w:type="dxa"/>
                    <w:bottom w:w="0" w:type="dxa"/>
                    <w:right w:w="0" w:type="dxa"/>
                  </w:tcMar>
                  <w:vAlign w:val="center"/>
                </w:tcPr>
                <w:p w14:paraId="2451F6D9">
                  <w:pPr>
                    <w:jc w:val="center"/>
                    <w:rPr>
                      <w:rFonts w:hint="eastAsia"/>
                      <w:color w:val="auto"/>
                      <w:szCs w:val="21"/>
                    </w:rPr>
                  </w:pPr>
                </w:p>
              </w:tc>
              <w:tc>
                <w:tcPr>
                  <w:tcW w:w="666" w:type="pct"/>
                  <w:noWrap w:val="0"/>
                  <w:tcMar>
                    <w:top w:w="0" w:type="dxa"/>
                    <w:left w:w="0" w:type="dxa"/>
                    <w:bottom w:w="0" w:type="dxa"/>
                    <w:right w:w="0" w:type="dxa"/>
                  </w:tcMar>
                  <w:vAlign w:val="center"/>
                </w:tcPr>
                <w:p w14:paraId="576C4467">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6E280C1D">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32FF4BF2">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77A455FF">
              <w:trPr>
                <w:trHeight w:val="397" w:hRule="atLeast"/>
                <w:jc w:val="center"/>
              </w:trPr>
              <w:tc>
                <w:tcPr>
                  <w:tcW w:w="315" w:type="pct"/>
                  <w:noWrap w:val="0"/>
                  <w:tcMar>
                    <w:top w:w="0" w:type="dxa"/>
                    <w:left w:w="0" w:type="dxa"/>
                    <w:bottom w:w="0" w:type="dxa"/>
                    <w:right w:w="0" w:type="dxa"/>
                  </w:tcMar>
                  <w:vAlign w:val="center"/>
                </w:tcPr>
                <w:p w14:paraId="3AF348E2">
                  <w:pPr>
                    <w:numPr>
                      <w:ilvl w:val="0"/>
                      <w:numId w:val="18"/>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339E7ABD">
                  <w:pPr>
                    <w:jc w:val="center"/>
                    <w:rPr>
                      <w:rFonts w:hint="eastAsia"/>
                      <w:color w:val="auto"/>
                      <w:szCs w:val="21"/>
                    </w:rPr>
                  </w:pPr>
                </w:p>
              </w:tc>
              <w:tc>
                <w:tcPr>
                  <w:tcW w:w="604" w:type="pct"/>
                  <w:noWrap w:val="0"/>
                  <w:tcMar>
                    <w:top w:w="0" w:type="dxa"/>
                    <w:left w:w="0" w:type="dxa"/>
                    <w:bottom w:w="0" w:type="dxa"/>
                    <w:right w:w="0" w:type="dxa"/>
                  </w:tcMar>
                  <w:vAlign w:val="center"/>
                </w:tcPr>
                <w:p w14:paraId="2EDC3EB2">
                  <w:pPr>
                    <w:jc w:val="center"/>
                    <w:rPr>
                      <w:rFonts w:hint="eastAsia"/>
                      <w:color w:val="auto"/>
                      <w:szCs w:val="21"/>
                    </w:rPr>
                  </w:pPr>
                </w:p>
              </w:tc>
              <w:tc>
                <w:tcPr>
                  <w:tcW w:w="773" w:type="pct"/>
                  <w:noWrap w:val="0"/>
                  <w:tcMar>
                    <w:top w:w="0" w:type="dxa"/>
                    <w:left w:w="0" w:type="dxa"/>
                    <w:bottom w:w="0" w:type="dxa"/>
                    <w:right w:w="0" w:type="dxa"/>
                  </w:tcMar>
                  <w:vAlign w:val="center"/>
                </w:tcPr>
                <w:p w14:paraId="0FA254F7">
                  <w:pPr>
                    <w:jc w:val="center"/>
                    <w:rPr>
                      <w:rFonts w:hint="eastAsia"/>
                      <w:color w:val="auto"/>
                      <w:szCs w:val="21"/>
                    </w:rPr>
                  </w:pPr>
                </w:p>
              </w:tc>
              <w:tc>
                <w:tcPr>
                  <w:tcW w:w="666" w:type="pct"/>
                  <w:noWrap w:val="0"/>
                  <w:tcMar>
                    <w:top w:w="0" w:type="dxa"/>
                    <w:left w:w="0" w:type="dxa"/>
                    <w:bottom w:w="0" w:type="dxa"/>
                    <w:right w:w="0" w:type="dxa"/>
                  </w:tcMar>
                  <w:vAlign w:val="center"/>
                </w:tcPr>
                <w:p w14:paraId="29F629D1">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7F004F25">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5391CCD5">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1F2FFAD7">
              <w:trPr>
                <w:trHeight w:val="397" w:hRule="atLeast"/>
                <w:jc w:val="center"/>
              </w:trPr>
              <w:tc>
                <w:tcPr>
                  <w:tcW w:w="315" w:type="pct"/>
                  <w:noWrap w:val="0"/>
                  <w:tcMar>
                    <w:top w:w="0" w:type="dxa"/>
                    <w:left w:w="0" w:type="dxa"/>
                    <w:bottom w:w="0" w:type="dxa"/>
                    <w:right w:w="0" w:type="dxa"/>
                  </w:tcMar>
                  <w:vAlign w:val="center"/>
                </w:tcPr>
                <w:p w14:paraId="744C40F6">
                  <w:pPr>
                    <w:numPr>
                      <w:ilvl w:val="0"/>
                      <w:numId w:val="18"/>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4F0362CB">
                  <w:pPr>
                    <w:jc w:val="center"/>
                    <w:rPr>
                      <w:rFonts w:hint="eastAsia"/>
                      <w:color w:val="auto"/>
                      <w:szCs w:val="21"/>
                    </w:rPr>
                  </w:pPr>
                </w:p>
              </w:tc>
              <w:tc>
                <w:tcPr>
                  <w:tcW w:w="604" w:type="pct"/>
                  <w:noWrap w:val="0"/>
                  <w:tcMar>
                    <w:top w:w="0" w:type="dxa"/>
                    <w:left w:w="0" w:type="dxa"/>
                    <w:bottom w:w="0" w:type="dxa"/>
                    <w:right w:w="0" w:type="dxa"/>
                  </w:tcMar>
                  <w:vAlign w:val="center"/>
                </w:tcPr>
                <w:p w14:paraId="1B64B425">
                  <w:pPr>
                    <w:jc w:val="center"/>
                    <w:rPr>
                      <w:rFonts w:hint="eastAsia"/>
                      <w:color w:val="auto"/>
                      <w:szCs w:val="21"/>
                    </w:rPr>
                  </w:pPr>
                </w:p>
              </w:tc>
              <w:tc>
                <w:tcPr>
                  <w:tcW w:w="773" w:type="pct"/>
                  <w:noWrap w:val="0"/>
                  <w:tcMar>
                    <w:top w:w="0" w:type="dxa"/>
                    <w:left w:w="0" w:type="dxa"/>
                    <w:bottom w:w="0" w:type="dxa"/>
                    <w:right w:w="0" w:type="dxa"/>
                  </w:tcMar>
                  <w:vAlign w:val="center"/>
                </w:tcPr>
                <w:p w14:paraId="3D286F0B">
                  <w:pPr>
                    <w:jc w:val="center"/>
                    <w:rPr>
                      <w:rFonts w:hint="eastAsia"/>
                      <w:color w:val="auto"/>
                      <w:szCs w:val="21"/>
                    </w:rPr>
                  </w:pPr>
                </w:p>
              </w:tc>
              <w:tc>
                <w:tcPr>
                  <w:tcW w:w="666" w:type="pct"/>
                  <w:noWrap w:val="0"/>
                  <w:tcMar>
                    <w:top w:w="0" w:type="dxa"/>
                    <w:left w:w="0" w:type="dxa"/>
                    <w:bottom w:w="0" w:type="dxa"/>
                    <w:right w:w="0" w:type="dxa"/>
                  </w:tcMar>
                  <w:vAlign w:val="center"/>
                </w:tcPr>
                <w:p w14:paraId="7C019C43">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5BC6F466">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3FE95ED1">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020706F4">
              <w:trPr>
                <w:trHeight w:val="397" w:hRule="atLeast"/>
                <w:jc w:val="center"/>
              </w:trPr>
              <w:tc>
                <w:tcPr>
                  <w:tcW w:w="315" w:type="pct"/>
                  <w:noWrap w:val="0"/>
                  <w:tcMar>
                    <w:top w:w="0" w:type="dxa"/>
                    <w:left w:w="0" w:type="dxa"/>
                    <w:bottom w:w="0" w:type="dxa"/>
                    <w:right w:w="0" w:type="dxa"/>
                  </w:tcMar>
                  <w:vAlign w:val="center"/>
                </w:tcPr>
                <w:p w14:paraId="710F6887">
                  <w:pPr>
                    <w:numPr>
                      <w:ilvl w:val="0"/>
                      <w:numId w:val="18"/>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5D7A1D3C">
                  <w:pPr>
                    <w:jc w:val="center"/>
                    <w:rPr>
                      <w:rFonts w:hint="eastAsia"/>
                      <w:color w:val="auto"/>
                      <w:szCs w:val="21"/>
                    </w:rPr>
                  </w:pPr>
                </w:p>
              </w:tc>
              <w:tc>
                <w:tcPr>
                  <w:tcW w:w="604" w:type="pct"/>
                  <w:noWrap w:val="0"/>
                  <w:tcMar>
                    <w:top w:w="0" w:type="dxa"/>
                    <w:left w:w="0" w:type="dxa"/>
                    <w:bottom w:w="0" w:type="dxa"/>
                    <w:right w:w="0" w:type="dxa"/>
                  </w:tcMar>
                  <w:vAlign w:val="center"/>
                </w:tcPr>
                <w:p w14:paraId="6F36DD1A">
                  <w:pPr>
                    <w:jc w:val="center"/>
                    <w:rPr>
                      <w:rFonts w:hint="eastAsia"/>
                      <w:color w:val="auto"/>
                      <w:szCs w:val="21"/>
                    </w:rPr>
                  </w:pPr>
                </w:p>
              </w:tc>
              <w:tc>
                <w:tcPr>
                  <w:tcW w:w="773" w:type="pct"/>
                  <w:noWrap w:val="0"/>
                  <w:tcMar>
                    <w:top w:w="0" w:type="dxa"/>
                    <w:left w:w="0" w:type="dxa"/>
                    <w:bottom w:w="0" w:type="dxa"/>
                    <w:right w:w="0" w:type="dxa"/>
                  </w:tcMar>
                  <w:vAlign w:val="center"/>
                </w:tcPr>
                <w:p w14:paraId="41A875A2">
                  <w:pPr>
                    <w:jc w:val="center"/>
                    <w:rPr>
                      <w:rFonts w:hint="eastAsia"/>
                      <w:color w:val="auto"/>
                      <w:szCs w:val="21"/>
                    </w:rPr>
                  </w:pPr>
                </w:p>
              </w:tc>
              <w:tc>
                <w:tcPr>
                  <w:tcW w:w="666" w:type="pct"/>
                  <w:noWrap w:val="0"/>
                  <w:tcMar>
                    <w:top w:w="0" w:type="dxa"/>
                    <w:left w:w="0" w:type="dxa"/>
                    <w:bottom w:w="0" w:type="dxa"/>
                    <w:right w:w="0" w:type="dxa"/>
                  </w:tcMar>
                  <w:vAlign w:val="center"/>
                </w:tcPr>
                <w:p w14:paraId="50E6E8FB">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7111C537">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08C5846B">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79BF2429">
              <w:trPr>
                <w:trHeight w:val="397" w:hRule="atLeast"/>
                <w:jc w:val="center"/>
              </w:trPr>
              <w:tc>
                <w:tcPr>
                  <w:tcW w:w="315" w:type="pct"/>
                  <w:noWrap w:val="0"/>
                  <w:tcMar>
                    <w:top w:w="0" w:type="dxa"/>
                    <w:left w:w="0" w:type="dxa"/>
                    <w:bottom w:w="0" w:type="dxa"/>
                    <w:right w:w="0" w:type="dxa"/>
                  </w:tcMar>
                  <w:vAlign w:val="center"/>
                </w:tcPr>
                <w:p w14:paraId="3EF05E62">
                  <w:pPr>
                    <w:numPr>
                      <w:ilvl w:val="0"/>
                      <w:numId w:val="18"/>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4F59C488">
                  <w:pPr>
                    <w:jc w:val="center"/>
                    <w:rPr>
                      <w:rFonts w:hint="eastAsia"/>
                      <w:color w:val="auto"/>
                      <w:szCs w:val="21"/>
                    </w:rPr>
                  </w:pPr>
                </w:p>
              </w:tc>
              <w:tc>
                <w:tcPr>
                  <w:tcW w:w="604" w:type="pct"/>
                  <w:noWrap w:val="0"/>
                  <w:tcMar>
                    <w:top w:w="0" w:type="dxa"/>
                    <w:left w:w="0" w:type="dxa"/>
                    <w:bottom w:w="0" w:type="dxa"/>
                    <w:right w:w="0" w:type="dxa"/>
                  </w:tcMar>
                  <w:vAlign w:val="center"/>
                </w:tcPr>
                <w:p w14:paraId="14B3D1A8">
                  <w:pPr>
                    <w:jc w:val="center"/>
                    <w:rPr>
                      <w:rFonts w:hint="eastAsia"/>
                      <w:color w:val="auto"/>
                      <w:szCs w:val="21"/>
                    </w:rPr>
                  </w:pPr>
                </w:p>
              </w:tc>
              <w:tc>
                <w:tcPr>
                  <w:tcW w:w="773" w:type="pct"/>
                  <w:noWrap w:val="0"/>
                  <w:tcMar>
                    <w:top w:w="0" w:type="dxa"/>
                    <w:left w:w="0" w:type="dxa"/>
                    <w:bottom w:w="0" w:type="dxa"/>
                    <w:right w:w="0" w:type="dxa"/>
                  </w:tcMar>
                  <w:vAlign w:val="center"/>
                </w:tcPr>
                <w:p w14:paraId="0B11D667">
                  <w:pPr>
                    <w:jc w:val="center"/>
                    <w:rPr>
                      <w:rFonts w:hint="eastAsia"/>
                      <w:color w:val="auto"/>
                      <w:szCs w:val="21"/>
                    </w:rPr>
                  </w:pPr>
                </w:p>
              </w:tc>
              <w:tc>
                <w:tcPr>
                  <w:tcW w:w="666" w:type="pct"/>
                  <w:noWrap w:val="0"/>
                  <w:tcMar>
                    <w:top w:w="0" w:type="dxa"/>
                    <w:left w:w="0" w:type="dxa"/>
                    <w:bottom w:w="0" w:type="dxa"/>
                    <w:right w:w="0" w:type="dxa"/>
                  </w:tcMar>
                  <w:vAlign w:val="center"/>
                </w:tcPr>
                <w:p w14:paraId="47B51C99">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16EEC17C">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4BF327E3">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4276FDDD">
              <w:trPr>
                <w:trHeight w:val="397" w:hRule="atLeast"/>
                <w:jc w:val="center"/>
              </w:trPr>
              <w:tc>
                <w:tcPr>
                  <w:tcW w:w="315" w:type="pct"/>
                  <w:noWrap w:val="0"/>
                  <w:tcMar>
                    <w:top w:w="0" w:type="dxa"/>
                    <w:left w:w="0" w:type="dxa"/>
                    <w:bottom w:w="0" w:type="dxa"/>
                    <w:right w:w="0" w:type="dxa"/>
                  </w:tcMar>
                  <w:vAlign w:val="center"/>
                </w:tcPr>
                <w:p w14:paraId="1D469C58">
                  <w:pPr>
                    <w:numPr>
                      <w:ilvl w:val="0"/>
                      <w:numId w:val="18"/>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75FCE259">
                  <w:pPr>
                    <w:jc w:val="center"/>
                    <w:rPr>
                      <w:rFonts w:hint="eastAsia"/>
                      <w:color w:val="auto"/>
                      <w:szCs w:val="21"/>
                    </w:rPr>
                  </w:pPr>
                </w:p>
              </w:tc>
              <w:tc>
                <w:tcPr>
                  <w:tcW w:w="604" w:type="pct"/>
                  <w:noWrap w:val="0"/>
                  <w:tcMar>
                    <w:top w:w="0" w:type="dxa"/>
                    <w:left w:w="0" w:type="dxa"/>
                    <w:bottom w:w="0" w:type="dxa"/>
                    <w:right w:w="0" w:type="dxa"/>
                  </w:tcMar>
                  <w:vAlign w:val="center"/>
                </w:tcPr>
                <w:p w14:paraId="58DCF834">
                  <w:pPr>
                    <w:jc w:val="center"/>
                    <w:rPr>
                      <w:rFonts w:hint="eastAsia"/>
                      <w:color w:val="auto"/>
                      <w:szCs w:val="21"/>
                    </w:rPr>
                  </w:pPr>
                </w:p>
              </w:tc>
              <w:tc>
                <w:tcPr>
                  <w:tcW w:w="773" w:type="pct"/>
                  <w:noWrap w:val="0"/>
                  <w:tcMar>
                    <w:top w:w="0" w:type="dxa"/>
                    <w:left w:w="0" w:type="dxa"/>
                    <w:bottom w:w="0" w:type="dxa"/>
                    <w:right w:w="0" w:type="dxa"/>
                  </w:tcMar>
                  <w:vAlign w:val="center"/>
                </w:tcPr>
                <w:p w14:paraId="73720485">
                  <w:pPr>
                    <w:jc w:val="center"/>
                    <w:rPr>
                      <w:rFonts w:hint="eastAsia"/>
                      <w:color w:val="auto"/>
                      <w:szCs w:val="21"/>
                    </w:rPr>
                  </w:pPr>
                </w:p>
              </w:tc>
              <w:tc>
                <w:tcPr>
                  <w:tcW w:w="666" w:type="pct"/>
                  <w:noWrap w:val="0"/>
                  <w:tcMar>
                    <w:top w:w="0" w:type="dxa"/>
                    <w:left w:w="0" w:type="dxa"/>
                    <w:bottom w:w="0" w:type="dxa"/>
                    <w:right w:w="0" w:type="dxa"/>
                  </w:tcMar>
                  <w:vAlign w:val="center"/>
                </w:tcPr>
                <w:p w14:paraId="387881BB">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285C59C3">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1FDAF7F1">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3C662754">
              <w:trPr>
                <w:trHeight w:val="397" w:hRule="atLeast"/>
                <w:jc w:val="center"/>
              </w:trPr>
              <w:tc>
                <w:tcPr>
                  <w:tcW w:w="315" w:type="pct"/>
                  <w:noWrap w:val="0"/>
                  <w:tcMar>
                    <w:top w:w="0" w:type="dxa"/>
                    <w:left w:w="0" w:type="dxa"/>
                    <w:bottom w:w="0" w:type="dxa"/>
                    <w:right w:w="0" w:type="dxa"/>
                  </w:tcMar>
                  <w:vAlign w:val="center"/>
                </w:tcPr>
                <w:p w14:paraId="7D459966">
                  <w:pPr>
                    <w:numPr>
                      <w:ilvl w:val="0"/>
                      <w:numId w:val="18"/>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7FE6A1D6">
                  <w:pPr>
                    <w:jc w:val="center"/>
                    <w:rPr>
                      <w:rFonts w:hint="eastAsia"/>
                      <w:color w:val="auto"/>
                      <w:szCs w:val="21"/>
                    </w:rPr>
                  </w:pPr>
                </w:p>
              </w:tc>
              <w:tc>
                <w:tcPr>
                  <w:tcW w:w="604" w:type="pct"/>
                  <w:noWrap w:val="0"/>
                  <w:tcMar>
                    <w:top w:w="0" w:type="dxa"/>
                    <w:left w:w="0" w:type="dxa"/>
                    <w:bottom w:w="0" w:type="dxa"/>
                    <w:right w:w="0" w:type="dxa"/>
                  </w:tcMar>
                  <w:vAlign w:val="center"/>
                </w:tcPr>
                <w:p w14:paraId="001344C4">
                  <w:pPr>
                    <w:jc w:val="center"/>
                    <w:rPr>
                      <w:rFonts w:hint="eastAsia"/>
                      <w:color w:val="auto"/>
                      <w:szCs w:val="21"/>
                    </w:rPr>
                  </w:pPr>
                </w:p>
              </w:tc>
              <w:tc>
                <w:tcPr>
                  <w:tcW w:w="773" w:type="pct"/>
                  <w:noWrap w:val="0"/>
                  <w:tcMar>
                    <w:top w:w="0" w:type="dxa"/>
                    <w:left w:w="0" w:type="dxa"/>
                    <w:bottom w:w="0" w:type="dxa"/>
                    <w:right w:w="0" w:type="dxa"/>
                  </w:tcMar>
                  <w:vAlign w:val="center"/>
                </w:tcPr>
                <w:p w14:paraId="42BBC5D1">
                  <w:pPr>
                    <w:jc w:val="center"/>
                    <w:rPr>
                      <w:rFonts w:hint="eastAsia"/>
                      <w:color w:val="auto"/>
                      <w:szCs w:val="21"/>
                    </w:rPr>
                  </w:pPr>
                </w:p>
              </w:tc>
              <w:tc>
                <w:tcPr>
                  <w:tcW w:w="666" w:type="pct"/>
                  <w:noWrap w:val="0"/>
                  <w:tcMar>
                    <w:top w:w="0" w:type="dxa"/>
                    <w:left w:w="0" w:type="dxa"/>
                    <w:bottom w:w="0" w:type="dxa"/>
                    <w:right w:w="0" w:type="dxa"/>
                  </w:tcMar>
                  <w:vAlign w:val="center"/>
                </w:tcPr>
                <w:p w14:paraId="1BB6536C">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3C4BDA75">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1D6B268E">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1E685646">
              <w:trPr>
                <w:trHeight w:val="397" w:hRule="atLeast"/>
                <w:jc w:val="center"/>
              </w:trPr>
              <w:tc>
                <w:tcPr>
                  <w:tcW w:w="315" w:type="pct"/>
                  <w:noWrap w:val="0"/>
                  <w:tcMar>
                    <w:top w:w="0" w:type="dxa"/>
                    <w:left w:w="0" w:type="dxa"/>
                    <w:bottom w:w="0" w:type="dxa"/>
                    <w:right w:w="0" w:type="dxa"/>
                  </w:tcMar>
                  <w:vAlign w:val="center"/>
                </w:tcPr>
                <w:p w14:paraId="77B821CD">
                  <w:pPr>
                    <w:numPr>
                      <w:ilvl w:val="0"/>
                      <w:numId w:val="18"/>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195EB7A8">
                  <w:pPr>
                    <w:jc w:val="center"/>
                    <w:rPr>
                      <w:rFonts w:hint="eastAsia"/>
                      <w:color w:val="auto"/>
                      <w:szCs w:val="21"/>
                    </w:rPr>
                  </w:pPr>
                </w:p>
              </w:tc>
              <w:tc>
                <w:tcPr>
                  <w:tcW w:w="604" w:type="pct"/>
                  <w:noWrap w:val="0"/>
                  <w:tcMar>
                    <w:top w:w="0" w:type="dxa"/>
                    <w:left w:w="0" w:type="dxa"/>
                    <w:bottom w:w="0" w:type="dxa"/>
                    <w:right w:w="0" w:type="dxa"/>
                  </w:tcMar>
                  <w:vAlign w:val="center"/>
                </w:tcPr>
                <w:p w14:paraId="36FA986F">
                  <w:pPr>
                    <w:jc w:val="center"/>
                    <w:rPr>
                      <w:rFonts w:hint="eastAsia"/>
                      <w:color w:val="auto"/>
                      <w:szCs w:val="21"/>
                    </w:rPr>
                  </w:pPr>
                </w:p>
              </w:tc>
              <w:tc>
                <w:tcPr>
                  <w:tcW w:w="773" w:type="pct"/>
                  <w:noWrap w:val="0"/>
                  <w:tcMar>
                    <w:top w:w="0" w:type="dxa"/>
                    <w:left w:w="0" w:type="dxa"/>
                    <w:bottom w:w="0" w:type="dxa"/>
                    <w:right w:w="0" w:type="dxa"/>
                  </w:tcMar>
                  <w:vAlign w:val="center"/>
                </w:tcPr>
                <w:p w14:paraId="14D0BF3A">
                  <w:pPr>
                    <w:jc w:val="center"/>
                    <w:rPr>
                      <w:rFonts w:hint="eastAsia"/>
                      <w:color w:val="auto"/>
                      <w:szCs w:val="21"/>
                    </w:rPr>
                  </w:pPr>
                </w:p>
              </w:tc>
              <w:tc>
                <w:tcPr>
                  <w:tcW w:w="666" w:type="pct"/>
                  <w:noWrap w:val="0"/>
                  <w:tcMar>
                    <w:top w:w="0" w:type="dxa"/>
                    <w:left w:w="0" w:type="dxa"/>
                    <w:bottom w:w="0" w:type="dxa"/>
                    <w:right w:w="0" w:type="dxa"/>
                  </w:tcMar>
                  <w:vAlign w:val="center"/>
                </w:tcPr>
                <w:p w14:paraId="5D75ECD9">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5EC9CDA1">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3B317735">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6D70E5A9">
              <w:trPr>
                <w:trHeight w:val="397" w:hRule="atLeast"/>
                <w:jc w:val="center"/>
              </w:trPr>
              <w:tc>
                <w:tcPr>
                  <w:tcW w:w="315" w:type="pct"/>
                  <w:noWrap w:val="0"/>
                  <w:tcMar>
                    <w:top w:w="0" w:type="dxa"/>
                    <w:left w:w="0" w:type="dxa"/>
                    <w:bottom w:w="0" w:type="dxa"/>
                    <w:right w:w="0" w:type="dxa"/>
                  </w:tcMar>
                  <w:vAlign w:val="center"/>
                </w:tcPr>
                <w:p w14:paraId="456B952C">
                  <w:pPr>
                    <w:numPr>
                      <w:ilvl w:val="0"/>
                      <w:numId w:val="18"/>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628EE831">
                  <w:pPr>
                    <w:jc w:val="center"/>
                    <w:rPr>
                      <w:rFonts w:hint="eastAsia" w:eastAsia="宋体"/>
                      <w:color w:val="auto"/>
                      <w:szCs w:val="21"/>
                      <w:lang w:val="en-US" w:eastAsia="zh-CN"/>
                    </w:rPr>
                  </w:pPr>
                </w:p>
              </w:tc>
              <w:tc>
                <w:tcPr>
                  <w:tcW w:w="604" w:type="pct"/>
                  <w:noWrap w:val="0"/>
                  <w:tcMar>
                    <w:top w:w="0" w:type="dxa"/>
                    <w:left w:w="0" w:type="dxa"/>
                    <w:bottom w:w="0" w:type="dxa"/>
                    <w:right w:w="0" w:type="dxa"/>
                  </w:tcMar>
                  <w:vAlign w:val="center"/>
                </w:tcPr>
                <w:p w14:paraId="733ECDB2">
                  <w:pPr>
                    <w:jc w:val="center"/>
                    <w:rPr>
                      <w:rFonts w:hint="eastAsia" w:eastAsia="宋体"/>
                      <w:color w:val="auto"/>
                      <w:szCs w:val="21"/>
                      <w:lang w:val="en-US" w:eastAsia="zh-CN"/>
                    </w:rPr>
                  </w:pPr>
                </w:p>
              </w:tc>
              <w:tc>
                <w:tcPr>
                  <w:tcW w:w="773" w:type="pct"/>
                  <w:noWrap w:val="0"/>
                  <w:tcMar>
                    <w:top w:w="0" w:type="dxa"/>
                    <w:left w:w="0" w:type="dxa"/>
                    <w:bottom w:w="0" w:type="dxa"/>
                    <w:right w:w="0" w:type="dxa"/>
                  </w:tcMar>
                  <w:vAlign w:val="center"/>
                </w:tcPr>
                <w:p w14:paraId="487810ED">
                  <w:pPr>
                    <w:jc w:val="center"/>
                    <w:rPr>
                      <w:rFonts w:hint="default" w:eastAsia="宋体"/>
                      <w:color w:val="auto"/>
                      <w:szCs w:val="21"/>
                      <w:lang w:val="en-US" w:eastAsia="zh-CN"/>
                    </w:rPr>
                  </w:pPr>
                </w:p>
              </w:tc>
              <w:tc>
                <w:tcPr>
                  <w:tcW w:w="666" w:type="pct"/>
                  <w:noWrap w:val="0"/>
                  <w:tcMar>
                    <w:top w:w="0" w:type="dxa"/>
                    <w:left w:w="0" w:type="dxa"/>
                    <w:bottom w:w="0" w:type="dxa"/>
                    <w:right w:w="0" w:type="dxa"/>
                  </w:tcMar>
                  <w:vAlign w:val="center"/>
                </w:tcPr>
                <w:p w14:paraId="7E17FAF9">
                  <w:pPr>
                    <w:jc w:val="center"/>
                    <w:rPr>
                      <w:rFonts w:hint="default" w:eastAsia="宋体"/>
                      <w:color w:val="auto"/>
                      <w:szCs w:val="21"/>
                      <w:lang w:val="en-US" w:eastAsia="zh-CN"/>
                    </w:rPr>
                  </w:pPr>
                </w:p>
              </w:tc>
              <w:tc>
                <w:tcPr>
                  <w:tcW w:w="855" w:type="pct"/>
                  <w:noWrap w:val="0"/>
                  <w:tcMar>
                    <w:top w:w="0" w:type="dxa"/>
                    <w:left w:w="0" w:type="dxa"/>
                    <w:bottom w:w="0" w:type="dxa"/>
                    <w:right w:w="0" w:type="dxa"/>
                  </w:tcMar>
                  <w:vAlign w:val="center"/>
                </w:tcPr>
                <w:p w14:paraId="19A30D05">
                  <w:pPr>
                    <w:jc w:val="center"/>
                    <w:rPr>
                      <w:rFonts w:hint="default" w:eastAsia="宋体"/>
                      <w:color w:val="auto"/>
                      <w:szCs w:val="21"/>
                      <w:lang w:val="en-US" w:eastAsia="zh-CN"/>
                    </w:rPr>
                  </w:pPr>
                </w:p>
              </w:tc>
              <w:tc>
                <w:tcPr>
                  <w:tcW w:w="852" w:type="pct"/>
                  <w:noWrap w:val="0"/>
                  <w:tcMar>
                    <w:top w:w="0" w:type="dxa"/>
                    <w:left w:w="0" w:type="dxa"/>
                    <w:bottom w:w="0" w:type="dxa"/>
                    <w:right w:w="0" w:type="dxa"/>
                  </w:tcMar>
                  <w:vAlign w:val="center"/>
                </w:tcPr>
                <w:p w14:paraId="1B174FA1">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56C37ACE">
              <w:trPr>
                <w:trHeight w:val="397" w:hRule="atLeast"/>
                <w:jc w:val="center"/>
              </w:trPr>
              <w:tc>
                <w:tcPr>
                  <w:tcW w:w="315" w:type="pct"/>
                  <w:noWrap w:val="0"/>
                  <w:tcMar>
                    <w:top w:w="0" w:type="dxa"/>
                    <w:left w:w="0" w:type="dxa"/>
                    <w:bottom w:w="0" w:type="dxa"/>
                    <w:right w:w="0" w:type="dxa"/>
                  </w:tcMar>
                  <w:vAlign w:val="center"/>
                </w:tcPr>
                <w:p w14:paraId="3A58B06D">
                  <w:pPr>
                    <w:numPr>
                      <w:ilvl w:val="0"/>
                      <w:numId w:val="18"/>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1FD9EC9C">
                  <w:pPr>
                    <w:jc w:val="center"/>
                    <w:rPr>
                      <w:rFonts w:hint="eastAsia"/>
                      <w:color w:val="auto"/>
                      <w:szCs w:val="21"/>
                    </w:rPr>
                  </w:pPr>
                </w:p>
              </w:tc>
              <w:tc>
                <w:tcPr>
                  <w:tcW w:w="604" w:type="pct"/>
                  <w:noWrap w:val="0"/>
                  <w:tcMar>
                    <w:top w:w="0" w:type="dxa"/>
                    <w:left w:w="0" w:type="dxa"/>
                    <w:bottom w:w="0" w:type="dxa"/>
                    <w:right w:w="0" w:type="dxa"/>
                  </w:tcMar>
                  <w:vAlign w:val="center"/>
                </w:tcPr>
                <w:p w14:paraId="770BB42B">
                  <w:pPr>
                    <w:jc w:val="center"/>
                    <w:rPr>
                      <w:rFonts w:hint="eastAsia"/>
                      <w:color w:val="auto"/>
                      <w:szCs w:val="21"/>
                    </w:rPr>
                  </w:pPr>
                </w:p>
              </w:tc>
              <w:tc>
                <w:tcPr>
                  <w:tcW w:w="773" w:type="pct"/>
                  <w:noWrap w:val="0"/>
                  <w:tcMar>
                    <w:top w:w="0" w:type="dxa"/>
                    <w:left w:w="0" w:type="dxa"/>
                    <w:bottom w:w="0" w:type="dxa"/>
                    <w:right w:w="0" w:type="dxa"/>
                  </w:tcMar>
                  <w:vAlign w:val="center"/>
                </w:tcPr>
                <w:p w14:paraId="314D699C">
                  <w:pPr>
                    <w:jc w:val="center"/>
                    <w:rPr>
                      <w:rFonts w:hint="eastAsia"/>
                      <w:color w:val="auto"/>
                      <w:szCs w:val="21"/>
                    </w:rPr>
                  </w:pPr>
                </w:p>
              </w:tc>
              <w:tc>
                <w:tcPr>
                  <w:tcW w:w="666" w:type="pct"/>
                  <w:noWrap w:val="0"/>
                  <w:tcMar>
                    <w:top w:w="0" w:type="dxa"/>
                    <w:left w:w="0" w:type="dxa"/>
                    <w:bottom w:w="0" w:type="dxa"/>
                    <w:right w:w="0" w:type="dxa"/>
                  </w:tcMar>
                  <w:vAlign w:val="center"/>
                </w:tcPr>
                <w:p w14:paraId="745D90B9">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78242858">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0BFEE9F5">
                  <w:pPr>
                    <w:keepNext w:val="0"/>
                    <w:keepLines w:val="0"/>
                    <w:suppressLineNumbers w:val="0"/>
                    <w:spacing w:before="0" w:beforeAutospacing="0" w:after="0" w:afterAutospacing="0"/>
                    <w:ind w:left="0" w:leftChars="0" w:right="0" w:rightChars="0"/>
                    <w:jc w:val="center"/>
                    <w:rPr>
                      <w:rFonts w:hint="eastAsia"/>
                      <w:color w:val="auto"/>
                      <w:szCs w:val="21"/>
                    </w:rPr>
                  </w:pPr>
                </w:p>
              </w:tc>
            </w:tr>
            <w:tr w14:paraId="541BA0FF">
              <w:trPr>
                <w:trHeight w:val="397" w:hRule="atLeast"/>
                <w:jc w:val="center"/>
              </w:trPr>
              <w:tc>
                <w:tcPr>
                  <w:tcW w:w="315" w:type="pct"/>
                  <w:noWrap w:val="0"/>
                  <w:tcMar>
                    <w:top w:w="0" w:type="dxa"/>
                    <w:left w:w="0" w:type="dxa"/>
                    <w:bottom w:w="0" w:type="dxa"/>
                    <w:right w:w="0" w:type="dxa"/>
                  </w:tcMar>
                  <w:vAlign w:val="center"/>
                </w:tcPr>
                <w:p w14:paraId="7B66F0FE">
                  <w:pPr>
                    <w:numPr>
                      <w:ilvl w:val="0"/>
                      <w:numId w:val="18"/>
                    </w:numPr>
                    <w:ind w:left="0" w:leftChars="0" w:firstLine="0" w:firstLineChars="0"/>
                    <w:jc w:val="center"/>
                    <w:rPr>
                      <w:rFonts w:hint="eastAsia"/>
                      <w:color w:val="auto"/>
                      <w:szCs w:val="21"/>
                      <w:lang w:val="en-US" w:eastAsia="zh-CN"/>
                    </w:rPr>
                  </w:pPr>
                </w:p>
              </w:tc>
              <w:tc>
                <w:tcPr>
                  <w:tcW w:w="933" w:type="pct"/>
                  <w:noWrap w:val="0"/>
                  <w:tcMar>
                    <w:top w:w="0" w:type="dxa"/>
                    <w:left w:w="0" w:type="dxa"/>
                    <w:bottom w:w="0" w:type="dxa"/>
                    <w:right w:w="0" w:type="dxa"/>
                  </w:tcMar>
                  <w:vAlign w:val="center"/>
                </w:tcPr>
                <w:p w14:paraId="521A66B9">
                  <w:pPr>
                    <w:jc w:val="center"/>
                    <w:rPr>
                      <w:rFonts w:hint="eastAsia"/>
                      <w:color w:val="auto"/>
                      <w:szCs w:val="21"/>
                    </w:rPr>
                  </w:pPr>
                </w:p>
              </w:tc>
              <w:tc>
                <w:tcPr>
                  <w:tcW w:w="604" w:type="pct"/>
                  <w:noWrap w:val="0"/>
                  <w:tcMar>
                    <w:top w:w="0" w:type="dxa"/>
                    <w:left w:w="0" w:type="dxa"/>
                    <w:bottom w:w="0" w:type="dxa"/>
                    <w:right w:w="0" w:type="dxa"/>
                  </w:tcMar>
                  <w:vAlign w:val="center"/>
                </w:tcPr>
                <w:p w14:paraId="39834716">
                  <w:pPr>
                    <w:jc w:val="center"/>
                    <w:rPr>
                      <w:rFonts w:hint="eastAsia"/>
                      <w:color w:val="auto"/>
                      <w:szCs w:val="21"/>
                    </w:rPr>
                  </w:pPr>
                </w:p>
              </w:tc>
              <w:tc>
                <w:tcPr>
                  <w:tcW w:w="773" w:type="pct"/>
                  <w:noWrap w:val="0"/>
                  <w:tcMar>
                    <w:top w:w="0" w:type="dxa"/>
                    <w:left w:w="0" w:type="dxa"/>
                    <w:bottom w:w="0" w:type="dxa"/>
                    <w:right w:w="0" w:type="dxa"/>
                  </w:tcMar>
                  <w:vAlign w:val="center"/>
                </w:tcPr>
                <w:p w14:paraId="6183DC61">
                  <w:pPr>
                    <w:jc w:val="center"/>
                    <w:rPr>
                      <w:rFonts w:hint="eastAsia" w:eastAsia="宋体"/>
                      <w:color w:val="auto"/>
                      <w:szCs w:val="21"/>
                      <w:lang w:val="en-US" w:eastAsia="zh-CN"/>
                    </w:rPr>
                  </w:pPr>
                </w:p>
              </w:tc>
              <w:tc>
                <w:tcPr>
                  <w:tcW w:w="666" w:type="pct"/>
                  <w:noWrap w:val="0"/>
                  <w:tcMar>
                    <w:top w:w="0" w:type="dxa"/>
                    <w:left w:w="0" w:type="dxa"/>
                    <w:bottom w:w="0" w:type="dxa"/>
                    <w:right w:w="0" w:type="dxa"/>
                  </w:tcMar>
                  <w:vAlign w:val="center"/>
                </w:tcPr>
                <w:p w14:paraId="35E6BDCC">
                  <w:pPr>
                    <w:jc w:val="center"/>
                    <w:rPr>
                      <w:rFonts w:hint="default"/>
                      <w:color w:val="auto"/>
                      <w:szCs w:val="21"/>
                      <w:lang w:val="en-US" w:eastAsia="zh-CN"/>
                    </w:rPr>
                  </w:pPr>
                </w:p>
              </w:tc>
              <w:tc>
                <w:tcPr>
                  <w:tcW w:w="855" w:type="pct"/>
                  <w:noWrap w:val="0"/>
                  <w:tcMar>
                    <w:top w:w="0" w:type="dxa"/>
                    <w:left w:w="0" w:type="dxa"/>
                    <w:bottom w:w="0" w:type="dxa"/>
                    <w:right w:w="0" w:type="dxa"/>
                  </w:tcMar>
                  <w:vAlign w:val="center"/>
                </w:tcPr>
                <w:p w14:paraId="6CF0633C">
                  <w:pPr>
                    <w:jc w:val="center"/>
                    <w:rPr>
                      <w:rFonts w:hint="default"/>
                      <w:color w:val="auto"/>
                      <w:szCs w:val="21"/>
                      <w:lang w:val="en-US" w:eastAsia="zh-CN"/>
                    </w:rPr>
                  </w:pPr>
                </w:p>
              </w:tc>
              <w:tc>
                <w:tcPr>
                  <w:tcW w:w="852" w:type="pct"/>
                  <w:noWrap w:val="0"/>
                  <w:tcMar>
                    <w:top w:w="0" w:type="dxa"/>
                    <w:left w:w="0" w:type="dxa"/>
                    <w:bottom w:w="0" w:type="dxa"/>
                    <w:right w:w="0" w:type="dxa"/>
                  </w:tcMar>
                  <w:vAlign w:val="center"/>
                </w:tcPr>
                <w:p w14:paraId="492878AA">
                  <w:pPr>
                    <w:keepNext w:val="0"/>
                    <w:keepLines w:val="0"/>
                    <w:suppressLineNumbers w:val="0"/>
                    <w:spacing w:before="0" w:beforeAutospacing="0" w:after="0" w:afterAutospacing="0"/>
                    <w:ind w:left="0" w:leftChars="0" w:right="0" w:rightChars="0"/>
                    <w:jc w:val="center"/>
                    <w:rPr>
                      <w:rFonts w:hint="eastAsia"/>
                      <w:color w:val="auto"/>
                      <w:szCs w:val="21"/>
                    </w:rPr>
                  </w:pPr>
                </w:p>
              </w:tc>
            </w:tr>
          </w:tbl>
          <w:p w14:paraId="62AD3A05">
            <w:pPr>
              <w:pStyle w:val="16"/>
              <w:keepNext w:val="0"/>
              <w:keepLines w:val="0"/>
              <w:pageBreakBefore w:val="0"/>
              <w:widowControl w:val="0"/>
              <w:kinsoku/>
              <w:wordWrap/>
              <w:overflowPunct/>
              <w:topLinePunct w:val="0"/>
              <w:autoSpaceDE/>
              <w:autoSpaceDN/>
              <w:bidi w:val="0"/>
              <w:adjustRightInd/>
              <w:snapToGrid/>
              <w:spacing w:after="0" w:line="360" w:lineRule="auto"/>
              <w:ind w:left="0" w:leftChars="0" w:firstLine="422"/>
              <w:jc w:val="both"/>
              <w:textAlignment w:val="auto"/>
              <w:rPr>
                <w:rFonts w:hint="eastAsia" w:ascii="Times New Roman" w:hAnsi="Times New Roman" w:eastAsia="宋体" w:cs="Times New Roman"/>
                <w:b/>
                <w:bCs/>
                <w:color w:val="auto"/>
                <w:sz w:val="21"/>
                <w:szCs w:val="21"/>
                <w:lang w:val="en-US" w:eastAsia="zh-CN"/>
              </w:rPr>
            </w:pPr>
            <w:r>
              <w:rPr>
                <w:rFonts w:hint="eastAsia"/>
                <w:b w:val="0"/>
                <w:bCs w:val="0"/>
                <w:color w:val="auto"/>
                <w:sz w:val="24"/>
                <w:szCs w:val="24"/>
                <w:lang w:val="en-US" w:eastAsia="zh-CN"/>
              </w:rPr>
              <w:t>项目主要原辅材料理化性质见下表。</w:t>
            </w:r>
          </w:p>
          <w:p w14:paraId="55785AD2">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b/>
                <w:bCs/>
                <w:color w:val="auto"/>
                <w:sz w:val="21"/>
                <w:szCs w:val="21"/>
                <w:lang w:val="en-US" w:eastAsia="zh-CN"/>
              </w:rPr>
            </w:pPr>
          </w:p>
          <w:p w14:paraId="4FC515B2">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b/>
                <w:bCs/>
                <w:color w:val="auto"/>
                <w:sz w:val="21"/>
                <w:szCs w:val="21"/>
                <w:lang w:val="en-US" w:eastAsia="zh-CN"/>
              </w:rPr>
            </w:pPr>
          </w:p>
          <w:p w14:paraId="65481B0E">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b/>
                <w:bCs/>
                <w:color w:val="auto"/>
                <w:sz w:val="21"/>
                <w:szCs w:val="21"/>
                <w:lang w:val="en-US" w:eastAsia="zh-CN"/>
              </w:rPr>
            </w:pPr>
          </w:p>
          <w:p w14:paraId="4B77B742">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b/>
                <w:bCs/>
                <w:color w:val="auto"/>
                <w:sz w:val="21"/>
                <w:szCs w:val="21"/>
                <w:lang w:val="en-US" w:eastAsia="zh-CN"/>
              </w:rPr>
            </w:pPr>
          </w:p>
          <w:p w14:paraId="730B6144">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b/>
                <w:bCs/>
                <w:color w:val="auto"/>
                <w:sz w:val="21"/>
                <w:szCs w:val="21"/>
                <w:lang w:val="en-US" w:eastAsia="zh-CN"/>
              </w:rPr>
            </w:pPr>
          </w:p>
          <w:p w14:paraId="6458082D">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b/>
                <w:bCs/>
                <w:color w:val="auto"/>
                <w:sz w:val="21"/>
                <w:szCs w:val="21"/>
                <w:lang w:val="en-US" w:eastAsia="zh-CN"/>
              </w:rPr>
            </w:pPr>
          </w:p>
          <w:p w14:paraId="15543575">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b/>
                <w:bCs/>
                <w:color w:val="auto"/>
                <w:sz w:val="21"/>
                <w:szCs w:val="21"/>
                <w:lang w:val="en-US" w:eastAsia="zh-CN"/>
              </w:rPr>
            </w:pPr>
          </w:p>
          <w:p w14:paraId="11943F38">
            <w:pPr>
              <w:pStyle w:val="17"/>
              <w:rPr>
                <w:rFonts w:hint="eastAsia" w:ascii="Times New Roman" w:hAnsi="Times New Roman" w:eastAsia="宋体" w:cs="Times New Roman"/>
                <w:b/>
                <w:bCs/>
                <w:color w:val="auto"/>
                <w:sz w:val="21"/>
                <w:szCs w:val="21"/>
                <w:lang w:val="en-US" w:eastAsia="zh-CN"/>
              </w:rPr>
            </w:pPr>
          </w:p>
          <w:p w14:paraId="2231978D">
            <w:pPr>
              <w:pStyle w:val="17"/>
              <w:rPr>
                <w:rFonts w:hint="eastAsia" w:ascii="Times New Roman" w:hAnsi="Times New Roman" w:eastAsia="宋体" w:cs="Times New Roman"/>
                <w:b/>
                <w:bCs/>
                <w:color w:val="auto"/>
                <w:sz w:val="21"/>
                <w:szCs w:val="21"/>
                <w:lang w:val="en-US" w:eastAsia="zh-CN"/>
              </w:rPr>
            </w:pPr>
          </w:p>
          <w:p w14:paraId="24AAE0CC">
            <w:pPr>
              <w:pStyle w:val="17"/>
              <w:ind w:left="0" w:leftChars="0" w:firstLine="0" w:firstLineChars="0"/>
              <w:rPr>
                <w:rFonts w:hint="eastAsia" w:ascii="Times New Roman" w:hAnsi="Times New Roman" w:eastAsia="宋体" w:cs="Times New Roman"/>
                <w:b/>
                <w:bCs/>
                <w:color w:val="auto"/>
                <w:sz w:val="21"/>
                <w:szCs w:val="21"/>
                <w:lang w:val="en-US" w:eastAsia="zh-CN"/>
              </w:rPr>
            </w:pPr>
          </w:p>
          <w:p w14:paraId="4AC1C1E3">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b/>
                <w:bCs/>
                <w:color w:val="auto"/>
                <w:sz w:val="21"/>
                <w:szCs w:val="21"/>
                <w:lang w:val="en-US" w:eastAsia="zh-CN"/>
              </w:rPr>
            </w:pPr>
          </w:p>
          <w:p w14:paraId="33E39A7B">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b/>
                <w:bCs/>
                <w:color w:val="auto"/>
                <w:lang w:val="en-US" w:eastAsia="zh-CN"/>
              </w:rPr>
            </w:pPr>
            <w:r>
              <w:rPr>
                <w:rFonts w:hint="eastAsia" w:ascii="Times New Roman" w:hAnsi="Times New Roman" w:eastAsia="宋体" w:cs="Times New Roman"/>
                <w:b/>
                <w:bCs/>
                <w:color w:val="auto"/>
                <w:sz w:val="21"/>
                <w:szCs w:val="21"/>
                <w:lang w:val="en-US" w:eastAsia="zh-CN"/>
              </w:rPr>
              <w:t>表2-</w:t>
            </w:r>
            <w:r>
              <w:rPr>
                <w:rFonts w:hint="eastAsia" w:cs="Times New Roman"/>
                <w:b/>
                <w:bCs/>
                <w:color w:val="auto"/>
                <w:sz w:val="21"/>
                <w:szCs w:val="21"/>
                <w:lang w:val="en-US" w:eastAsia="zh-CN"/>
              </w:rPr>
              <w:t xml:space="preserve">6  </w:t>
            </w:r>
            <w:r>
              <w:rPr>
                <w:rFonts w:hint="eastAsia" w:ascii="Times New Roman" w:hAnsi="Times New Roman" w:eastAsia="宋体" w:cs="Times New Roman"/>
                <w:b/>
                <w:bCs/>
                <w:color w:val="auto"/>
                <w:sz w:val="21"/>
                <w:szCs w:val="21"/>
                <w:lang w:val="en-US" w:eastAsia="zh-CN"/>
              </w:rPr>
              <w:t>项目主要原辅材料理化性质</w:t>
            </w:r>
          </w:p>
          <w:tbl>
            <w:tblPr>
              <w:tblStyle w:val="2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6"/>
              <w:gridCol w:w="716"/>
              <w:gridCol w:w="736"/>
              <w:gridCol w:w="4644"/>
              <w:gridCol w:w="689"/>
              <w:gridCol w:w="1186"/>
            </w:tblGrid>
            <w:tr w14:paraId="28E04777">
              <w:trPr>
                <w:trHeight w:val="397" w:hRule="atLeast"/>
              </w:trPr>
              <w:tc>
                <w:tcPr>
                  <w:tcW w:w="265" w:type="pct"/>
                  <w:noWrap w:val="0"/>
                  <w:vAlign w:val="center"/>
                </w:tcPr>
                <w:p w14:paraId="1FE5E45A">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r>
                    <w:rPr>
                      <w:rFonts w:ascii="Times New Roman" w:hAnsi="Times New Roman" w:eastAsia="宋体"/>
                      <w:color w:val="auto"/>
                      <w:sz w:val="21"/>
                    </w:rPr>
                    <w:t>序号</w:t>
                  </w:r>
                </w:p>
              </w:tc>
              <w:tc>
                <w:tcPr>
                  <w:tcW w:w="425" w:type="pct"/>
                  <w:noWrap w:val="0"/>
                  <w:vAlign w:val="center"/>
                </w:tcPr>
                <w:p w14:paraId="426D26D3">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r>
                    <w:rPr>
                      <w:rFonts w:ascii="Times New Roman" w:hAnsi="Times New Roman" w:eastAsia="宋体"/>
                      <w:color w:val="auto"/>
                      <w:sz w:val="21"/>
                    </w:rPr>
                    <w:t>名称</w:t>
                  </w:r>
                </w:p>
              </w:tc>
              <w:tc>
                <w:tcPr>
                  <w:tcW w:w="437" w:type="pct"/>
                  <w:noWrap w:val="0"/>
                  <w:vAlign w:val="center"/>
                </w:tcPr>
                <w:p w14:paraId="68903AFF">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r>
                    <w:rPr>
                      <w:rFonts w:ascii="Times New Roman" w:hAnsi="Times New Roman" w:eastAsia="宋体"/>
                      <w:color w:val="auto"/>
                      <w:sz w:val="21"/>
                    </w:rPr>
                    <w:t>形态</w:t>
                  </w:r>
                </w:p>
              </w:tc>
              <w:tc>
                <w:tcPr>
                  <w:tcW w:w="2757" w:type="pct"/>
                  <w:noWrap w:val="0"/>
                  <w:vAlign w:val="center"/>
                </w:tcPr>
                <w:p w14:paraId="549D1823">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r>
                    <w:rPr>
                      <w:rFonts w:ascii="Times New Roman" w:hAnsi="Times New Roman" w:eastAsia="宋体"/>
                      <w:color w:val="auto"/>
                      <w:sz w:val="21"/>
                    </w:rPr>
                    <w:t>理化性质</w:t>
                  </w:r>
                </w:p>
              </w:tc>
              <w:tc>
                <w:tcPr>
                  <w:tcW w:w="409" w:type="pct"/>
                  <w:noWrap w:val="0"/>
                  <w:vAlign w:val="center"/>
                </w:tcPr>
                <w:p w14:paraId="5EFF9356">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r>
                    <w:rPr>
                      <w:rFonts w:ascii="Times New Roman" w:hAnsi="Times New Roman" w:eastAsia="宋体"/>
                      <w:color w:val="auto"/>
                      <w:sz w:val="21"/>
                    </w:rPr>
                    <w:t>燃烧爆炸性</w:t>
                  </w:r>
                </w:p>
              </w:tc>
              <w:tc>
                <w:tcPr>
                  <w:tcW w:w="704" w:type="pct"/>
                  <w:noWrap w:val="0"/>
                  <w:vAlign w:val="center"/>
                </w:tcPr>
                <w:p w14:paraId="527CBB60">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r>
                    <w:rPr>
                      <w:rFonts w:ascii="Times New Roman" w:hAnsi="Times New Roman" w:eastAsia="宋体"/>
                      <w:color w:val="auto"/>
                      <w:sz w:val="21"/>
                    </w:rPr>
                    <w:t>毒性毒理</w:t>
                  </w:r>
                </w:p>
              </w:tc>
            </w:tr>
            <w:tr w14:paraId="675DBE05">
              <w:trPr>
                <w:trHeight w:val="397" w:hRule="atLeast"/>
              </w:trPr>
              <w:tc>
                <w:tcPr>
                  <w:tcW w:w="265" w:type="pct"/>
                  <w:noWrap w:val="0"/>
                  <w:vAlign w:val="center"/>
                </w:tcPr>
                <w:p w14:paraId="067C8B82">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r>
                    <w:rPr>
                      <w:rFonts w:ascii="Times New Roman" w:hAnsi="Times New Roman" w:eastAsia="宋体"/>
                      <w:color w:val="auto"/>
                      <w:sz w:val="21"/>
                    </w:rPr>
                    <w:t>1</w:t>
                  </w:r>
                </w:p>
              </w:tc>
              <w:tc>
                <w:tcPr>
                  <w:tcW w:w="425" w:type="pct"/>
                  <w:noWrap w:val="0"/>
                  <w:vAlign w:val="center"/>
                </w:tcPr>
                <w:p w14:paraId="523550AA">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p>
                <w:p w14:paraId="43613FF5">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p>
                <w:p w14:paraId="66AB79FA">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p>
                <w:p w14:paraId="39477717">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p>
                <w:p w14:paraId="5AF125A1">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p>
                <w:p w14:paraId="76371277">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p>
                <w:p w14:paraId="00AC9214">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p>
                <w:p w14:paraId="277533F3">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p>
                <w:p w14:paraId="4F85DC9D">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p>
              </w:tc>
              <w:tc>
                <w:tcPr>
                  <w:tcW w:w="437" w:type="pct"/>
                  <w:noWrap w:val="0"/>
                  <w:vAlign w:val="center"/>
                </w:tcPr>
                <w:p w14:paraId="01B4656A">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p>
              </w:tc>
              <w:tc>
                <w:tcPr>
                  <w:tcW w:w="2757" w:type="pct"/>
                  <w:noWrap w:val="0"/>
                  <w:vAlign w:val="center"/>
                </w:tcPr>
                <w:p w14:paraId="65F23447">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p>
              </w:tc>
              <w:tc>
                <w:tcPr>
                  <w:tcW w:w="409" w:type="pct"/>
                  <w:noWrap w:val="0"/>
                  <w:vAlign w:val="center"/>
                </w:tcPr>
                <w:p w14:paraId="5D23FAB5">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p>
              </w:tc>
              <w:tc>
                <w:tcPr>
                  <w:tcW w:w="704" w:type="pct"/>
                  <w:noWrap w:val="0"/>
                  <w:vAlign w:val="center"/>
                </w:tcPr>
                <w:p w14:paraId="61A7D0AE">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eastAsia" w:ascii="Times New Roman" w:hAnsi="Times New Roman" w:eastAsia="宋体"/>
                      <w:color w:val="auto"/>
                      <w:sz w:val="21"/>
                      <w:lang w:eastAsia="zh-CN"/>
                    </w:rPr>
                  </w:pPr>
                </w:p>
              </w:tc>
            </w:tr>
            <w:tr w14:paraId="3EA63D7A">
              <w:trPr>
                <w:trHeight w:val="397" w:hRule="atLeast"/>
              </w:trPr>
              <w:tc>
                <w:tcPr>
                  <w:tcW w:w="265" w:type="pct"/>
                  <w:noWrap w:val="0"/>
                  <w:vAlign w:val="center"/>
                </w:tcPr>
                <w:p w14:paraId="7B4B43C2">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r>
                    <w:rPr>
                      <w:rFonts w:ascii="Times New Roman" w:hAnsi="Times New Roman" w:eastAsia="宋体"/>
                      <w:color w:val="auto"/>
                      <w:sz w:val="21"/>
                    </w:rPr>
                    <w:t>2</w:t>
                  </w:r>
                </w:p>
              </w:tc>
              <w:tc>
                <w:tcPr>
                  <w:tcW w:w="425" w:type="pct"/>
                  <w:noWrap w:val="0"/>
                  <w:vAlign w:val="center"/>
                </w:tcPr>
                <w:p w14:paraId="20B2937C">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p>
                <w:p w14:paraId="5D647F7E">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p>
                <w:p w14:paraId="55C832D1">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p>
                <w:p w14:paraId="7F1847D9">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p>
                <w:p w14:paraId="255923A5">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p>
              </w:tc>
              <w:tc>
                <w:tcPr>
                  <w:tcW w:w="437" w:type="pct"/>
                  <w:noWrap w:val="0"/>
                  <w:vAlign w:val="center"/>
                </w:tcPr>
                <w:p w14:paraId="0BCC232D">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p>
              </w:tc>
              <w:tc>
                <w:tcPr>
                  <w:tcW w:w="2757" w:type="pct"/>
                  <w:noWrap w:val="0"/>
                  <w:vAlign w:val="center"/>
                </w:tcPr>
                <w:p w14:paraId="43071862">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p>
              </w:tc>
              <w:tc>
                <w:tcPr>
                  <w:tcW w:w="409" w:type="pct"/>
                  <w:noWrap w:val="0"/>
                  <w:vAlign w:val="center"/>
                </w:tcPr>
                <w:p w14:paraId="482E5873">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olor w:val="auto"/>
                      <w:sz w:val="21"/>
                      <w:lang w:val="en-US" w:eastAsia="zh-CN"/>
                    </w:rPr>
                  </w:pPr>
                </w:p>
              </w:tc>
              <w:tc>
                <w:tcPr>
                  <w:tcW w:w="704" w:type="pct"/>
                  <w:noWrap w:val="0"/>
                  <w:vAlign w:val="center"/>
                </w:tcPr>
                <w:p w14:paraId="411AE815">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both"/>
                    <w:textAlignment w:val="auto"/>
                    <w:rPr>
                      <w:rFonts w:ascii="Times New Roman" w:hAnsi="Times New Roman" w:eastAsia="宋体"/>
                      <w:color w:val="auto"/>
                      <w:sz w:val="21"/>
                    </w:rPr>
                  </w:pPr>
                </w:p>
              </w:tc>
            </w:tr>
            <w:tr w14:paraId="2D972A12">
              <w:trPr>
                <w:trHeight w:val="397" w:hRule="atLeast"/>
              </w:trPr>
              <w:tc>
                <w:tcPr>
                  <w:tcW w:w="265" w:type="pct"/>
                  <w:noWrap w:val="0"/>
                  <w:vAlign w:val="center"/>
                </w:tcPr>
                <w:p w14:paraId="2B1049F9">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eastAsia" w:ascii="Times New Roman" w:hAnsi="Times New Roman" w:eastAsia="宋体"/>
                      <w:color w:val="auto"/>
                      <w:sz w:val="21"/>
                      <w:lang w:eastAsia="zh-CN"/>
                    </w:rPr>
                  </w:pPr>
                  <w:r>
                    <w:rPr>
                      <w:rFonts w:hint="eastAsia" w:ascii="Times New Roman" w:hAnsi="Times New Roman" w:eastAsia="宋体"/>
                      <w:color w:val="auto"/>
                      <w:sz w:val="21"/>
                      <w:lang w:val="en-US" w:eastAsia="zh-CN"/>
                    </w:rPr>
                    <w:t>3</w:t>
                  </w:r>
                </w:p>
              </w:tc>
              <w:tc>
                <w:tcPr>
                  <w:tcW w:w="425" w:type="pct"/>
                  <w:noWrap w:val="0"/>
                  <w:vAlign w:val="center"/>
                </w:tcPr>
                <w:p w14:paraId="60C2D57E">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p>
                <w:p w14:paraId="7FA357CF">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p>
                <w:p w14:paraId="70E7EB0B">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p>
                <w:p w14:paraId="27035D64">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p>
                <w:p w14:paraId="38DB1EC8">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p>
                <w:p w14:paraId="5F6A7501">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p>
                <w:p w14:paraId="68247783">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p>
                <w:p w14:paraId="1F005288">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p>
                <w:p w14:paraId="6E5C071E">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p>
                <w:p w14:paraId="5E25947C">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p>
              </w:tc>
              <w:tc>
                <w:tcPr>
                  <w:tcW w:w="437" w:type="pct"/>
                  <w:noWrap w:val="0"/>
                  <w:vAlign w:val="center"/>
                </w:tcPr>
                <w:p w14:paraId="39A9210F">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p>
              </w:tc>
              <w:tc>
                <w:tcPr>
                  <w:tcW w:w="2757" w:type="pct"/>
                  <w:noWrap w:val="0"/>
                  <w:vAlign w:val="center"/>
                </w:tcPr>
                <w:p w14:paraId="6393CCAC">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p>
              </w:tc>
              <w:tc>
                <w:tcPr>
                  <w:tcW w:w="409" w:type="pct"/>
                  <w:noWrap w:val="0"/>
                  <w:vAlign w:val="center"/>
                </w:tcPr>
                <w:p w14:paraId="1CAE8E6B">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p>
              </w:tc>
              <w:tc>
                <w:tcPr>
                  <w:tcW w:w="704" w:type="pct"/>
                  <w:noWrap w:val="0"/>
                  <w:vAlign w:val="center"/>
                </w:tcPr>
                <w:p w14:paraId="1259F26F">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both"/>
                    <w:textAlignment w:val="auto"/>
                    <w:rPr>
                      <w:rFonts w:hint="eastAsia" w:ascii="Times New Roman" w:hAnsi="Times New Roman" w:eastAsia="宋体"/>
                      <w:color w:val="auto"/>
                      <w:sz w:val="21"/>
                      <w:lang w:eastAsia="zh-CN"/>
                    </w:rPr>
                  </w:pPr>
                </w:p>
              </w:tc>
            </w:tr>
            <w:tr w14:paraId="4BF66355">
              <w:trPr>
                <w:trHeight w:val="397" w:hRule="atLeast"/>
              </w:trPr>
              <w:tc>
                <w:tcPr>
                  <w:tcW w:w="265" w:type="pct"/>
                  <w:noWrap w:val="0"/>
                  <w:vAlign w:val="center"/>
                </w:tcPr>
                <w:p w14:paraId="1654FADE">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eastAsia" w:ascii="Times New Roman" w:hAnsi="Times New Roman" w:eastAsia="宋体"/>
                      <w:color w:val="auto"/>
                      <w:sz w:val="21"/>
                      <w:lang w:eastAsia="zh-CN"/>
                    </w:rPr>
                  </w:pPr>
                  <w:r>
                    <w:rPr>
                      <w:rFonts w:hint="eastAsia" w:ascii="Times New Roman" w:hAnsi="Times New Roman" w:eastAsia="宋体"/>
                      <w:color w:val="auto"/>
                      <w:sz w:val="21"/>
                      <w:lang w:val="en-US" w:eastAsia="zh-CN"/>
                    </w:rPr>
                    <w:t>4</w:t>
                  </w:r>
                </w:p>
              </w:tc>
              <w:tc>
                <w:tcPr>
                  <w:tcW w:w="425" w:type="pct"/>
                  <w:noWrap w:val="0"/>
                  <w:vAlign w:val="center"/>
                </w:tcPr>
                <w:p w14:paraId="068E1E3A">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p>
                <w:p w14:paraId="2FE8F9FE">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p>
                <w:p w14:paraId="6FDE9188">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p>
                <w:p w14:paraId="29316363">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p>
                <w:p w14:paraId="55F08495">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p>
                <w:p w14:paraId="4001D9C9">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p>
              </w:tc>
              <w:tc>
                <w:tcPr>
                  <w:tcW w:w="437" w:type="pct"/>
                  <w:noWrap w:val="0"/>
                  <w:vAlign w:val="center"/>
                </w:tcPr>
                <w:p w14:paraId="46618C5C">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p>
              </w:tc>
              <w:tc>
                <w:tcPr>
                  <w:tcW w:w="2757" w:type="pct"/>
                  <w:noWrap w:val="0"/>
                  <w:vAlign w:val="center"/>
                </w:tcPr>
                <w:p w14:paraId="521AD0E3">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p>
              </w:tc>
              <w:tc>
                <w:tcPr>
                  <w:tcW w:w="409" w:type="pct"/>
                  <w:noWrap w:val="0"/>
                  <w:vAlign w:val="center"/>
                </w:tcPr>
                <w:p w14:paraId="4E66114C">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p>
              </w:tc>
              <w:tc>
                <w:tcPr>
                  <w:tcW w:w="704" w:type="pct"/>
                  <w:noWrap w:val="0"/>
                  <w:vAlign w:val="center"/>
                </w:tcPr>
                <w:p w14:paraId="3C57268D">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eastAsia" w:ascii="Times New Roman" w:hAnsi="Times New Roman" w:eastAsia="宋体"/>
                      <w:color w:val="auto"/>
                      <w:sz w:val="21"/>
                      <w:lang w:eastAsia="zh-CN"/>
                    </w:rPr>
                  </w:pPr>
                </w:p>
              </w:tc>
            </w:tr>
            <w:tr w14:paraId="7528980A">
              <w:trPr>
                <w:trHeight w:val="397" w:hRule="atLeast"/>
              </w:trPr>
              <w:tc>
                <w:tcPr>
                  <w:tcW w:w="265" w:type="pct"/>
                  <w:noWrap w:val="0"/>
                  <w:vAlign w:val="center"/>
                </w:tcPr>
                <w:p w14:paraId="34E52398">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5</w:t>
                  </w:r>
                </w:p>
              </w:tc>
              <w:tc>
                <w:tcPr>
                  <w:tcW w:w="425" w:type="pct"/>
                  <w:noWrap w:val="0"/>
                  <w:vAlign w:val="center"/>
                </w:tcPr>
                <w:p w14:paraId="6D43E94F">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p>
                <w:p w14:paraId="308788D4">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p>
                <w:p w14:paraId="450AE373">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p>
                <w:p w14:paraId="51276AA9">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p>
              </w:tc>
              <w:tc>
                <w:tcPr>
                  <w:tcW w:w="437" w:type="pct"/>
                  <w:noWrap w:val="0"/>
                  <w:vAlign w:val="center"/>
                </w:tcPr>
                <w:p w14:paraId="5736D42A">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olor w:val="auto"/>
                      <w:sz w:val="21"/>
                      <w:lang w:val="en-US" w:eastAsia="zh-CN"/>
                    </w:rPr>
                  </w:pPr>
                </w:p>
              </w:tc>
              <w:tc>
                <w:tcPr>
                  <w:tcW w:w="2757" w:type="pct"/>
                  <w:noWrap w:val="0"/>
                  <w:vAlign w:val="center"/>
                </w:tcPr>
                <w:p w14:paraId="0AB94277">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eastAsia" w:ascii="Times New Roman" w:hAnsi="Times New Roman" w:eastAsia="宋体"/>
                      <w:color w:val="auto"/>
                      <w:sz w:val="21"/>
                      <w:lang w:val="en-US" w:eastAsia="zh-CN"/>
                    </w:rPr>
                  </w:pPr>
                </w:p>
              </w:tc>
              <w:tc>
                <w:tcPr>
                  <w:tcW w:w="409" w:type="pct"/>
                  <w:noWrap w:val="0"/>
                  <w:vAlign w:val="center"/>
                </w:tcPr>
                <w:p w14:paraId="7ECC7DF4">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olor w:val="auto"/>
                      <w:sz w:val="21"/>
                      <w:lang w:val="en-US" w:eastAsia="zh-CN"/>
                    </w:rPr>
                  </w:pPr>
                </w:p>
              </w:tc>
              <w:tc>
                <w:tcPr>
                  <w:tcW w:w="704" w:type="pct"/>
                  <w:noWrap w:val="0"/>
                  <w:vAlign w:val="center"/>
                </w:tcPr>
                <w:p w14:paraId="4337F706">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eastAsia" w:ascii="Times New Roman" w:hAnsi="Times New Roman" w:eastAsia="宋体"/>
                      <w:color w:val="auto"/>
                      <w:sz w:val="21"/>
                      <w:lang w:val="en-US" w:eastAsia="zh-CN"/>
                    </w:rPr>
                  </w:pPr>
                </w:p>
              </w:tc>
            </w:tr>
            <w:tr w14:paraId="08742CE1">
              <w:trPr>
                <w:trHeight w:val="397" w:hRule="atLeast"/>
              </w:trPr>
              <w:tc>
                <w:tcPr>
                  <w:tcW w:w="265" w:type="pct"/>
                  <w:noWrap w:val="0"/>
                  <w:vAlign w:val="center"/>
                </w:tcPr>
                <w:p w14:paraId="4146A0C5">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6</w:t>
                  </w:r>
                </w:p>
              </w:tc>
              <w:tc>
                <w:tcPr>
                  <w:tcW w:w="425" w:type="pct"/>
                  <w:noWrap w:val="0"/>
                  <w:vAlign w:val="center"/>
                </w:tcPr>
                <w:p w14:paraId="1E79C358">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p>
                <w:p w14:paraId="1E6A4C22">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p>
                <w:p w14:paraId="4650DA88">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p>
                <w:p w14:paraId="69AD667F">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ascii="Times New Roman" w:hAnsi="Times New Roman" w:eastAsia="宋体"/>
                      <w:color w:val="auto"/>
                      <w:sz w:val="21"/>
                    </w:rPr>
                  </w:pPr>
                </w:p>
              </w:tc>
              <w:tc>
                <w:tcPr>
                  <w:tcW w:w="437" w:type="pct"/>
                  <w:noWrap w:val="0"/>
                  <w:vAlign w:val="center"/>
                </w:tcPr>
                <w:p w14:paraId="788FA367">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eastAsia" w:ascii="Times New Roman" w:hAnsi="Times New Roman" w:eastAsia="宋体"/>
                      <w:color w:val="auto"/>
                      <w:sz w:val="21"/>
                      <w:lang w:val="en-US" w:eastAsia="zh-CN"/>
                    </w:rPr>
                  </w:pPr>
                </w:p>
              </w:tc>
              <w:tc>
                <w:tcPr>
                  <w:tcW w:w="2757" w:type="pct"/>
                  <w:noWrap w:val="0"/>
                  <w:vAlign w:val="center"/>
                </w:tcPr>
                <w:p w14:paraId="5C044440">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olor w:val="auto"/>
                      <w:sz w:val="21"/>
                      <w:lang w:val="en-US" w:eastAsia="zh-CN"/>
                    </w:rPr>
                  </w:pPr>
                </w:p>
              </w:tc>
              <w:tc>
                <w:tcPr>
                  <w:tcW w:w="409" w:type="pct"/>
                  <w:noWrap w:val="0"/>
                  <w:vAlign w:val="center"/>
                </w:tcPr>
                <w:p w14:paraId="08DE598D">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eastAsia" w:ascii="Times New Roman" w:hAnsi="Times New Roman" w:eastAsia="宋体"/>
                      <w:color w:val="auto"/>
                      <w:sz w:val="21"/>
                      <w:lang w:val="en-US" w:eastAsia="zh-CN"/>
                    </w:rPr>
                  </w:pPr>
                </w:p>
              </w:tc>
              <w:tc>
                <w:tcPr>
                  <w:tcW w:w="704" w:type="pct"/>
                  <w:noWrap w:val="0"/>
                  <w:vAlign w:val="center"/>
                </w:tcPr>
                <w:p w14:paraId="47DDF47B">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eastAsia" w:ascii="Times New Roman" w:hAnsi="Times New Roman" w:eastAsia="宋体"/>
                      <w:color w:val="auto"/>
                      <w:sz w:val="21"/>
                      <w:lang w:val="en-US" w:eastAsia="zh-CN"/>
                    </w:rPr>
                  </w:pPr>
                </w:p>
              </w:tc>
            </w:tr>
            <w:tr w14:paraId="308CBEAE">
              <w:trPr>
                <w:trHeight w:val="397" w:hRule="atLeast"/>
              </w:trPr>
              <w:tc>
                <w:tcPr>
                  <w:tcW w:w="265" w:type="pct"/>
                  <w:noWrap w:val="0"/>
                  <w:vAlign w:val="center"/>
                </w:tcPr>
                <w:p w14:paraId="74A2283C">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7</w:t>
                  </w:r>
                </w:p>
              </w:tc>
              <w:tc>
                <w:tcPr>
                  <w:tcW w:w="425" w:type="pct"/>
                  <w:noWrap w:val="0"/>
                  <w:vAlign w:val="center"/>
                </w:tcPr>
                <w:p w14:paraId="112DD3BB">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eastAsia" w:ascii="Times New Roman" w:hAnsi="Times New Roman" w:eastAsia="宋体"/>
                      <w:color w:val="auto"/>
                      <w:sz w:val="21"/>
                    </w:rPr>
                  </w:pPr>
                </w:p>
                <w:p w14:paraId="23B08C05">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eastAsia" w:ascii="Times New Roman" w:hAnsi="Times New Roman" w:eastAsia="宋体"/>
                      <w:color w:val="auto"/>
                      <w:sz w:val="21"/>
                    </w:rPr>
                  </w:pPr>
                </w:p>
                <w:p w14:paraId="18950E64">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eastAsia" w:ascii="Times New Roman" w:hAnsi="Times New Roman" w:eastAsia="宋体"/>
                      <w:color w:val="auto"/>
                      <w:sz w:val="21"/>
                    </w:rPr>
                  </w:pPr>
                </w:p>
                <w:p w14:paraId="36934495">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eastAsia" w:ascii="Times New Roman" w:hAnsi="Times New Roman" w:eastAsia="宋体"/>
                      <w:color w:val="auto"/>
                      <w:sz w:val="21"/>
                    </w:rPr>
                  </w:pPr>
                </w:p>
                <w:p w14:paraId="119CD981">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eastAsia" w:ascii="Times New Roman" w:hAnsi="Times New Roman" w:eastAsia="宋体"/>
                      <w:color w:val="auto"/>
                      <w:sz w:val="21"/>
                    </w:rPr>
                  </w:pPr>
                </w:p>
              </w:tc>
              <w:tc>
                <w:tcPr>
                  <w:tcW w:w="437" w:type="pct"/>
                  <w:noWrap w:val="0"/>
                  <w:vAlign w:val="center"/>
                </w:tcPr>
                <w:p w14:paraId="088FF6B4">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olor w:val="auto"/>
                      <w:sz w:val="21"/>
                      <w:lang w:val="en-US" w:eastAsia="zh-CN"/>
                    </w:rPr>
                  </w:pPr>
                </w:p>
              </w:tc>
              <w:tc>
                <w:tcPr>
                  <w:tcW w:w="2757" w:type="pct"/>
                  <w:noWrap w:val="0"/>
                  <w:vAlign w:val="center"/>
                </w:tcPr>
                <w:p w14:paraId="0A8D6A3A">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olor w:val="auto"/>
                      <w:sz w:val="21"/>
                      <w:lang w:val="en-US" w:eastAsia="zh-CN"/>
                    </w:rPr>
                  </w:pPr>
                </w:p>
              </w:tc>
              <w:tc>
                <w:tcPr>
                  <w:tcW w:w="409" w:type="pct"/>
                  <w:noWrap w:val="0"/>
                  <w:vAlign w:val="center"/>
                </w:tcPr>
                <w:p w14:paraId="4F83AA39">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olor w:val="auto"/>
                      <w:sz w:val="21"/>
                      <w:lang w:val="en-US" w:eastAsia="zh-CN"/>
                    </w:rPr>
                  </w:pPr>
                </w:p>
              </w:tc>
              <w:tc>
                <w:tcPr>
                  <w:tcW w:w="704" w:type="pct"/>
                  <w:noWrap w:val="0"/>
                  <w:vAlign w:val="center"/>
                </w:tcPr>
                <w:p w14:paraId="21BD9D41">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olor w:val="auto"/>
                      <w:sz w:val="21"/>
                      <w:lang w:val="en-US" w:eastAsia="zh-CN"/>
                    </w:rPr>
                  </w:pPr>
                </w:p>
              </w:tc>
            </w:tr>
            <w:tr w14:paraId="30B0048B">
              <w:trPr>
                <w:trHeight w:val="397" w:hRule="atLeast"/>
              </w:trPr>
              <w:tc>
                <w:tcPr>
                  <w:tcW w:w="265" w:type="pct"/>
                  <w:noWrap w:val="0"/>
                  <w:vAlign w:val="center"/>
                </w:tcPr>
                <w:p w14:paraId="186BC923">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olor w:val="auto"/>
                      <w:sz w:val="21"/>
                      <w:lang w:val="en-US" w:eastAsia="zh-CN"/>
                    </w:rPr>
                  </w:pPr>
                  <w:r>
                    <w:rPr>
                      <w:rFonts w:hint="eastAsia" w:ascii="Times New Roman"/>
                      <w:color w:val="auto"/>
                      <w:sz w:val="21"/>
                      <w:lang w:val="en-US" w:eastAsia="zh-CN"/>
                    </w:rPr>
                    <w:t>8</w:t>
                  </w:r>
                </w:p>
              </w:tc>
              <w:tc>
                <w:tcPr>
                  <w:tcW w:w="425" w:type="pct"/>
                  <w:noWrap w:val="0"/>
                  <w:vAlign w:val="center"/>
                </w:tcPr>
                <w:p w14:paraId="7D44B590">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eastAsia" w:ascii="Times New Roman" w:hAnsi="Times New Roman" w:eastAsia="宋体"/>
                      <w:color w:val="auto"/>
                      <w:sz w:val="21"/>
                      <w:lang w:val="en-US" w:eastAsia="zh-CN"/>
                    </w:rPr>
                  </w:pPr>
                </w:p>
                <w:p w14:paraId="344A80D7">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eastAsia" w:ascii="Times New Roman" w:hAnsi="Times New Roman" w:eastAsia="宋体"/>
                      <w:color w:val="auto"/>
                      <w:sz w:val="21"/>
                      <w:lang w:val="en-US" w:eastAsia="zh-CN"/>
                    </w:rPr>
                  </w:pPr>
                </w:p>
                <w:p w14:paraId="168A45FF">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eastAsia" w:ascii="Times New Roman" w:hAnsi="Times New Roman" w:eastAsia="宋体"/>
                      <w:color w:val="auto"/>
                      <w:sz w:val="21"/>
                      <w:lang w:val="en-US" w:eastAsia="zh-CN"/>
                    </w:rPr>
                  </w:pPr>
                </w:p>
                <w:p w14:paraId="26E41D33">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eastAsia" w:ascii="Times New Roman" w:hAnsi="Times New Roman" w:eastAsia="宋体"/>
                      <w:color w:val="auto"/>
                      <w:sz w:val="21"/>
                      <w:lang w:val="en-US" w:eastAsia="zh-CN"/>
                    </w:rPr>
                  </w:pPr>
                </w:p>
                <w:p w14:paraId="23A2B3C6">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eastAsia" w:ascii="Times New Roman" w:hAnsi="Times New Roman" w:eastAsia="宋体"/>
                      <w:color w:val="auto"/>
                      <w:sz w:val="21"/>
                      <w:lang w:val="en-US" w:eastAsia="zh-CN"/>
                    </w:rPr>
                  </w:pPr>
                </w:p>
                <w:p w14:paraId="73B903A9">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eastAsia" w:ascii="Times New Roman" w:hAnsi="Times New Roman" w:eastAsia="宋体"/>
                      <w:color w:val="auto"/>
                      <w:sz w:val="21"/>
                      <w:lang w:val="en-US" w:eastAsia="zh-CN"/>
                    </w:rPr>
                  </w:pPr>
                </w:p>
                <w:p w14:paraId="57F5E136">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eastAsia" w:ascii="Times New Roman" w:hAnsi="Times New Roman" w:eastAsia="宋体"/>
                      <w:color w:val="auto"/>
                      <w:sz w:val="21"/>
                      <w:lang w:val="en-US" w:eastAsia="zh-CN"/>
                    </w:rPr>
                  </w:pPr>
                </w:p>
                <w:p w14:paraId="3F24A6BE">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eastAsia" w:ascii="Times New Roman" w:hAnsi="Times New Roman" w:eastAsia="宋体"/>
                      <w:color w:val="auto"/>
                      <w:sz w:val="21"/>
                      <w:lang w:val="en-US" w:eastAsia="zh-CN"/>
                    </w:rPr>
                  </w:pPr>
                </w:p>
                <w:p w14:paraId="59B41EA4">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eastAsia" w:ascii="Times New Roman" w:hAnsi="Times New Roman" w:eastAsia="宋体"/>
                      <w:color w:val="auto"/>
                      <w:sz w:val="21"/>
                      <w:lang w:val="en-US" w:eastAsia="zh-CN"/>
                    </w:rPr>
                  </w:pPr>
                </w:p>
                <w:p w14:paraId="331602DC">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eastAsia" w:ascii="Times New Roman" w:hAnsi="Times New Roman" w:eastAsia="宋体"/>
                      <w:color w:val="auto"/>
                      <w:sz w:val="21"/>
                      <w:lang w:val="en-US" w:eastAsia="zh-CN"/>
                    </w:rPr>
                  </w:pPr>
                </w:p>
                <w:p w14:paraId="36F75861">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eastAsia" w:ascii="Times New Roman" w:hAnsi="Times New Roman" w:eastAsia="宋体"/>
                      <w:color w:val="auto"/>
                      <w:sz w:val="21"/>
                      <w:lang w:val="en-US" w:eastAsia="zh-CN"/>
                    </w:rPr>
                  </w:pPr>
                </w:p>
                <w:p w14:paraId="7B719BAA">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eastAsia" w:ascii="Times New Roman" w:hAnsi="Times New Roman" w:eastAsia="宋体"/>
                      <w:color w:val="auto"/>
                      <w:sz w:val="21"/>
                      <w:lang w:val="en-US" w:eastAsia="zh-CN"/>
                    </w:rPr>
                  </w:pPr>
                </w:p>
                <w:p w14:paraId="6071D7C3">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eastAsia" w:ascii="Times New Roman" w:hAnsi="Times New Roman" w:eastAsia="宋体"/>
                      <w:color w:val="auto"/>
                      <w:sz w:val="21"/>
                      <w:lang w:val="en-US" w:eastAsia="zh-CN"/>
                    </w:rPr>
                  </w:pPr>
                </w:p>
                <w:p w14:paraId="2F763A8A">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eastAsia" w:ascii="Times New Roman" w:hAnsi="Times New Roman" w:eastAsia="宋体"/>
                      <w:color w:val="auto"/>
                      <w:sz w:val="21"/>
                      <w:lang w:val="en-US" w:eastAsia="zh-CN"/>
                    </w:rPr>
                  </w:pPr>
                </w:p>
                <w:p w14:paraId="44D1874C">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eastAsia" w:ascii="Times New Roman" w:hAnsi="Times New Roman" w:eastAsia="宋体"/>
                      <w:color w:val="auto"/>
                      <w:sz w:val="21"/>
                      <w:lang w:val="en-US" w:eastAsia="zh-CN"/>
                    </w:rPr>
                  </w:pPr>
                </w:p>
                <w:p w14:paraId="31F09028">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both"/>
                    <w:textAlignment w:val="auto"/>
                    <w:rPr>
                      <w:rFonts w:hint="eastAsia" w:ascii="Times New Roman" w:hAnsi="Times New Roman" w:eastAsia="宋体"/>
                      <w:color w:val="auto"/>
                      <w:sz w:val="21"/>
                      <w:lang w:val="en-US" w:eastAsia="zh-CN"/>
                    </w:rPr>
                  </w:pPr>
                </w:p>
              </w:tc>
              <w:tc>
                <w:tcPr>
                  <w:tcW w:w="437" w:type="pct"/>
                  <w:noWrap w:val="0"/>
                  <w:vAlign w:val="center"/>
                </w:tcPr>
                <w:p w14:paraId="7E7F8FB5">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olor w:val="auto"/>
                      <w:sz w:val="21"/>
                      <w:lang w:val="en-US" w:eastAsia="zh-CN"/>
                    </w:rPr>
                  </w:pPr>
                </w:p>
              </w:tc>
              <w:tc>
                <w:tcPr>
                  <w:tcW w:w="2757" w:type="pct"/>
                  <w:noWrap w:val="0"/>
                  <w:vAlign w:val="center"/>
                </w:tcPr>
                <w:p w14:paraId="71EA973D">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eastAsia" w:ascii="Times New Roman" w:hAnsi="Times New Roman" w:eastAsia="宋体"/>
                      <w:color w:val="auto"/>
                      <w:sz w:val="21"/>
                      <w:lang w:val="en-US" w:eastAsia="zh-CN"/>
                    </w:rPr>
                  </w:pPr>
                </w:p>
              </w:tc>
              <w:tc>
                <w:tcPr>
                  <w:tcW w:w="409" w:type="pct"/>
                  <w:noWrap w:val="0"/>
                  <w:vAlign w:val="center"/>
                </w:tcPr>
                <w:p w14:paraId="69B57F42">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olor w:val="auto"/>
                      <w:sz w:val="21"/>
                      <w:lang w:val="en-US" w:eastAsia="zh-CN"/>
                    </w:rPr>
                  </w:pPr>
                </w:p>
              </w:tc>
              <w:tc>
                <w:tcPr>
                  <w:tcW w:w="704" w:type="pct"/>
                  <w:noWrap w:val="0"/>
                  <w:vAlign w:val="center"/>
                </w:tcPr>
                <w:p w14:paraId="4D579B98">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color w:val="auto"/>
                      <w:sz w:val="21"/>
                      <w:lang w:val="en-US" w:eastAsia="zh-CN"/>
                    </w:rPr>
                  </w:pPr>
                </w:p>
              </w:tc>
            </w:tr>
          </w:tbl>
          <w:p w14:paraId="6675FF91">
            <w:pPr>
              <w:pStyle w:val="16"/>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color w:val="auto"/>
              </w:rPr>
            </w:pPr>
            <w:r>
              <w:rPr>
                <w:rFonts w:hint="eastAsia"/>
                <w:color w:val="auto"/>
                <w:lang w:eastAsia="zh-CN"/>
              </w:rPr>
              <w:t>14.</w:t>
            </w:r>
            <w:r>
              <w:rPr>
                <w:rFonts w:hint="eastAsia"/>
                <w:color w:val="auto"/>
              </w:rPr>
              <w:t>水平衡分析</w:t>
            </w:r>
          </w:p>
          <w:p w14:paraId="2472F00B">
            <w:pPr>
              <w:pStyle w:val="17"/>
              <w:keepNext w:val="0"/>
              <w:keepLines w:val="0"/>
              <w:pageBreakBefore w:val="0"/>
              <w:widowControl w:val="0"/>
              <w:kinsoku/>
              <w:wordWrap/>
              <w:overflowPunct/>
              <w:topLinePunct w:val="0"/>
              <w:bidi w:val="0"/>
              <w:spacing w:line="360" w:lineRule="auto"/>
              <w:ind w:firstLine="480" w:firstLineChars="200"/>
              <w:jc w:val="both"/>
              <w:textAlignment w:val="auto"/>
              <w:rPr>
                <w:rFonts w:hint="default" w:eastAsia="宋体"/>
                <w:b w:val="0"/>
                <w:bCs/>
                <w:color w:val="auto"/>
                <w:lang w:val="en-US" w:eastAsia="zh-CN"/>
              </w:rPr>
            </w:pPr>
            <w:r>
              <w:rPr>
                <w:rFonts w:ascii="Times New Roman" w:hAnsi="Times New Roman"/>
                <w:b w:val="0"/>
                <w:bCs/>
                <w:color w:val="auto"/>
              </w:rPr>
              <w:t>本项目主要用水为</w:t>
            </w:r>
            <w:r>
              <w:rPr>
                <w:rFonts w:hint="eastAsia" w:ascii="Times New Roman" w:hAnsi="Times New Roman"/>
                <w:b w:val="0"/>
                <w:bCs/>
                <w:color w:val="auto"/>
              </w:rPr>
              <w:t>乙酸雾吸收用水、杀菌用水、设备清洗用水、车间地面冲洗用水、纯水制备系统</w:t>
            </w:r>
            <w:r>
              <w:rPr>
                <w:rFonts w:hint="eastAsia" w:ascii="Times New Roman" w:hAnsi="Times New Roman"/>
                <w:b w:val="0"/>
                <w:bCs/>
                <w:color w:val="auto"/>
                <w:lang w:val="en-US" w:eastAsia="zh-CN"/>
              </w:rPr>
              <w:t>用</w:t>
            </w:r>
            <w:r>
              <w:rPr>
                <w:rFonts w:hint="eastAsia" w:ascii="Times New Roman" w:hAnsi="Times New Roman"/>
                <w:b w:val="0"/>
                <w:bCs/>
                <w:color w:val="auto"/>
              </w:rPr>
              <w:t>水、循环冷却用水、调配用水、生活用水</w:t>
            </w:r>
            <w:r>
              <w:rPr>
                <w:rFonts w:hint="eastAsia" w:ascii="Times New Roman" w:hAnsi="Times New Roman"/>
                <w:b w:val="0"/>
                <w:bCs/>
                <w:color w:val="auto"/>
                <w:lang w:eastAsia="zh-CN"/>
              </w:rPr>
              <w:t>、</w:t>
            </w:r>
            <w:r>
              <w:rPr>
                <w:rFonts w:hint="eastAsia" w:ascii="Times New Roman" w:hAnsi="Times New Roman"/>
                <w:b w:val="0"/>
                <w:bCs/>
                <w:color w:val="auto"/>
              </w:rPr>
              <w:t>食堂用水</w:t>
            </w:r>
            <w:r>
              <w:rPr>
                <w:rFonts w:hint="eastAsia" w:ascii="Times New Roman" w:hAnsi="Times New Roman"/>
                <w:b w:val="0"/>
                <w:bCs/>
                <w:color w:val="auto"/>
                <w:lang w:eastAsia="zh-CN"/>
              </w:rPr>
              <w:t>，</w:t>
            </w:r>
            <w:r>
              <w:rPr>
                <w:rFonts w:ascii="Times New Roman" w:hAnsi="Times New Roman"/>
                <w:b w:val="0"/>
                <w:bCs/>
                <w:color w:val="auto"/>
              </w:rPr>
              <w:t>年用量为</w:t>
            </w:r>
            <w:r>
              <w:rPr>
                <w:rFonts w:hint="eastAsia" w:ascii="Times New Roman" w:hAnsi="Times New Roman"/>
                <w:b w:val="0"/>
                <w:bCs/>
                <w:color w:val="auto"/>
                <w:lang w:val="en-US" w:eastAsia="zh-CN"/>
              </w:rPr>
              <w:t>195908.4m</w:t>
            </w:r>
            <w:r>
              <w:rPr>
                <w:rFonts w:hint="eastAsia" w:ascii="Times New Roman" w:hAnsi="Times New Roman"/>
                <w:b w:val="0"/>
                <w:bCs/>
                <w:color w:val="auto"/>
                <w:vertAlign w:val="superscript"/>
                <w:lang w:val="en-US" w:eastAsia="zh-CN"/>
              </w:rPr>
              <w:t>3</w:t>
            </w:r>
            <w:r>
              <w:rPr>
                <w:rFonts w:ascii="Times New Roman" w:hAnsi="Times New Roman"/>
                <w:b w:val="0"/>
                <w:bCs/>
                <w:color w:val="auto"/>
              </w:rPr>
              <w:t>，均来自市政自来水管网</w:t>
            </w:r>
            <w:r>
              <w:rPr>
                <w:rFonts w:hint="eastAsia" w:ascii="Times New Roman" w:hAnsi="Times New Roman"/>
                <w:b w:val="0"/>
                <w:bCs/>
                <w:color w:val="auto"/>
              </w:rPr>
              <w:t>，水平衡见图2-</w:t>
            </w:r>
            <w:r>
              <w:rPr>
                <w:rFonts w:hint="eastAsia" w:ascii="Times New Roman" w:hAnsi="Times New Roman"/>
                <w:b w:val="0"/>
                <w:bCs/>
                <w:color w:val="auto"/>
                <w:lang w:val="en-US" w:eastAsia="zh-CN"/>
              </w:rPr>
              <w:t>1</w:t>
            </w:r>
            <w:r>
              <w:rPr>
                <w:rFonts w:ascii="Times New Roman" w:hAnsi="Times New Roman"/>
                <w:b w:val="0"/>
                <w:bCs/>
                <w:color w:val="auto"/>
              </w:rPr>
              <w:t>。</w:t>
            </w:r>
          </w:p>
          <w:p w14:paraId="0ED35251">
            <w:pPr>
              <w:pStyle w:val="17"/>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Times New Roman" w:hAnsi="Times New Roman" w:eastAsia="宋体" w:cs="Times New Roman"/>
                <w:b w:val="0"/>
                <w:bCs/>
                <w:color w:val="auto"/>
                <w:sz w:val="24"/>
              </w:rPr>
            </w:pPr>
            <w:r>
              <w:rPr>
                <w:rFonts w:ascii="Times New Roman" w:hAnsi="Times New Roman" w:eastAsia="宋体" w:cs="Times New Roman"/>
                <w:b w:val="0"/>
                <w:bCs/>
                <w:color w:val="auto"/>
                <w:sz w:val="24"/>
              </w:rPr>
              <w:t>（</w:t>
            </w:r>
            <w:r>
              <w:rPr>
                <w:rFonts w:hint="eastAsia" w:ascii="Times New Roman" w:hAnsi="Times New Roman" w:eastAsia="宋体" w:cs="Times New Roman"/>
                <w:b w:val="0"/>
                <w:bCs/>
                <w:color w:val="auto"/>
                <w:sz w:val="24"/>
                <w:lang w:val="en-US" w:eastAsia="zh-CN"/>
              </w:rPr>
              <w:t>1</w:t>
            </w:r>
            <w:r>
              <w:rPr>
                <w:rFonts w:ascii="Times New Roman" w:hAnsi="Times New Roman" w:eastAsia="宋体" w:cs="Times New Roman"/>
                <w:b w:val="0"/>
                <w:bCs/>
                <w:color w:val="auto"/>
                <w:sz w:val="24"/>
              </w:rPr>
              <w:t>）乙酸雾吸收用水</w:t>
            </w:r>
          </w:p>
          <w:p w14:paraId="04247A8A">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本</w:t>
            </w:r>
            <w:r>
              <w:rPr>
                <w:rFonts w:ascii="Times New Roman" w:hAnsi="Times New Roman" w:eastAsia="宋体" w:cs="Times New Roman"/>
                <w:b w:val="0"/>
                <w:bCs/>
                <w:color w:val="auto"/>
                <w:sz w:val="24"/>
              </w:rPr>
              <w:t>项目乙酸雾采用碱液喷淋进行处理，厂区配套</w:t>
            </w:r>
            <w:r>
              <w:rPr>
                <w:rFonts w:hint="eastAsia" w:cs="Times New Roman"/>
                <w:b w:val="0"/>
                <w:bCs/>
                <w:color w:val="auto"/>
                <w:sz w:val="24"/>
                <w:lang w:val="en-US" w:eastAsia="zh-CN"/>
              </w:rPr>
              <w:t>1</w:t>
            </w:r>
            <w:r>
              <w:rPr>
                <w:rFonts w:ascii="Times New Roman" w:hAnsi="Times New Roman" w:eastAsia="宋体" w:cs="Times New Roman"/>
                <w:b w:val="0"/>
                <w:bCs/>
                <w:color w:val="auto"/>
                <w:sz w:val="24"/>
              </w:rPr>
              <w:t>套碱液喷淋塔，喷淋塔液气比按</w:t>
            </w:r>
            <w:r>
              <w:rPr>
                <w:rFonts w:hint="eastAsia" w:cs="Times New Roman"/>
                <w:b w:val="0"/>
                <w:bCs/>
                <w:color w:val="auto"/>
                <w:sz w:val="24"/>
                <w:lang w:val="en-US" w:eastAsia="zh-CN"/>
              </w:rPr>
              <w:t>3</w:t>
            </w:r>
            <w:r>
              <w:rPr>
                <w:rFonts w:hint="eastAsia" w:ascii="Times New Roman" w:hAnsi="Times New Roman" w:eastAsia="宋体" w:cs="Times New Roman"/>
                <w:b w:val="0"/>
                <w:bCs/>
                <w:color w:val="auto"/>
                <w:sz w:val="24"/>
                <w:lang w:val="en-US" w:eastAsia="zh-CN"/>
              </w:rPr>
              <w:t>.0</w:t>
            </w:r>
            <w:r>
              <w:rPr>
                <w:rFonts w:ascii="Times New Roman" w:hAnsi="Times New Roman" w:eastAsia="宋体" w:cs="Times New Roman"/>
                <w:b w:val="0"/>
                <w:bCs/>
                <w:color w:val="auto"/>
                <w:sz w:val="24"/>
              </w:rPr>
              <w:t>L/m</w:t>
            </w:r>
            <w:r>
              <w:rPr>
                <w:rFonts w:ascii="Times New Roman" w:hAnsi="Times New Roman" w:eastAsia="宋体" w:cs="Times New Roman"/>
                <w:b w:val="0"/>
                <w:bCs/>
                <w:color w:val="auto"/>
                <w:sz w:val="24"/>
                <w:vertAlign w:val="superscript"/>
              </w:rPr>
              <w:t>3</w:t>
            </w:r>
            <w:r>
              <w:rPr>
                <w:rFonts w:ascii="Times New Roman" w:hAnsi="Times New Roman" w:eastAsia="宋体" w:cs="Times New Roman"/>
                <w:b w:val="0"/>
                <w:bCs/>
                <w:color w:val="auto"/>
                <w:sz w:val="24"/>
              </w:rPr>
              <w:t>计算，喷淋塔总废气量为</w:t>
            </w:r>
            <w:r>
              <w:rPr>
                <w:rFonts w:hint="eastAsia" w:cs="Times New Roman"/>
                <w:b w:val="0"/>
                <w:bCs/>
                <w:color w:val="auto"/>
                <w:sz w:val="24"/>
                <w:lang w:val="en-US" w:eastAsia="zh-CN"/>
              </w:rPr>
              <w:t>15</w:t>
            </w:r>
            <w:r>
              <w:rPr>
                <w:rFonts w:hint="eastAsia" w:ascii="Times New Roman" w:hAnsi="Times New Roman" w:eastAsia="宋体" w:cs="Times New Roman"/>
                <w:b w:val="0"/>
                <w:bCs/>
                <w:color w:val="auto"/>
                <w:sz w:val="24"/>
                <w:lang w:val="en-US" w:eastAsia="zh-CN"/>
              </w:rPr>
              <w:t>000</w:t>
            </w:r>
            <w:r>
              <w:rPr>
                <w:rFonts w:ascii="Times New Roman" w:hAnsi="Times New Roman" w:eastAsia="宋体" w:cs="Times New Roman"/>
                <w:b w:val="0"/>
                <w:bCs/>
                <w:color w:val="auto"/>
                <w:sz w:val="24"/>
              </w:rPr>
              <w:t>m</w:t>
            </w:r>
            <w:r>
              <w:rPr>
                <w:rFonts w:ascii="Times New Roman" w:hAnsi="Times New Roman" w:eastAsia="宋体" w:cs="Times New Roman"/>
                <w:b w:val="0"/>
                <w:bCs/>
                <w:color w:val="auto"/>
                <w:sz w:val="24"/>
                <w:vertAlign w:val="superscript"/>
              </w:rPr>
              <w:t>3</w:t>
            </w:r>
            <w:r>
              <w:rPr>
                <w:rFonts w:ascii="Times New Roman" w:hAnsi="Times New Roman" w:eastAsia="宋体" w:cs="Times New Roman"/>
                <w:b w:val="0"/>
                <w:bCs/>
                <w:color w:val="auto"/>
                <w:sz w:val="24"/>
              </w:rPr>
              <w:t>/h，</w:t>
            </w:r>
            <w:r>
              <w:rPr>
                <w:rFonts w:hint="eastAsia" w:cs="Times New Roman"/>
                <w:b w:val="0"/>
                <w:bCs/>
                <w:color w:val="auto"/>
                <w:sz w:val="24"/>
                <w:lang w:val="en-US" w:eastAsia="zh-CN"/>
              </w:rPr>
              <w:t>消毒线运行时间20h/d，</w:t>
            </w:r>
            <w:r>
              <w:rPr>
                <w:rFonts w:ascii="Times New Roman" w:hAnsi="Times New Roman" w:eastAsia="宋体" w:cs="Times New Roman"/>
                <w:b w:val="0"/>
                <w:bCs/>
                <w:color w:val="auto"/>
                <w:sz w:val="24"/>
              </w:rPr>
              <w:t>则喷淋装置碱液循环量为</w:t>
            </w:r>
            <w:r>
              <w:rPr>
                <w:rFonts w:hint="eastAsia" w:cs="Times New Roman"/>
                <w:b w:val="0"/>
                <w:bCs/>
                <w:color w:val="auto"/>
                <w:sz w:val="24"/>
                <w:lang w:val="en-US" w:eastAsia="zh-CN"/>
              </w:rPr>
              <w:t>45</w:t>
            </w:r>
            <w:r>
              <w:rPr>
                <w:rFonts w:ascii="Times New Roman" w:hAnsi="Times New Roman" w:eastAsia="宋体" w:cs="Times New Roman"/>
                <w:b w:val="0"/>
                <w:bCs/>
                <w:color w:val="auto"/>
                <w:sz w:val="24"/>
              </w:rPr>
              <w:t>m</w:t>
            </w:r>
            <w:r>
              <w:rPr>
                <w:rFonts w:ascii="Times New Roman" w:hAnsi="Times New Roman" w:eastAsia="宋体" w:cs="Times New Roman"/>
                <w:b w:val="0"/>
                <w:bCs/>
                <w:color w:val="auto"/>
                <w:sz w:val="24"/>
                <w:vertAlign w:val="superscript"/>
              </w:rPr>
              <w:t>3</w:t>
            </w:r>
            <w:r>
              <w:rPr>
                <w:rFonts w:ascii="Times New Roman" w:hAnsi="Times New Roman" w:eastAsia="宋体" w:cs="Times New Roman"/>
                <w:b w:val="0"/>
                <w:bCs/>
                <w:color w:val="auto"/>
                <w:sz w:val="24"/>
              </w:rPr>
              <w:t>/h，即</w:t>
            </w:r>
            <w:r>
              <w:rPr>
                <w:rFonts w:hint="eastAsia" w:cs="Times New Roman"/>
                <w:b w:val="0"/>
                <w:bCs/>
                <w:color w:val="auto"/>
                <w:sz w:val="24"/>
                <w:lang w:val="en-US" w:eastAsia="zh-CN"/>
              </w:rPr>
              <w:t>297000</w:t>
            </w:r>
            <w:r>
              <w:rPr>
                <w:rFonts w:ascii="Times New Roman" w:hAnsi="Times New Roman" w:eastAsia="宋体" w:cs="Times New Roman"/>
                <w:b w:val="0"/>
                <w:bCs/>
                <w:color w:val="auto"/>
                <w:sz w:val="24"/>
              </w:rPr>
              <w:t>m</w:t>
            </w:r>
            <w:r>
              <w:rPr>
                <w:rFonts w:ascii="Times New Roman" w:hAnsi="Times New Roman" w:eastAsia="宋体" w:cs="Times New Roman"/>
                <w:b w:val="0"/>
                <w:bCs/>
                <w:color w:val="auto"/>
                <w:sz w:val="24"/>
                <w:vertAlign w:val="superscript"/>
              </w:rPr>
              <w:t>3</w:t>
            </w:r>
            <w:r>
              <w:rPr>
                <w:rFonts w:ascii="Times New Roman" w:hAnsi="Times New Roman" w:eastAsia="宋体" w:cs="Times New Roman"/>
                <w:b w:val="0"/>
                <w:bCs/>
                <w:color w:val="auto"/>
                <w:sz w:val="24"/>
              </w:rPr>
              <w:t>/a，酸雾吸收废水定期</w:t>
            </w:r>
            <w:r>
              <w:rPr>
                <w:rFonts w:hint="eastAsia" w:ascii="Times New Roman" w:hAnsi="Times New Roman" w:eastAsia="宋体" w:cs="Times New Roman"/>
                <w:b w:val="0"/>
                <w:bCs/>
                <w:color w:val="auto"/>
                <w:sz w:val="24"/>
                <w:lang w:val="en-US" w:eastAsia="zh-CN"/>
              </w:rPr>
              <w:t>排放</w:t>
            </w:r>
            <w:r>
              <w:rPr>
                <w:rFonts w:ascii="Times New Roman" w:hAnsi="Times New Roman" w:eastAsia="宋体" w:cs="Times New Roman"/>
                <w:b w:val="0"/>
                <w:bCs/>
                <w:color w:val="auto"/>
                <w:sz w:val="24"/>
              </w:rPr>
              <w:t>，</w:t>
            </w:r>
            <w:r>
              <w:rPr>
                <w:rFonts w:hint="eastAsia" w:ascii="Times New Roman" w:hAnsi="Times New Roman" w:eastAsia="宋体" w:cs="Times New Roman"/>
                <w:b w:val="0"/>
                <w:bCs/>
                <w:color w:val="auto"/>
                <w:sz w:val="24"/>
                <w:lang w:val="en-US" w:eastAsia="zh-CN"/>
              </w:rPr>
              <w:t>外排</w:t>
            </w:r>
            <w:r>
              <w:rPr>
                <w:rFonts w:ascii="Times New Roman" w:hAnsi="Times New Roman" w:eastAsia="宋体" w:cs="Times New Roman"/>
                <w:b w:val="0"/>
                <w:bCs/>
                <w:color w:val="auto"/>
                <w:sz w:val="24"/>
              </w:rPr>
              <w:t>量按循环量的</w:t>
            </w:r>
            <w:r>
              <w:rPr>
                <w:rFonts w:hint="eastAsia" w:cs="Times New Roman"/>
                <w:b w:val="0"/>
                <w:bCs/>
                <w:color w:val="auto"/>
                <w:sz w:val="24"/>
                <w:lang w:val="en-US" w:eastAsia="zh-CN"/>
              </w:rPr>
              <w:t>4</w:t>
            </w:r>
            <w:r>
              <w:rPr>
                <w:rFonts w:ascii="Times New Roman" w:hAnsi="Times New Roman" w:eastAsia="宋体" w:cs="Times New Roman"/>
                <w:b w:val="0"/>
                <w:bCs/>
                <w:color w:val="auto"/>
                <w:sz w:val="24"/>
              </w:rPr>
              <w:t>%计，则酸雾吸收废水</w:t>
            </w:r>
            <w:r>
              <w:rPr>
                <w:rFonts w:hint="eastAsia" w:ascii="Times New Roman" w:hAnsi="Times New Roman" w:eastAsia="宋体" w:cs="Times New Roman"/>
                <w:b w:val="0"/>
                <w:bCs/>
                <w:color w:val="auto"/>
                <w:sz w:val="24"/>
                <w:lang w:val="en-US" w:eastAsia="zh-CN"/>
              </w:rPr>
              <w:t>外排</w:t>
            </w:r>
            <w:r>
              <w:rPr>
                <w:rFonts w:ascii="Times New Roman" w:hAnsi="Times New Roman" w:eastAsia="宋体" w:cs="Times New Roman"/>
                <w:b w:val="0"/>
                <w:bCs/>
                <w:color w:val="auto"/>
                <w:sz w:val="24"/>
              </w:rPr>
              <w:t>量为</w:t>
            </w:r>
            <w:r>
              <w:rPr>
                <w:rFonts w:hint="eastAsia" w:cs="Times New Roman"/>
                <w:b w:val="0"/>
                <w:bCs/>
                <w:color w:val="auto"/>
                <w:sz w:val="24"/>
                <w:lang w:val="en-US" w:eastAsia="zh-CN"/>
              </w:rPr>
              <w:t>11880</w:t>
            </w:r>
            <w:r>
              <w:rPr>
                <w:rFonts w:ascii="Times New Roman" w:hAnsi="Times New Roman" w:eastAsia="宋体" w:cs="Times New Roman"/>
                <w:b w:val="0"/>
                <w:bCs/>
                <w:color w:val="auto"/>
                <w:sz w:val="24"/>
              </w:rPr>
              <w:t>m</w:t>
            </w:r>
            <w:r>
              <w:rPr>
                <w:rFonts w:ascii="Times New Roman" w:hAnsi="Times New Roman" w:eastAsia="宋体" w:cs="Times New Roman"/>
                <w:b w:val="0"/>
                <w:bCs/>
                <w:color w:val="auto"/>
                <w:sz w:val="24"/>
                <w:vertAlign w:val="superscript"/>
              </w:rPr>
              <w:t>3</w:t>
            </w:r>
            <w:r>
              <w:rPr>
                <w:rFonts w:ascii="Times New Roman" w:hAnsi="Times New Roman" w:eastAsia="宋体" w:cs="Times New Roman"/>
                <w:b w:val="0"/>
                <w:bCs/>
                <w:color w:val="auto"/>
                <w:sz w:val="24"/>
              </w:rPr>
              <w:t>/a。碱液喷淋塔蒸发损耗水量按</w:t>
            </w:r>
            <w:r>
              <w:rPr>
                <w:rFonts w:hint="eastAsia" w:ascii="Times New Roman" w:hAnsi="Times New Roman" w:eastAsia="宋体" w:cs="Times New Roman"/>
                <w:b w:val="0"/>
                <w:bCs/>
                <w:color w:val="auto"/>
                <w:sz w:val="24"/>
                <w:lang w:val="en-US" w:eastAsia="zh-CN"/>
              </w:rPr>
              <w:t>循环量</w:t>
            </w:r>
            <w:r>
              <w:rPr>
                <w:rFonts w:ascii="Times New Roman" w:hAnsi="Times New Roman" w:eastAsia="宋体" w:cs="Times New Roman"/>
                <w:b w:val="0"/>
                <w:bCs/>
                <w:color w:val="auto"/>
                <w:sz w:val="24"/>
              </w:rPr>
              <w:t>的</w:t>
            </w:r>
            <w:r>
              <w:rPr>
                <w:rFonts w:hint="eastAsia" w:ascii="Times New Roman" w:hAnsi="Times New Roman" w:eastAsia="宋体" w:cs="Times New Roman"/>
                <w:b w:val="0"/>
                <w:bCs/>
                <w:color w:val="auto"/>
                <w:sz w:val="24"/>
                <w:lang w:val="en-US" w:eastAsia="zh-CN"/>
              </w:rPr>
              <w:t>0.</w:t>
            </w:r>
            <w:r>
              <w:rPr>
                <w:rFonts w:hint="eastAsia" w:cs="Times New Roman"/>
                <w:b w:val="0"/>
                <w:bCs/>
                <w:color w:val="auto"/>
                <w:sz w:val="24"/>
                <w:lang w:val="en-US" w:eastAsia="zh-CN"/>
              </w:rPr>
              <w:t>2</w:t>
            </w:r>
            <w:r>
              <w:rPr>
                <w:rFonts w:ascii="Times New Roman" w:hAnsi="Times New Roman" w:eastAsia="宋体" w:cs="Times New Roman"/>
                <w:b w:val="0"/>
                <w:bCs/>
                <w:color w:val="auto"/>
                <w:sz w:val="24"/>
              </w:rPr>
              <w:t>%考虑，损耗量约为</w:t>
            </w:r>
            <w:r>
              <w:rPr>
                <w:rFonts w:hint="eastAsia" w:cs="Times New Roman"/>
                <w:b w:val="0"/>
                <w:bCs/>
                <w:color w:val="auto"/>
                <w:sz w:val="24"/>
                <w:lang w:val="en-US" w:eastAsia="zh-CN"/>
              </w:rPr>
              <w:t>594</w:t>
            </w:r>
            <w:r>
              <w:rPr>
                <w:rFonts w:ascii="Times New Roman" w:hAnsi="Times New Roman" w:eastAsia="宋体" w:cs="Times New Roman"/>
                <w:b w:val="0"/>
                <w:bCs/>
                <w:color w:val="auto"/>
                <w:sz w:val="24"/>
              </w:rPr>
              <w:t>m</w:t>
            </w:r>
            <w:r>
              <w:rPr>
                <w:rFonts w:ascii="Times New Roman" w:hAnsi="Times New Roman" w:eastAsia="宋体" w:cs="Times New Roman"/>
                <w:b w:val="0"/>
                <w:bCs/>
                <w:color w:val="auto"/>
                <w:sz w:val="24"/>
                <w:vertAlign w:val="superscript"/>
              </w:rPr>
              <w:t>3</w:t>
            </w:r>
            <w:r>
              <w:rPr>
                <w:rFonts w:ascii="Times New Roman" w:hAnsi="Times New Roman" w:eastAsia="宋体" w:cs="Times New Roman"/>
                <w:b w:val="0"/>
                <w:bCs/>
                <w:color w:val="auto"/>
                <w:sz w:val="24"/>
              </w:rPr>
              <w:t>/a</w:t>
            </w:r>
            <w:r>
              <w:rPr>
                <w:rFonts w:hint="eastAsia" w:ascii="Times New Roman" w:hAnsi="Times New Roman" w:eastAsia="宋体" w:cs="Times New Roman"/>
                <w:b w:val="0"/>
                <w:bCs/>
                <w:color w:val="auto"/>
                <w:sz w:val="24"/>
                <w:lang w:eastAsia="zh-CN"/>
              </w:rPr>
              <w:t>，</w:t>
            </w:r>
            <w:r>
              <w:rPr>
                <w:rFonts w:hint="eastAsia" w:ascii="Times New Roman" w:hAnsi="Times New Roman" w:eastAsia="宋体" w:cs="Times New Roman"/>
                <w:b w:val="0"/>
                <w:bCs/>
                <w:color w:val="auto"/>
                <w:sz w:val="24"/>
                <w:lang w:val="en-US" w:eastAsia="zh-CN"/>
              </w:rPr>
              <w:t>补水量为</w:t>
            </w:r>
            <w:r>
              <w:rPr>
                <w:rFonts w:hint="eastAsia" w:cs="Times New Roman"/>
                <w:b w:val="0"/>
                <w:bCs/>
                <w:color w:val="auto"/>
                <w:sz w:val="24"/>
                <w:lang w:val="en-US" w:eastAsia="zh-CN"/>
              </w:rPr>
              <w:t>12474</w:t>
            </w:r>
            <w:r>
              <w:rPr>
                <w:rFonts w:ascii="Times New Roman" w:hAnsi="Times New Roman" w:eastAsia="宋体" w:cs="Times New Roman"/>
                <w:b w:val="0"/>
                <w:bCs/>
                <w:color w:val="auto"/>
                <w:sz w:val="24"/>
              </w:rPr>
              <w:t>m</w:t>
            </w:r>
            <w:r>
              <w:rPr>
                <w:rFonts w:ascii="Times New Roman" w:hAnsi="Times New Roman" w:eastAsia="宋体" w:cs="Times New Roman"/>
                <w:b w:val="0"/>
                <w:bCs/>
                <w:color w:val="auto"/>
                <w:sz w:val="24"/>
                <w:vertAlign w:val="superscript"/>
              </w:rPr>
              <w:t>3</w:t>
            </w:r>
            <w:r>
              <w:rPr>
                <w:rFonts w:ascii="Times New Roman" w:hAnsi="Times New Roman" w:eastAsia="宋体" w:cs="Times New Roman"/>
                <w:b w:val="0"/>
                <w:bCs/>
                <w:color w:val="auto"/>
                <w:sz w:val="24"/>
              </w:rPr>
              <w:t>/a</w:t>
            </w:r>
            <w:r>
              <w:rPr>
                <w:rFonts w:hint="eastAsia" w:ascii="Times New Roman" w:hAnsi="Times New Roman" w:eastAsia="宋体" w:cs="Times New Roman"/>
                <w:b w:val="0"/>
                <w:bCs/>
                <w:color w:val="auto"/>
                <w:sz w:val="24"/>
                <w:lang w:eastAsia="zh-CN"/>
              </w:rPr>
              <w:t>。</w:t>
            </w:r>
            <w:r>
              <w:rPr>
                <w:rFonts w:hint="eastAsia" w:ascii="Times New Roman" w:hAnsi="Times New Roman" w:eastAsia="宋体" w:cs="Times New Roman"/>
                <w:b w:val="0"/>
                <w:bCs/>
                <w:color w:val="auto"/>
                <w:sz w:val="24"/>
                <w:lang w:val="en-US" w:eastAsia="zh-CN"/>
              </w:rPr>
              <w:t>乙酸雾吸收废水经厂区污水处理站后接管至</w:t>
            </w:r>
            <w:r>
              <w:rPr>
                <w:rFonts w:hint="eastAsia" w:ascii="Times New Roman" w:hAnsi="Times New Roman" w:eastAsia="宋体" w:cs="Times New Roman"/>
                <w:b w:val="0"/>
                <w:bCs/>
                <w:color w:val="auto"/>
                <w:sz w:val="24"/>
              </w:rPr>
              <w:t>涟水经济开发</w:t>
            </w:r>
            <w:r>
              <w:rPr>
                <w:rFonts w:hint="eastAsia" w:ascii="Times New Roman" w:hAnsi="Times New Roman" w:eastAsia="宋体" w:cs="Times New Roman"/>
                <w:b w:val="0"/>
                <w:bCs/>
                <w:color w:val="auto"/>
                <w:sz w:val="24"/>
                <w:lang w:val="en-US" w:eastAsia="zh-CN"/>
              </w:rPr>
              <w:t>区</w:t>
            </w:r>
            <w:r>
              <w:rPr>
                <w:rFonts w:hint="eastAsia" w:ascii="Times New Roman" w:hAnsi="Times New Roman" w:eastAsia="宋体" w:cs="Times New Roman"/>
                <w:b w:val="0"/>
                <w:bCs/>
                <w:color w:val="auto"/>
                <w:sz w:val="24"/>
              </w:rPr>
              <w:t>西区</w:t>
            </w:r>
            <w:r>
              <w:rPr>
                <w:rFonts w:ascii="Times New Roman" w:hAnsi="Times New Roman" w:eastAsia="宋体" w:cs="Times New Roman"/>
                <w:b w:val="0"/>
                <w:bCs/>
                <w:color w:val="auto"/>
                <w:sz w:val="24"/>
              </w:rPr>
              <w:t>污水处理</w:t>
            </w:r>
            <w:r>
              <w:rPr>
                <w:rFonts w:hint="eastAsia" w:ascii="Times New Roman" w:hAnsi="Times New Roman" w:eastAsia="宋体" w:cs="Times New Roman"/>
                <w:b w:val="0"/>
                <w:bCs/>
                <w:color w:val="auto"/>
                <w:sz w:val="24"/>
                <w:lang w:val="en-US" w:eastAsia="zh-CN"/>
              </w:rPr>
              <w:t>厂处理。</w:t>
            </w:r>
          </w:p>
          <w:p w14:paraId="3363A44C">
            <w:pPr>
              <w:pStyle w:val="17"/>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ascii="Times New Roman" w:hAnsi="Times New Roman" w:eastAsia="宋体" w:cs="Times New Roman"/>
                <w:b w:val="0"/>
                <w:bCs/>
                <w:color w:val="auto"/>
                <w:sz w:val="24"/>
              </w:rPr>
            </w:pPr>
            <w:r>
              <w:rPr>
                <w:rFonts w:ascii="Times New Roman" w:hAnsi="Times New Roman" w:eastAsia="宋体" w:cs="Times New Roman"/>
                <w:b w:val="0"/>
                <w:bCs/>
                <w:color w:val="auto"/>
                <w:sz w:val="24"/>
              </w:rPr>
              <w:t>（</w:t>
            </w:r>
            <w:r>
              <w:rPr>
                <w:rFonts w:hint="eastAsia" w:ascii="Times New Roman" w:hAnsi="Times New Roman" w:eastAsia="宋体" w:cs="Times New Roman"/>
                <w:b w:val="0"/>
                <w:bCs/>
                <w:color w:val="auto"/>
                <w:sz w:val="24"/>
                <w:lang w:val="en-US" w:eastAsia="zh-CN"/>
              </w:rPr>
              <w:t>2</w:t>
            </w:r>
            <w:r>
              <w:rPr>
                <w:rFonts w:ascii="Times New Roman" w:hAnsi="Times New Roman" w:eastAsia="宋体" w:cs="Times New Roman"/>
                <w:b w:val="0"/>
                <w:bCs/>
                <w:color w:val="auto"/>
                <w:sz w:val="24"/>
              </w:rPr>
              <w:t>）杀菌用水</w:t>
            </w:r>
          </w:p>
          <w:p w14:paraId="2CB97C5A">
            <w:pPr>
              <w:pStyle w:val="17"/>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ascii="Times New Roman" w:hAnsi="Times New Roman" w:eastAsia="宋体" w:cs="Times New Roman"/>
                <w:b w:val="0"/>
                <w:bCs/>
                <w:color w:val="auto"/>
                <w:sz w:val="24"/>
              </w:rPr>
            </w:pPr>
            <w:r>
              <w:rPr>
                <w:rFonts w:hint="eastAsia" w:ascii="Times New Roman" w:hAnsi="Times New Roman" w:eastAsia="宋体" w:cs="Times New Roman"/>
                <w:b w:val="0"/>
                <w:bCs/>
                <w:color w:val="auto"/>
                <w:sz w:val="24"/>
                <w:lang w:eastAsia="zh-CN"/>
              </w:rPr>
              <w:t>本</w:t>
            </w:r>
            <w:r>
              <w:rPr>
                <w:rFonts w:ascii="Times New Roman" w:hAnsi="Times New Roman" w:eastAsia="宋体" w:cs="Times New Roman"/>
                <w:b w:val="0"/>
                <w:bCs/>
                <w:color w:val="auto"/>
                <w:sz w:val="24"/>
              </w:rPr>
              <w:t>项目</w:t>
            </w:r>
            <w:r>
              <w:rPr>
                <w:rFonts w:hint="eastAsia" w:ascii="Times New Roman" w:hAnsi="Times New Roman" w:cs="Times New Roman"/>
                <w:b w:val="0"/>
                <w:bCs/>
                <w:color w:val="auto"/>
                <w:sz w:val="24"/>
                <w:lang w:val="en-US" w:eastAsia="zh-CN"/>
              </w:rPr>
              <w:t>瓶盖</w:t>
            </w:r>
            <w:r>
              <w:rPr>
                <w:rFonts w:ascii="Times New Roman" w:hAnsi="Times New Roman" w:eastAsia="宋体" w:cs="Times New Roman"/>
                <w:b w:val="0"/>
                <w:bCs/>
                <w:color w:val="auto"/>
                <w:sz w:val="24"/>
              </w:rPr>
              <w:t>经过氧乙酸消毒后需再经无菌水（纯水进行超高温杀菌</w:t>
            </w:r>
            <w:r>
              <w:rPr>
                <w:rFonts w:hint="eastAsia" w:ascii="Times New Roman" w:hAnsi="Times New Roman" w:eastAsia="宋体" w:cs="Times New Roman"/>
                <w:b w:val="0"/>
                <w:bCs/>
                <w:color w:val="auto"/>
                <w:sz w:val="24"/>
                <w:lang w:val="en-US" w:eastAsia="zh-CN"/>
              </w:rPr>
              <w:t>冷却后</w:t>
            </w:r>
            <w:r>
              <w:rPr>
                <w:rFonts w:ascii="Times New Roman" w:hAnsi="Times New Roman" w:eastAsia="宋体" w:cs="Times New Roman"/>
                <w:b w:val="0"/>
                <w:bCs/>
                <w:color w:val="auto"/>
                <w:sz w:val="24"/>
              </w:rPr>
              <w:t>）清洗，</w:t>
            </w:r>
            <w:r>
              <w:rPr>
                <w:rFonts w:hint="eastAsia" w:ascii="Times New Roman" w:hAnsi="Times New Roman" w:eastAsia="宋体" w:cs="Times New Roman"/>
                <w:b w:val="0"/>
                <w:bCs/>
                <w:color w:val="auto"/>
                <w:sz w:val="24"/>
                <w:lang w:val="en-US" w:eastAsia="zh-CN"/>
              </w:rPr>
              <w:t>项目共设2条生产线，每条线</w:t>
            </w:r>
            <w:r>
              <w:rPr>
                <w:rFonts w:ascii="Times New Roman" w:hAnsi="Times New Roman" w:eastAsia="宋体" w:cs="Times New Roman"/>
                <w:b w:val="0"/>
                <w:bCs/>
                <w:color w:val="auto"/>
                <w:sz w:val="24"/>
              </w:rPr>
              <w:t>无菌水用水量</w:t>
            </w:r>
            <w:r>
              <w:rPr>
                <w:rFonts w:hint="eastAsia" w:ascii="Times New Roman" w:hAnsi="Times New Roman" w:eastAsia="宋体" w:cs="Times New Roman"/>
                <w:b w:val="0"/>
                <w:bCs/>
                <w:color w:val="auto"/>
                <w:sz w:val="24"/>
                <w:lang w:val="en-US" w:eastAsia="zh-CN"/>
              </w:rPr>
              <w:t>约</w:t>
            </w:r>
            <w:r>
              <w:rPr>
                <w:rFonts w:ascii="Times New Roman" w:hAnsi="Times New Roman" w:eastAsia="宋体" w:cs="Times New Roman"/>
                <w:b w:val="0"/>
                <w:bCs/>
                <w:color w:val="auto"/>
                <w:sz w:val="24"/>
              </w:rPr>
              <w:t>为</w:t>
            </w:r>
            <w:r>
              <w:rPr>
                <w:rFonts w:hint="eastAsia" w:ascii="Times New Roman" w:hAnsi="Times New Roman" w:cs="Times New Roman"/>
                <w:b w:val="0"/>
                <w:bCs/>
                <w:color w:val="auto"/>
                <w:sz w:val="24"/>
                <w:lang w:val="en-US" w:eastAsia="zh-CN"/>
              </w:rPr>
              <w:t>1.5</w:t>
            </w:r>
            <w:r>
              <w:rPr>
                <w:rFonts w:hint="eastAsia" w:ascii="Times New Roman" w:hAnsi="Times New Roman" w:eastAsia="宋体" w:cs="Times New Roman"/>
                <w:b w:val="0"/>
                <w:bCs/>
                <w:color w:val="auto"/>
                <w:sz w:val="24"/>
                <w:lang w:val="en-US" w:eastAsia="zh-CN"/>
              </w:rPr>
              <w:t>m</w:t>
            </w:r>
            <w:r>
              <w:rPr>
                <w:rFonts w:hint="eastAsia" w:ascii="Times New Roman" w:hAnsi="Times New Roman" w:eastAsia="宋体" w:cs="Times New Roman"/>
                <w:b w:val="0"/>
                <w:bCs/>
                <w:color w:val="auto"/>
                <w:sz w:val="24"/>
                <w:vertAlign w:val="superscript"/>
                <w:lang w:val="en-US" w:eastAsia="zh-CN"/>
              </w:rPr>
              <w:t>3</w:t>
            </w:r>
            <w:r>
              <w:rPr>
                <w:rFonts w:hint="eastAsia" w:ascii="Times New Roman" w:hAnsi="Times New Roman" w:eastAsia="宋体" w:cs="Times New Roman"/>
                <w:b w:val="0"/>
                <w:bCs/>
                <w:color w:val="auto"/>
                <w:sz w:val="24"/>
                <w:lang w:val="en-US" w:eastAsia="zh-CN"/>
              </w:rPr>
              <w:t>/h，无菌水总用水为</w:t>
            </w:r>
            <w:r>
              <w:rPr>
                <w:rFonts w:hint="eastAsia" w:ascii="Times New Roman" w:hAnsi="Times New Roman" w:cs="Times New Roman"/>
                <w:b w:val="0"/>
                <w:bCs/>
                <w:color w:val="auto"/>
                <w:sz w:val="24"/>
                <w:lang w:val="en-US" w:eastAsia="zh-CN"/>
              </w:rPr>
              <w:t>23760</w:t>
            </w:r>
            <w:r>
              <w:rPr>
                <w:rFonts w:hint="eastAsia" w:ascii="Times New Roman" w:hAnsi="Times New Roman" w:eastAsia="宋体" w:cs="Times New Roman"/>
                <w:b w:val="0"/>
                <w:bCs/>
                <w:color w:val="auto"/>
                <w:sz w:val="24"/>
                <w:lang w:val="en-US" w:eastAsia="zh-CN"/>
              </w:rPr>
              <w:t>m</w:t>
            </w:r>
            <w:r>
              <w:rPr>
                <w:rFonts w:hint="eastAsia" w:ascii="Times New Roman" w:hAnsi="Times New Roman" w:eastAsia="宋体" w:cs="Times New Roman"/>
                <w:b w:val="0"/>
                <w:bCs/>
                <w:color w:val="auto"/>
                <w:sz w:val="24"/>
                <w:vertAlign w:val="superscript"/>
                <w:lang w:val="en-US" w:eastAsia="zh-CN"/>
              </w:rPr>
              <w:t>3</w:t>
            </w:r>
            <w:r>
              <w:rPr>
                <w:rFonts w:hint="eastAsia" w:ascii="Times New Roman" w:hAnsi="Times New Roman" w:eastAsia="宋体" w:cs="Times New Roman"/>
                <w:b w:val="0"/>
                <w:bCs/>
                <w:color w:val="auto"/>
                <w:sz w:val="24"/>
                <w:lang w:val="en-US" w:eastAsia="zh-CN"/>
              </w:rPr>
              <w:t>/a</w:t>
            </w:r>
            <w:r>
              <w:rPr>
                <w:rFonts w:ascii="Times New Roman" w:hAnsi="Times New Roman" w:eastAsia="宋体" w:cs="Times New Roman"/>
                <w:b w:val="0"/>
                <w:bCs/>
                <w:color w:val="auto"/>
                <w:sz w:val="24"/>
              </w:rPr>
              <w:t>，损耗水量以</w:t>
            </w:r>
            <w:r>
              <w:rPr>
                <w:rFonts w:hint="eastAsia" w:ascii="Times New Roman" w:hAnsi="Times New Roman" w:eastAsia="宋体" w:cs="Times New Roman"/>
                <w:b w:val="0"/>
                <w:bCs/>
                <w:color w:val="auto"/>
                <w:sz w:val="24"/>
                <w:lang w:val="en-US" w:eastAsia="zh-CN"/>
              </w:rPr>
              <w:t>总用水量的1</w:t>
            </w:r>
            <w:r>
              <w:rPr>
                <w:rFonts w:ascii="Times New Roman" w:hAnsi="Times New Roman" w:eastAsia="宋体" w:cs="Times New Roman"/>
                <w:b w:val="0"/>
                <w:bCs/>
                <w:color w:val="auto"/>
                <w:sz w:val="24"/>
              </w:rPr>
              <w:t>0%计，则杀菌废水排放量</w:t>
            </w:r>
            <w:r>
              <w:rPr>
                <w:rFonts w:hint="eastAsia" w:ascii="Times New Roman" w:hAnsi="Times New Roman" w:cs="Times New Roman"/>
                <w:b w:val="0"/>
                <w:bCs/>
                <w:color w:val="auto"/>
                <w:sz w:val="24"/>
                <w:lang w:val="en-US" w:eastAsia="zh-CN"/>
              </w:rPr>
              <w:t>21384</w:t>
            </w:r>
            <w:r>
              <w:rPr>
                <w:rFonts w:hint="eastAsia" w:ascii="Times New Roman" w:hAnsi="Times New Roman" w:eastAsia="宋体" w:cs="Times New Roman"/>
                <w:b w:val="0"/>
                <w:bCs/>
                <w:color w:val="auto"/>
                <w:sz w:val="24"/>
                <w:lang w:val="en-US" w:eastAsia="zh-CN"/>
              </w:rPr>
              <w:t>m</w:t>
            </w:r>
            <w:r>
              <w:rPr>
                <w:rFonts w:hint="eastAsia" w:ascii="Times New Roman" w:hAnsi="Times New Roman" w:eastAsia="宋体" w:cs="Times New Roman"/>
                <w:b w:val="0"/>
                <w:bCs/>
                <w:color w:val="auto"/>
                <w:sz w:val="24"/>
                <w:vertAlign w:val="superscript"/>
                <w:lang w:val="en-US" w:eastAsia="zh-CN"/>
              </w:rPr>
              <w:t>3</w:t>
            </w:r>
            <w:r>
              <w:rPr>
                <w:rFonts w:hint="eastAsia" w:ascii="Times New Roman" w:hAnsi="Times New Roman" w:eastAsia="宋体" w:cs="Times New Roman"/>
                <w:b w:val="0"/>
                <w:bCs/>
                <w:color w:val="auto"/>
                <w:sz w:val="24"/>
                <w:lang w:val="en-US" w:eastAsia="zh-CN"/>
              </w:rPr>
              <w:t>/a</w:t>
            </w:r>
            <w:r>
              <w:rPr>
                <w:rFonts w:hint="eastAsia" w:ascii="Times New Roman" w:hAnsi="Times New Roman" w:eastAsia="宋体" w:cs="Times New Roman"/>
                <w:b w:val="0"/>
                <w:bCs/>
                <w:color w:val="auto"/>
                <w:sz w:val="24"/>
                <w:lang w:eastAsia="zh-CN"/>
              </w:rPr>
              <w:t>，</w:t>
            </w:r>
            <w:r>
              <w:rPr>
                <w:rFonts w:hint="eastAsia" w:ascii="Times New Roman" w:hAnsi="Times New Roman" w:eastAsia="宋体" w:cs="Times New Roman"/>
                <w:b w:val="0"/>
                <w:bCs/>
                <w:color w:val="auto"/>
                <w:sz w:val="24"/>
                <w:lang w:val="en-US" w:eastAsia="zh-CN"/>
              </w:rPr>
              <w:t>杀菌废水经厂区污水处理站处理</w:t>
            </w:r>
            <w:r>
              <w:rPr>
                <w:rFonts w:hint="eastAsia" w:ascii="Times New Roman" w:hAnsi="Times New Roman" w:cs="Times New Roman"/>
                <w:b w:val="0"/>
                <w:bCs/>
                <w:color w:val="auto"/>
                <w:sz w:val="24"/>
                <w:lang w:val="en-US" w:eastAsia="zh-CN"/>
              </w:rPr>
              <w:t>后</w:t>
            </w:r>
            <w:r>
              <w:rPr>
                <w:rFonts w:hint="eastAsia" w:ascii="Times New Roman" w:hAnsi="Times New Roman" w:eastAsia="宋体" w:cs="Times New Roman"/>
                <w:b w:val="0"/>
                <w:bCs/>
                <w:color w:val="auto"/>
                <w:sz w:val="24"/>
              </w:rPr>
              <w:t>接管</w:t>
            </w:r>
            <w:r>
              <w:rPr>
                <w:rFonts w:hint="eastAsia" w:ascii="Times New Roman" w:hAnsi="Times New Roman" w:eastAsia="宋体" w:cs="Times New Roman"/>
                <w:b w:val="0"/>
                <w:bCs/>
                <w:color w:val="auto"/>
                <w:sz w:val="24"/>
                <w:lang w:val="en-US" w:eastAsia="zh-CN"/>
              </w:rPr>
              <w:t>至</w:t>
            </w:r>
            <w:r>
              <w:rPr>
                <w:rFonts w:hint="eastAsia" w:ascii="Times New Roman" w:hAnsi="Times New Roman" w:eastAsia="宋体" w:cs="Times New Roman"/>
                <w:b w:val="0"/>
                <w:bCs/>
                <w:color w:val="auto"/>
                <w:sz w:val="24"/>
              </w:rPr>
              <w:t>涟水经济开发</w:t>
            </w:r>
            <w:r>
              <w:rPr>
                <w:rFonts w:hint="eastAsia" w:ascii="Times New Roman" w:hAnsi="Times New Roman" w:eastAsia="宋体" w:cs="Times New Roman"/>
                <w:b w:val="0"/>
                <w:bCs/>
                <w:color w:val="auto"/>
                <w:sz w:val="24"/>
                <w:lang w:val="en-US" w:eastAsia="zh-CN"/>
              </w:rPr>
              <w:t>区</w:t>
            </w:r>
            <w:r>
              <w:rPr>
                <w:rFonts w:hint="eastAsia" w:ascii="Times New Roman" w:hAnsi="Times New Roman" w:eastAsia="宋体" w:cs="Times New Roman"/>
                <w:b w:val="0"/>
                <w:bCs/>
                <w:color w:val="auto"/>
                <w:sz w:val="24"/>
              </w:rPr>
              <w:t>西区</w:t>
            </w:r>
            <w:r>
              <w:rPr>
                <w:rFonts w:ascii="Times New Roman" w:hAnsi="Times New Roman" w:eastAsia="宋体" w:cs="Times New Roman"/>
                <w:b w:val="0"/>
                <w:bCs/>
                <w:color w:val="auto"/>
                <w:sz w:val="24"/>
              </w:rPr>
              <w:t>污水处理厂</w:t>
            </w:r>
            <w:r>
              <w:rPr>
                <w:rFonts w:hint="eastAsia" w:ascii="Times New Roman" w:hAnsi="Times New Roman" w:eastAsia="宋体" w:cs="Times New Roman"/>
                <w:b w:val="0"/>
                <w:bCs/>
                <w:color w:val="auto"/>
                <w:sz w:val="24"/>
                <w:lang w:val="en-US" w:eastAsia="zh-CN"/>
              </w:rPr>
              <w:t>处理</w:t>
            </w:r>
            <w:r>
              <w:rPr>
                <w:rFonts w:ascii="Times New Roman" w:hAnsi="Times New Roman" w:eastAsia="宋体" w:cs="Times New Roman"/>
                <w:b w:val="0"/>
                <w:bCs/>
                <w:color w:val="auto"/>
                <w:sz w:val="24"/>
              </w:rPr>
              <w:t>。</w:t>
            </w:r>
          </w:p>
          <w:p w14:paraId="59583BD3">
            <w:pPr>
              <w:pStyle w:val="17"/>
              <w:keepNext w:val="0"/>
              <w:keepLines w:val="0"/>
              <w:pageBreakBefore w:val="0"/>
              <w:widowControl w:val="0"/>
              <w:kinsoku/>
              <w:wordWrap/>
              <w:overflowPunct/>
              <w:topLinePunct w:val="0"/>
              <w:bidi w:val="0"/>
              <w:spacing w:line="360" w:lineRule="auto"/>
              <w:ind w:firstLine="480" w:firstLineChars="200"/>
              <w:textAlignment w:val="auto"/>
              <w:rPr>
                <w:rFonts w:ascii="Times New Roman" w:hAnsi="Times New Roman" w:eastAsia="宋体" w:cs="Times New Roman"/>
                <w:b w:val="0"/>
                <w:bCs/>
                <w:color w:val="auto"/>
                <w:sz w:val="24"/>
              </w:rPr>
            </w:pPr>
            <w:r>
              <w:rPr>
                <w:rFonts w:ascii="Times New Roman" w:hAnsi="Times New Roman" w:eastAsia="宋体" w:cs="Times New Roman"/>
                <w:b w:val="0"/>
                <w:bCs/>
                <w:color w:val="auto"/>
                <w:sz w:val="24"/>
              </w:rPr>
              <w:t>（</w:t>
            </w:r>
            <w:r>
              <w:rPr>
                <w:rFonts w:hint="eastAsia" w:ascii="Times New Roman" w:hAnsi="Times New Roman" w:eastAsia="宋体" w:cs="Times New Roman"/>
                <w:b w:val="0"/>
                <w:bCs/>
                <w:color w:val="auto"/>
                <w:sz w:val="24"/>
                <w:lang w:val="en-US" w:eastAsia="zh-CN"/>
              </w:rPr>
              <w:t>3</w:t>
            </w:r>
            <w:r>
              <w:rPr>
                <w:rFonts w:ascii="Times New Roman" w:hAnsi="Times New Roman" w:eastAsia="宋体" w:cs="Times New Roman"/>
                <w:b w:val="0"/>
                <w:bCs/>
                <w:color w:val="auto"/>
                <w:sz w:val="24"/>
              </w:rPr>
              <w:t>）设备清洗用水</w:t>
            </w:r>
          </w:p>
          <w:p w14:paraId="6795A69A">
            <w:pPr>
              <w:pStyle w:val="17"/>
              <w:keepNext w:val="0"/>
              <w:keepLines w:val="0"/>
              <w:pageBreakBefore w:val="0"/>
              <w:widowControl w:val="0"/>
              <w:kinsoku/>
              <w:wordWrap/>
              <w:overflowPunct/>
              <w:topLinePunct w:val="0"/>
              <w:bidi w:val="0"/>
              <w:spacing w:line="360" w:lineRule="auto"/>
              <w:ind w:firstLine="480" w:firstLineChars="200"/>
              <w:jc w:val="both"/>
              <w:textAlignment w:val="auto"/>
              <w:rPr>
                <w:rFonts w:ascii="Times New Roman" w:hAnsi="Times New Roman" w:eastAsia="宋体" w:cs="Times New Roman"/>
                <w:b w:val="0"/>
                <w:bCs/>
                <w:color w:val="auto"/>
                <w:sz w:val="24"/>
              </w:rPr>
            </w:pPr>
            <w:r>
              <w:rPr>
                <w:rFonts w:hint="eastAsia" w:ascii="Times New Roman" w:hAnsi="Times New Roman" w:eastAsia="宋体" w:cs="Times New Roman"/>
                <w:b w:val="0"/>
                <w:bCs/>
                <w:color w:val="auto"/>
                <w:sz w:val="24"/>
                <w:lang w:eastAsia="zh-CN"/>
              </w:rPr>
              <w:t>本</w:t>
            </w:r>
            <w:r>
              <w:rPr>
                <w:rFonts w:ascii="Times New Roman" w:hAnsi="Times New Roman" w:eastAsia="宋体" w:cs="Times New Roman"/>
                <w:b w:val="0"/>
                <w:bCs/>
                <w:color w:val="auto"/>
                <w:sz w:val="24"/>
              </w:rPr>
              <w:t>项目</w:t>
            </w:r>
            <w:r>
              <w:rPr>
                <w:rFonts w:hint="eastAsia" w:ascii="Times New Roman" w:hAnsi="Times New Roman" w:eastAsia="宋体" w:cs="Times New Roman"/>
                <w:b w:val="0"/>
                <w:bCs/>
                <w:color w:val="auto"/>
                <w:sz w:val="24"/>
                <w:lang w:val="en-US" w:eastAsia="zh-CN"/>
              </w:rPr>
              <w:t>年运行时间7920小时</w:t>
            </w:r>
            <w:r>
              <w:rPr>
                <w:rFonts w:hint="eastAsia" w:ascii="Times New Roman" w:hAnsi="Times New Roman" w:eastAsia="宋体" w:cs="Times New Roman"/>
                <w:b w:val="0"/>
                <w:bCs/>
                <w:color w:val="auto"/>
                <w:sz w:val="24"/>
                <w:lang w:eastAsia="zh-CN"/>
              </w:rPr>
              <w:t>，</w:t>
            </w:r>
            <w:r>
              <w:rPr>
                <w:rFonts w:hint="eastAsia" w:ascii="Times New Roman" w:hAnsi="Times New Roman" w:eastAsia="宋体" w:cs="Times New Roman"/>
                <w:b w:val="0"/>
                <w:bCs/>
                <w:color w:val="auto"/>
                <w:sz w:val="24"/>
                <w:lang w:val="en-US" w:eastAsia="zh-CN"/>
              </w:rPr>
              <w:t>配</w:t>
            </w:r>
            <w:r>
              <w:rPr>
                <w:rFonts w:hint="eastAsia" w:ascii="Times New Roman" w:hAnsi="Times New Roman" w:cs="Times New Roman"/>
                <w:b w:val="0"/>
                <w:bCs/>
                <w:color w:val="auto"/>
                <w:sz w:val="24"/>
                <w:lang w:val="en-US" w:eastAsia="zh-CN"/>
              </w:rPr>
              <w:t>2</w:t>
            </w:r>
            <w:r>
              <w:rPr>
                <w:rFonts w:hint="eastAsia" w:ascii="Times New Roman" w:hAnsi="Times New Roman" w:eastAsia="宋体" w:cs="Times New Roman"/>
                <w:b w:val="0"/>
                <w:bCs/>
                <w:color w:val="auto"/>
                <w:sz w:val="24"/>
                <w:lang w:val="en-US" w:eastAsia="zh-CN"/>
              </w:rPr>
              <w:t>套CIP清洗系统，多种产品生产</w:t>
            </w:r>
            <w:r>
              <w:rPr>
                <w:rFonts w:ascii="Times New Roman" w:hAnsi="Times New Roman" w:eastAsia="宋体" w:cs="Times New Roman"/>
                <w:b w:val="0"/>
                <w:bCs/>
                <w:color w:val="auto"/>
                <w:sz w:val="24"/>
              </w:rPr>
              <w:t>设备均为共用，</w:t>
            </w:r>
            <w:r>
              <w:rPr>
                <w:rFonts w:hint="eastAsia" w:ascii="Times New Roman" w:hAnsi="Times New Roman" w:eastAsia="宋体" w:cs="Times New Roman"/>
                <w:b w:val="0"/>
                <w:bCs/>
                <w:color w:val="auto"/>
                <w:sz w:val="24"/>
                <w:lang w:val="en-US" w:eastAsia="zh-CN"/>
              </w:rPr>
              <w:t>平均约36小时更换一次</w:t>
            </w:r>
            <w:r>
              <w:rPr>
                <w:rFonts w:ascii="Times New Roman" w:hAnsi="Times New Roman" w:eastAsia="宋体" w:cs="Times New Roman"/>
                <w:b w:val="0"/>
                <w:bCs/>
                <w:color w:val="auto"/>
                <w:sz w:val="24"/>
              </w:rPr>
              <w:t>产品</w:t>
            </w:r>
            <w:r>
              <w:rPr>
                <w:rFonts w:hint="eastAsia" w:ascii="Times New Roman" w:hAnsi="Times New Roman" w:eastAsia="宋体" w:cs="Times New Roman"/>
                <w:b w:val="0"/>
                <w:bCs/>
                <w:color w:val="auto"/>
                <w:sz w:val="24"/>
                <w:lang w:eastAsia="zh-CN"/>
              </w:rPr>
              <w:t>，</w:t>
            </w:r>
            <w:r>
              <w:rPr>
                <w:rFonts w:hint="eastAsia" w:ascii="Times New Roman" w:hAnsi="Times New Roman" w:eastAsia="宋体" w:cs="Times New Roman"/>
                <w:b w:val="0"/>
                <w:bCs/>
                <w:color w:val="auto"/>
                <w:sz w:val="24"/>
                <w:lang w:val="en-US" w:eastAsia="zh-CN"/>
              </w:rPr>
              <w:t>单条生产线平均更换220次，产品转换时</w:t>
            </w:r>
            <w:r>
              <w:rPr>
                <w:rFonts w:ascii="Times New Roman" w:hAnsi="Times New Roman" w:eastAsia="宋体" w:cs="Times New Roman"/>
                <w:b w:val="0"/>
                <w:bCs/>
                <w:color w:val="auto"/>
                <w:sz w:val="24"/>
              </w:rPr>
              <w:t>需对各项设备、连接管路进行清洗，</w:t>
            </w:r>
            <w:r>
              <w:rPr>
                <w:rFonts w:hint="eastAsia" w:ascii="Times New Roman" w:hAnsi="Times New Roman" w:eastAsia="宋体" w:cs="Times New Roman"/>
                <w:b w:val="0"/>
                <w:bCs/>
                <w:color w:val="auto"/>
                <w:sz w:val="24"/>
                <w:lang w:val="en-US" w:eastAsia="zh-CN"/>
              </w:rPr>
              <w:t>单条线单次清洗需要水量50m</w:t>
            </w:r>
            <w:r>
              <w:rPr>
                <w:rFonts w:hint="eastAsia" w:ascii="Times New Roman" w:hAnsi="Times New Roman" w:eastAsia="宋体" w:cs="Times New Roman"/>
                <w:b w:val="0"/>
                <w:bCs/>
                <w:color w:val="auto"/>
                <w:sz w:val="24"/>
                <w:vertAlign w:val="superscript"/>
                <w:lang w:val="en-US" w:eastAsia="zh-CN"/>
              </w:rPr>
              <w:t>3</w:t>
            </w:r>
            <w:r>
              <w:rPr>
                <w:rFonts w:hint="eastAsia" w:ascii="Times New Roman" w:hAnsi="Times New Roman" w:eastAsia="宋体" w:cs="Times New Roman"/>
                <w:b w:val="0"/>
                <w:bCs/>
                <w:color w:val="auto"/>
                <w:sz w:val="24"/>
                <w:lang w:eastAsia="zh-CN"/>
              </w:rPr>
              <w:t>，</w:t>
            </w:r>
            <w:r>
              <w:rPr>
                <w:rFonts w:hint="eastAsia" w:ascii="Times New Roman" w:hAnsi="Times New Roman" w:eastAsia="宋体" w:cs="Times New Roman"/>
                <w:b w:val="0"/>
                <w:bCs/>
                <w:color w:val="auto"/>
                <w:sz w:val="24"/>
              </w:rPr>
              <w:t>清洗用水依次为纯水→碱液</w:t>
            </w:r>
            <w:r>
              <w:rPr>
                <w:rFonts w:hint="eastAsia" w:ascii="Times New Roman" w:hAnsi="Times New Roman" w:eastAsia="宋体" w:cs="Times New Roman"/>
                <w:b w:val="0"/>
                <w:bCs/>
                <w:color w:val="auto"/>
                <w:sz w:val="24"/>
                <w:lang w:eastAsia="zh-CN"/>
              </w:rPr>
              <w:t>（</w:t>
            </w:r>
            <w:r>
              <w:rPr>
                <w:rFonts w:hint="eastAsia" w:ascii="Times New Roman" w:hAnsi="Times New Roman" w:eastAsia="宋体" w:cs="Times New Roman"/>
                <w:b w:val="0"/>
                <w:bCs/>
                <w:color w:val="auto"/>
                <w:sz w:val="24"/>
                <w:lang w:val="en-US" w:eastAsia="zh-CN"/>
              </w:rPr>
              <w:t>2%</w:t>
            </w:r>
            <w:r>
              <w:rPr>
                <w:rFonts w:hint="eastAsia" w:ascii="Times New Roman" w:hAnsi="Times New Roman" w:eastAsia="宋体" w:cs="Times New Roman"/>
                <w:b w:val="0"/>
                <w:bCs/>
                <w:color w:val="auto"/>
                <w:sz w:val="24"/>
                <w:lang w:eastAsia="zh-CN"/>
              </w:rPr>
              <w:t>）</w:t>
            </w:r>
            <w:r>
              <w:rPr>
                <w:rFonts w:hint="eastAsia" w:ascii="Times New Roman" w:hAnsi="Times New Roman" w:eastAsia="宋体" w:cs="Times New Roman"/>
                <w:b w:val="0"/>
                <w:bCs/>
                <w:color w:val="auto"/>
                <w:sz w:val="24"/>
              </w:rPr>
              <w:t>→纯水→酸液</w:t>
            </w:r>
            <w:r>
              <w:rPr>
                <w:rFonts w:hint="eastAsia" w:ascii="Times New Roman" w:hAnsi="Times New Roman" w:eastAsia="宋体" w:cs="Times New Roman"/>
                <w:b w:val="0"/>
                <w:bCs/>
                <w:color w:val="auto"/>
                <w:sz w:val="24"/>
                <w:lang w:eastAsia="zh-CN"/>
              </w:rPr>
              <w:t>（</w:t>
            </w:r>
            <w:r>
              <w:rPr>
                <w:rFonts w:hint="eastAsia" w:ascii="Times New Roman" w:hAnsi="Times New Roman" w:eastAsia="宋体" w:cs="Times New Roman"/>
                <w:b w:val="0"/>
                <w:bCs/>
                <w:color w:val="auto"/>
                <w:sz w:val="24"/>
                <w:lang w:val="en-US" w:eastAsia="zh-CN"/>
              </w:rPr>
              <w:t>1%</w:t>
            </w:r>
            <w:r>
              <w:rPr>
                <w:rFonts w:hint="eastAsia" w:ascii="Times New Roman" w:hAnsi="Times New Roman" w:eastAsia="宋体" w:cs="Times New Roman"/>
                <w:b w:val="0"/>
                <w:bCs/>
                <w:color w:val="auto"/>
                <w:sz w:val="24"/>
                <w:lang w:eastAsia="zh-CN"/>
              </w:rPr>
              <w:t>）</w:t>
            </w:r>
            <w:r>
              <w:rPr>
                <w:rFonts w:hint="eastAsia" w:ascii="Times New Roman" w:hAnsi="Times New Roman" w:eastAsia="宋体" w:cs="Times New Roman"/>
                <w:b w:val="0"/>
                <w:bCs/>
                <w:color w:val="auto"/>
                <w:sz w:val="24"/>
              </w:rPr>
              <w:t>→无菌水，酸液和碱液定期添加，</w:t>
            </w:r>
            <w:r>
              <w:rPr>
                <w:rFonts w:ascii="Times New Roman" w:hAnsi="Times New Roman" w:eastAsia="宋体" w:cs="Times New Roman"/>
                <w:b w:val="0"/>
                <w:bCs/>
                <w:color w:val="auto"/>
                <w:sz w:val="24"/>
              </w:rPr>
              <w:t>纯水用水量</w:t>
            </w:r>
            <w:r>
              <w:rPr>
                <w:rFonts w:hint="eastAsia" w:ascii="Times New Roman" w:hAnsi="Times New Roman" w:eastAsia="宋体" w:cs="Times New Roman"/>
                <w:b w:val="0"/>
                <w:bCs/>
                <w:color w:val="auto"/>
                <w:sz w:val="24"/>
                <w:lang w:val="en-US" w:eastAsia="zh-CN"/>
              </w:rPr>
              <w:t>约</w:t>
            </w:r>
            <w:r>
              <w:rPr>
                <w:rFonts w:ascii="Times New Roman" w:hAnsi="Times New Roman" w:eastAsia="宋体" w:cs="Times New Roman"/>
                <w:b w:val="0"/>
                <w:bCs/>
                <w:color w:val="auto"/>
                <w:sz w:val="24"/>
              </w:rPr>
              <w:t>为</w:t>
            </w:r>
            <w:r>
              <w:rPr>
                <w:rFonts w:hint="eastAsia" w:ascii="Times New Roman" w:hAnsi="Times New Roman" w:eastAsia="宋体" w:cs="Times New Roman"/>
                <w:b w:val="0"/>
                <w:bCs/>
                <w:color w:val="auto"/>
                <w:sz w:val="24"/>
                <w:lang w:val="en-US" w:eastAsia="zh-CN"/>
              </w:rPr>
              <w:t>22000m</w:t>
            </w:r>
            <w:r>
              <w:rPr>
                <w:rFonts w:hint="eastAsia" w:ascii="Times New Roman" w:hAnsi="Times New Roman" w:eastAsia="宋体" w:cs="Times New Roman"/>
                <w:b w:val="0"/>
                <w:bCs/>
                <w:color w:val="auto"/>
                <w:sz w:val="24"/>
                <w:vertAlign w:val="superscript"/>
                <w:lang w:val="en-US" w:eastAsia="zh-CN"/>
              </w:rPr>
              <w:t>3</w:t>
            </w:r>
            <w:r>
              <w:rPr>
                <w:rFonts w:hint="eastAsia" w:ascii="Times New Roman" w:hAnsi="Times New Roman" w:eastAsia="宋体" w:cs="Times New Roman"/>
                <w:b w:val="0"/>
                <w:bCs/>
                <w:color w:val="auto"/>
                <w:sz w:val="24"/>
                <w:lang w:val="en-US" w:eastAsia="zh-CN"/>
              </w:rPr>
              <w:t>/a</w:t>
            </w:r>
            <w:r>
              <w:rPr>
                <w:rFonts w:ascii="Times New Roman" w:hAnsi="Times New Roman" w:eastAsia="宋体" w:cs="Times New Roman"/>
                <w:b w:val="0"/>
                <w:bCs/>
                <w:color w:val="auto"/>
                <w:sz w:val="24"/>
              </w:rPr>
              <w:t>，损耗量以10%计，则设备清洗废水产生量为</w:t>
            </w:r>
            <w:r>
              <w:rPr>
                <w:rFonts w:hint="eastAsia" w:ascii="Times New Roman" w:hAnsi="Times New Roman" w:eastAsia="宋体" w:cs="Times New Roman"/>
                <w:b w:val="0"/>
                <w:bCs/>
                <w:color w:val="auto"/>
                <w:sz w:val="24"/>
                <w:lang w:val="en-US" w:eastAsia="zh-CN"/>
              </w:rPr>
              <w:t>19800m</w:t>
            </w:r>
            <w:r>
              <w:rPr>
                <w:rFonts w:hint="eastAsia" w:ascii="Times New Roman" w:hAnsi="Times New Roman" w:eastAsia="宋体" w:cs="Times New Roman"/>
                <w:b w:val="0"/>
                <w:bCs/>
                <w:color w:val="auto"/>
                <w:sz w:val="24"/>
                <w:vertAlign w:val="superscript"/>
                <w:lang w:val="en-US" w:eastAsia="zh-CN"/>
              </w:rPr>
              <w:t>3</w:t>
            </w:r>
            <w:r>
              <w:rPr>
                <w:rFonts w:hint="eastAsia" w:ascii="Times New Roman" w:hAnsi="Times New Roman" w:eastAsia="宋体" w:cs="Times New Roman"/>
                <w:b w:val="0"/>
                <w:bCs/>
                <w:color w:val="auto"/>
                <w:sz w:val="24"/>
                <w:lang w:val="en-US" w:eastAsia="zh-CN"/>
              </w:rPr>
              <w:t>/a。设备清洗废水经厂区污水处理站后接管至</w:t>
            </w:r>
            <w:r>
              <w:rPr>
                <w:rFonts w:hint="eastAsia" w:ascii="Times New Roman" w:hAnsi="Times New Roman" w:eastAsia="宋体" w:cs="Times New Roman"/>
                <w:b w:val="0"/>
                <w:bCs/>
                <w:color w:val="auto"/>
                <w:sz w:val="24"/>
              </w:rPr>
              <w:t>涟水经济开发</w:t>
            </w:r>
            <w:r>
              <w:rPr>
                <w:rFonts w:hint="eastAsia" w:ascii="Times New Roman" w:hAnsi="Times New Roman" w:eastAsia="宋体" w:cs="Times New Roman"/>
                <w:b w:val="0"/>
                <w:bCs/>
                <w:color w:val="auto"/>
                <w:sz w:val="24"/>
                <w:lang w:val="en-US" w:eastAsia="zh-CN"/>
              </w:rPr>
              <w:t>区</w:t>
            </w:r>
            <w:r>
              <w:rPr>
                <w:rFonts w:hint="eastAsia" w:ascii="Times New Roman" w:hAnsi="Times New Roman" w:eastAsia="宋体" w:cs="Times New Roman"/>
                <w:b w:val="0"/>
                <w:bCs/>
                <w:color w:val="auto"/>
                <w:sz w:val="24"/>
              </w:rPr>
              <w:t>西区</w:t>
            </w:r>
            <w:r>
              <w:rPr>
                <w:rFonts w:ascii="Times New Roman" w:hAnsi="Times New Roman" w:eastAsia="宋体" w:cs="Times New Roman"/>
                <w:b w:val="0"/>
                <w:bCs/>
                <w:color w:val="auto"/>
                <w:sz w:val="24"/>
              </w:rPr>
              <w:t>污水处理</w:t>
            </w:r>
            <w:r>
              <w:rPr>
                <w:rFonts w:hint="eastAsia" w:ascii="Times New Roman" w:hAnsi="Times New Roman" w:eastAsia="宋体" w:cs="Times New Roman"/>
                <w:b w:val="0"/>
                <w:bCs/>
                <w:color w:val="auto"/>
                <w:sz w:val="24"/>
                <w:lang w:val="en-US" w:eastAsia="zh-CN"/>
              </w:rPr>
              <w:t>厂处理</w:t>
            </w:r>
            <w:r>
              <w:rPr>
                <w:rFonts w:ascii="Times New Roman" w:hAnsi="Times New Roman" w:eastAsia="宋体" w:cs="Times New Roman"/>
                <w:b w:val="0"/>
                <w:bCs/>
                <w:color w:val="auto"/>
                <w:sz w:val="24"/>
              </w:rPr>
              <w:t>。</w:t>
            </w:r>
          </w:p>
          <w:p w14:paraId="09F292B7">
            <w:pPr>
              <w:pStyle w:val="17"/>
              <w:keepNext w:val="0"/>
              <w:keepLines w:val="0"/>
              <w:pageBreakBefore w:val="0"/>
              <w:widowControl w:val="0"/>
              <w:kinsoku/>
              <w:wordWrap/>
              <w:overflowPunct/>
              <w:topLinePunct w:val="0"/>
              <w:bidi w:val="0"/>
              <w:spacing w:line="360" w:lineRule="auto"/>
              <w:ind w:firstLine="480" w:firstLineChars="200"/>
              <w:textAlignment w:val="auto"/>
              <w:rPr>
                <w:rFonts w:ascii="Times New Roman" w:hAnsi="Times New Roman" w:eastAsia="宋体" w:cs="Times New Roman"/>
                <w:b w:val="0"/>
                <w:bCs/>
                <w:color w:val="auto"/>
                <w:sz w:val="24"/>
              </w:rPr>
            </w:pPr>
            <w:r>
              <w:rPr>
                <w:rFonts w:ascii="Times New Roman" w:hAnsi="Times New Roman" w:eastAsia="宋体" w:cs="Times New Roman"/>
                <w:b w:val="0"/>
                <w:bCs/>
                <w:color w:val="auto"/>
                <w:sz w:val="24"/>
              </w:rPr>
              <w:t>（</w:t>
            </w:r>
            <w:r>
              <w:rPr>
                <w:rFonts w:hint="eastAsia" w:ascii="Times New Roman" w:hAnsi="Times New Roman" w:eastAsia="宋体" w:cs="Times New Roman"/>
                <w:b w:val="0"/>
                <w:bCs/>
                <w:color w:val="auto"/>
                <w:sz w:val="24"/>
                <w:lang w:val="en-US" w:eastAsia="zh-CN"/>
              </w:rPr>
              <w:t>4</w:t>
            </w:r>
            <w:r>
              <w:rPr>
                <w:rFonts w:ascii="Times New Roman" w:hAnsi="Times New Roman" w:eastAsia="宋体" w:cs="Times New Roman"/>
                <w:b w:val="0"/>
                <w:bCs/>
                <w:color w:val="auto"/>
                <w:sz w:val="24"/>
              </w:rPr>
              <w:t>）地面</w:t>
            </w:r>
            <w:r>
              <w:rPr>
                <w:rFonts w:hint="eastAsia" w:ascii="Times New Roman" w:hAnsi="Times New Roman" w:eastAsia="宋体" w:cs="Times New Roman"/>
                <w:b w:val="0"/>
                <w:bCs/>
                <w:color w:val="auto"/>
                <w:sz w:val="24"/>
                <w:lang w:val="en-US" w:eastAsia="zh-CN"/>
              </w:rPr>
              <w:t>清洗</w:t>
            </w:r>
            <w:r>
              <w:rPr>
                <w:rFonts w:ascii="Times New Roman" w:hAnsi="Times New Roman" w:eastAsia="宋体" w:cs="Times New Roman"/>
                <w:b w:val="0"/>
                <w:bCs/>
                <w:color w:val="auto"/>
                <w:sz w:val="24"/>
              </w:rPr>
              <w:t>用水</w:t>
            </w:r>
          </w:p>
          <w:p w14:paraId="79D41406">
            <w:pPr>
              <w:pStyle w:val="17"/>
              <w:keepNext w:val="0"/>
              <w:keepLines w:val="0"/>
              <w:pageBreakBefore w:val="0"/>
              <w:widowControl w:val="0"/>
              <w:kinsoku/>
              <w:wordWrap/>
              <w:overflowPunct/>
              <w:topLinePunct w:val="0"/>
              <w:bidi w:val="0"/>
              <w:spacing w:line="360" w:lineRule="auto"/>
              <w:ind w:firstLine="480" w:firstLineChars="200"/>
              <w:textAlignment w:val="auto"/>
              <w:rPr>
                <w:rFonts w:ascii="Times New Roman" w:hAnsi="Times New Roman" w:eastAsia="宋体" w:cs="Times New Roman"/>
                <w:b w:val="0"/>
                <w:bCs/>
                <w:color w:val="auto"/>
                <w:sz w:val="24"/>
              </w:rPr>
            </w:pPr>
            <w:r>
              <w:rPr>
                <w:rFonts w:ascii="Times New Roman" w:hAnsi="Times New Roman" w:eastAsia="宋体" w:cs="Times New Roman"/>
                <w:b w:val="0"/>
                <w:bCs/>
                <w:color w:val="auto"/>
                <w:sz w:val="24"/>
              </w:rPr>
              <w:t>项目车间地面清洁度要求较高，每天需对生产车间地面进行清洁，以保持清洁，其清洗用水采用纯水制备产生的</w:t>
            </w:r>
            <w:r>
              <w:rPr>
                <w:rFonts w:hint="eastAsia" w:ascii="Times New Roman" w:hAnsi="Times New Roman" w:eastAsia="宋体" w:cs="Times New Roman"/>
                <w:b w:val="0"/>
                <w:bCs/>
                <w:color w:val="auto"/>
                <w:sz w:val="24"/>
                <w:lang w:val="en-US" w:eastAsia="zh-CN"/>
              </w:rPr>
              <w:t>废</w:t>
            </w:r>
            <w:r>
              <w:rPr>
                <w:rFonts w:ascii="Times New Roman" w:hAnsi="Times New Roman" w:eastAsia="宋体" w:cs="Times New Roman"/>
                <w:b w:val="0"/>
                <w:bCs/>
                <w:color w:val="auto"/>
                <w:sz w:val="24"/>
              </w:rPr>
              <w:t>水，每次用水量以2</w:t>
            </w:r>
            <w:r>
              <w:rPr>
                <w:rFonts w:hint="eastAsia" w:ascii="Times New Roman" w:hAnsi="Times New Roman" w:cs="Times New Roman"/>
                <w:b w:val="0"/>
                <w:bCs/>
                <w:color w:val="auto"/>
                <w:sz w:val="24"/>
                <w:lang w:val="en-US" w:eastAsia="zh-CN"/>
              </w:rPr>
              <w:t>L</w:t>
            </w:r>
            <w:r>
              <w:rPr>
                <w:rFonts w:ascii="Times New Roman" w:hAnsi="Times New Roman" w:eastAsia="宋体" w:cs="Times New Roman"/>
                <w:b w:val="0"/>
                <w:bCs/>
                <w:color w:val="auto"/>
                <w:sz w:val="24"/>
              </w:rPr>
              <w:t>/m</w:t>
            </w:r>
            <w:r>
              <w:rPr>
                <w:rFonts w:ascii="Times New Roman" w:hAnsi="Times New Roman" w:eastAsia="宋体" w:cs="Times New Roman"/>
                <w:b w:val="0"/>
                <w:bCs/>
                <w:color w:val="auto"/>
                <w:sz w:val="24"/>
                <w:vertAlign w:val="superscript"/>
              </w:rPr>
              <w:t>2</w:t>
            </w:r>
            <w:r>
              <w:rPr>
                <w:rFonts w:ascii="Times New Roman" w:hAnsi="Times New Roman" w:eastAsia="宋体" w:cs="Times New Roman"/>
                <w:b w:val="0"/>
                <w:bCs/>
                <w:color w:val="auto"/>
                <w:sz w:val="24"/>
              </w:rPr>
              <w:t>计，</w:t>
            </w:r>
            <w:r>
              <w:rPr>
                <w:rFonts w:hint="eastAsia" w:ascii="Times New Roman" w:hAnsi="Times New Roman" w:eastAsia="宋体" w:cs="Times New Roman"/>
                <w:b w:val="0"/>
                <w:bCs/>
                <w:color w:val="auto"/>
                <w:sz w:val="24"/>
                <w:lang w:val="en-US" w:eastAsia="zh-CN"/>
              </w:rPr>
              <w:t>每日清洁一次，</w:t>
            </w:r>
            <w:r>
              <w:rPr>
                <w:rFonts w:ascii="Times New Roman" w:hAnsi="Times New Roman" w:eastAsia="宋体" w:cs="Times New Roman"/>
                <w:b w:val="0"/>
                <w:bCs/>
                <w:color w:val="auto"/>
                <w:sz w:val="24"/>
              </w:rPr>
              <w:t>生产车间</w:t>
            </w:r>
            <w:r>
              <w:rPr>
                <w:rFonts w:hint="eastAsia" w:ascii="Times New Roman" w:hAnsi="Times New Roman" w:eastAsia="宋体" w:cs="Times New Roman"/>
                <w:b w:val="0"/>
                <w:bCs/>
                <w:color w:val="auto"/>
                <w:sz w:val="24"/>
                <w:lang w:val="en-US" w:eastAsia="zh-CN"/>
              </w:rPr>
              <w:t>需要清洗的</w:t>
            </w:r>
            <w:r>
              <w:rPr>
                <w:rFonts w:ascii="Times New Roman" w:hAnsi="Times New Roman" w:eastAsia="宋体" w:cs="Times New Roman"/>
                <w:b w:val="0"/>
                <w:bCs/>
                <w:color w:val="auto"/>
                <w:sz w:val="24"/>
              </w:rPr>
              <w:t>面积</w:t>
            </w:r>
            <w:r>
              <w:rPr>
                <w:rFonts w:hint="eastAsia" w:ascii="Times New Roman" w:hAnsi="Times New Roman" w:eastAsia="宋体" w:cs="Times New Roman"/>
                <w:b w:val="0"/>
                <w:bCs/>
                <w:color w:val="auto"/>
                <w:sz w:val="24"/>
                <w:lang w:val="en-US" w:eastAsia="zh-CN"/>
              </w:rPr>
              <w:t>约</w:t>
            </w:r>
            <w:r>
              <w:rPr>
                <w:rFonts w:ascii="Times New Roman" w:hAnsi="Times New Roman" w:eastAsia="宋体" w:cs="Times New Roman"/>
                <w:b w:val="0"/>
                <w:bCs/>
                <w:color w:val="auto"/>
                <w:sz w:val="24"/>
              </w:rPr>
              <w:t>为</w:t>
            </w:r>
            <w:r>
              <w:rPr>
                <w:rFonts w:hint="eastAsia" w:ascii="Times New Roman" w:hAnsi="Times New Roman" w:eastAsia="宋体" w:cs="Times New Roman"/>
                <w:b w:val="0"/>
                <w:bCs/>
                <w:color w:val="auto"/>
                <w:sz w:val="24"/>
                <w:lang w:val="en-US" w:eastAsia="zh-CN"/>
              </w:rPr>
              <w:t>5000</w:t>
            </w:r>
            <w:r>
              <w:rPr>
                <w:rFonts w:ascii="Times New Roman" w:hAnsi="Times New Roman" w:eastAsia="宋体" w:cs="Times New Roman"/>
                <w:b w:val="0"/>
                <w:bCs/>
                <w:color w:val="auto"/>
                <w:sz w:val="24"/>
              </w:rPr>
              <w:t>m</w:t>
            </w:r>
            <w:r>
              <w:rPr>
                <w:rFonts w:ascii="Times New Roman" w:hAnsi="Times New Roman" w:eastAsia="宋体" w:cs="Times New Roman"/>
                <w:b w:val="0"/>
                <w:bCs/>
                <w:color w:val="auto"/>
                <w:sz w:val="24"/>
                <w:vertAlign w:val="superscript"/>
              </w:rPr>
              <w:t>2</w:t>
            </w:r>
            <w:r>
              <w:rPr>
                <w:rFonts w:ascii="Times New Roman" w:hAnsi="Times New Roman" w:eastAsia="宋体" w:cs="Times New Roman"/>
                <w:b w:val="0"/>
                <w:bCs/>
                <w:color w:val="auto"/>
                <w:sz w:val="24"/>
              </w:rPr>
              <w:t>，年生产</w:t>
            </w:r>
            <w:r>
              <w:rPr>
                <w:rFonts w:hint="eastAsia" w:ascii="Times New Roman" w:hAnsi="Times New Roman" w:eastAsia="宋体" w:cs="Times New Roman"/>
                <w:b w:val="0"/>
                <w:bCs/>
                <w:color w:val="auto"/>
                <w:sz w:val="24"/>
                <w:lang w:val="en-US" w:eastAsia="zh-CN"/>
              </w:rPr>
              <w:t>33</w:t>
            </w:r>
            <w:r>
              <w:rPr>
                <w:rFonts w:ascii="Times New Roman" w:hAnsi="Times New Roman" w:eastAsia="宋体" w:cs="Times New Roman"/>
                <w:b w:val="0"/>
                <w:bCs/>
                <w:color w:val="auto"/>
                <w:sz w:val="24"/>
              </w:rPr>
              <w:t>0天，则</w:t>
            </w:r>
            <w:r>
              <w:rPr>
                <w:rFonts w:hint="eastAsia" w:ascii="Times New Roman" w:hAnsi="Times New Roman" w:eastAsia="宋体" w:cs="Times New Roman"/>
                <w:b w:val="0"/>
                <w:bCs/>
                <w:color w:val="auto"/>
                <w:sz w:val="24"/>
                <w:lang w:val="en-US" w:eastAsia="zh-CN"/>
              </w:rPr>
              <w:t>车间地面清洗年</w:t>
            </w:r>
            <w:r>
              <w:rPr>
                <w:rFonts w:ascii="Times New Roman" w:hAnsi="Times New Roman" w:eastAsia="宋体" w:cs="Times New Roman"/>
                <w:b w:val="0"/>
                <w:bCs/>
                <w:color w:val="auto"/>
                <w:sz w:val="24"/>
              </w:rPr>
              <w:t>用</w:t>
            </w:r>
            <w:r>
              <w:rPr>
                <w:rFonts w:hint="eastAsia" w:ascii="Times New Roman" w:hAnsi="Times New Roman" w:eastAsia="宋体" w:cs="Times New Roman"/>
                <w:b w:val="0"/>
                <w:bCs/>
                <w:color w:val="auto"/>
                <w:sz w:val="24"/>
                <w:lang w:val="en-US" w:eastAsia="zh-CN"/>
              </w:rPr>
              <w:t>水</w:t>
            </w:r>
            <w:r>
              <w:rPr>
                <w:rFonts w:ascii="Times New Roman" w:hAnsi="Times New Roman" w:eastAsia="宋体" w:cs="Times New Roman"/>
                <w:b w:val="0"/>
                <w:bCs/>
                <w:color w:val="auto"/>
                <w:sz w:val="24"/>
              </w:rPr>
              <w:t>量为</w:t>
            </w:r>
            <w:r>
              <w:rPr>
                <w:rFonts w:hint="eastAsia" w:ascii="Times New Roman" w:hAnsi="Times New Roman" w:eastAsia="宋体" w:cs="Times New Roman"/>
                <w:b w:val="0"/>
                <w:bCs/>
                <w:color w:val="auto"/>
                <w:sz w:val="24"/>
                <w:lang w:val="en-US" w:eastAsia="zh-CN"/>
              </w:rPr>
              <w:t>3300m</w:t>
            </w:r>
            <w:r>
              <w:rPr>
                <w:rFonts w:hint="eastAsia" w:ascii="Times New Roman" w:hAnsi="Times New Roman" w:eastAsia="宋体" w:cs="Times New Roman"/>
                <w:b w:val="0"/>
                <w:bCs/>
                <w:color w:val="auto"/>
                <w:sz w:val="24"/>
                <w:vertAlign w:val="superscript"/>
                <w:lang w:val="en-US" w:eastAsia="zh-CN"/>
              </w:rPr>
              <w:t>3</w:t>
            </w:r>
            <w:r>
              <w:rPr>
                <w:rFonts w:hint="eastAsia" w:ascii="Times New Roman" w:hAnsi="Times New Roman" w:eastAsia="宋体" w:cs="Times New Roman"/>
                <w:b w:val="0"/>
                <w:bCs/>
                <w:color w:val="auto"/>
                <w:sz w:val="24"/>
                <w:lang w:val="en-US" w:eastAsia="zh-CN"/>
              </w:rPr>
              <w:t>/a</w:t>
            </w:r>
            <w:r>
              <w:rPr>
                <w:rFonts w:ascii="Times New Roman" w:hAnsi="Times New Roman" w:eastAsia="宋体" w:cs="Times New Roman"/>
                <w:b w:val="0"/>
                <w:bCs/>
                <w:color w:val="auto"/>
                <w:sz w:val="24"/>
              </w:rPr>
              <w:t>，排污系数以80%计，车间清洁废水产生量为</w:t>
            </w:r>
            <w:r>
              <w:rPr>
                <w:rFonts w:hint="eastAsia" w:ascii="Times New Roman" w:hAnsi="Times New Roman" w:eastAsia="宋体" w:cs="Times New Roman"/>
                <w:b w:val="0"/>
                <w:bCs/>
                <w:color w:val="auto"/>
                <w:sz w:val="24"/>
                <w:lang w:val="en-US" w:eastAsia="zh-CN"/>
              </w:rPr>
              <w:t>2640m</w:t>
            </w:r>
            <w:r>
              <w:rPr>
                <w:rFonts w:hint="eastAsia" w:ascii="Times New Roman" w:hAnsi="Times New Roman" w:eastAsia="宋体" w:cs="Times New Roman"/>
                <w:b w:val="0"/>
                <w:bCs/>
                <w:color w:val="auto"/>
                <w:sz w:val="24"/>
                <w:vertAlign w:val="superscript"/>
                <w:lang w:val="en-US" w:eastAsia="zh-CN"/>
              </w:rPr>
              <w:t>3</w:t>
            </w:r>
            <w:r>
              <w:rPr>
                <w:rFonts w:hint="eastAsia" w:ascii="Times New Roman" w:hAnsi="Times New Roman" w:eastAsia="宋体" w:cs="Times New Roman"/>
                <w:b w:val="0"/>
                <w:bCs/>
                <w:color w:val="auto"/>
                <w:sz w:val="24"/>
                <w:lang w:val="en-US" w:eastAsia="zh-CN"/>
              </w:rPr>
              <w:t>/a</w:t>
            </w:r>
            <w:r>
              <w:rPr>
                <w:rFonts w:ascii="Times New Roman" w:hAnsi="Times New Roman" w:eastAsia="宋体" w:cs="Times New Roman"/>
                <w:b w:val="0"/>
                <w:bCs/>
                <w:color w:val="auto"/>
                <w:sz w:val="24"/>
              </w:rPr>
              <w:t>。</w:t>
            </w:r>
            <w:r>
              <w:rPr>
                <w:rFonts w:hint="eastAsia" w:ascii="Times New Roman" w:hAnsi="Times New Roman" w:eastAsia="宋体" w:cs="Times New Roman"/>
                <w:b w:val="0"/>
                <w:bCs/>
                <w:color w:val="auto"/>
                <w:sz w:val="24"/>
                <w:lang w:val="en-US" w:eastAsia="zh-CN"/>
              </w:rPr>
              <w:t>地面清洗</w:t>
            </w:r>
            <w:r>
              <w:rPr>
                <w:rFonts w:hint="eastAsia" w:ascii="Times New Roman" w:hAnsi="Times New Roman" w:cs="Times New Roman"/>
                <w:b w:val="0"/>
                <w:bCs/>
                <w:color w:val="auto"/>
                <w:sz w:val="24"/>
                <w:lang w:val="en-US" w:eastAsia="zh-CN"/>
              </w:rPr>
              <w:t>废水</w:t>
            </w:r>
            <w:r>
              <w:rPr>
                <w:rFonts w:hint="eastAsia" w:ascii="Times New Roman" w:hAnsi="Times New Roman" w:eastAsia="宋体" w:cs="Times New Roman"/>
                <w:b w:val="0"/>
                <w:bCs/>
                <w:color w:val="auto"/>
                <w:sz w:val="24"/>
                <w:lang w:val="en-US" w:eastAsia="zh-CN"/>
              </w:rPr>
              <w:t>经厂区污水处理站后接管至</w:t>
            </w:r>
            <w:r>
              <w:rPr>
                <w:rFonts w:hint="eastAsia" w:ascii="Times New Roman" w:hAnsi="Times New Roman" w:eastAsia="宋体" w:cs="Times New Roman"/>
                <w:b w:val="0"/>
                <w:bCs/>
                <w:color w:val="auto"/>
                <w:sz w:val="24"/>
              </w:rPr>
              <w:t>涟水经济开发</w:t>
            </w:r>
            <w:r>
              <w:rPr>
                <w:rFonts w:hint="eastAsia" w:ascii="Times New Roman" w:hAnsi="Times New Roman" w:eastAsia="宋体" w:cs="Times New Roman"/>
                <w:b w:val="0"/>
                <w:bCs/>
                <w:color w:val="auto"/>
                <w:sz w:val="24"/>
                <w:lang w:val="en-US" w:eastAsia="zh-CN"/>
              </w:rPr>
              <w:t>区</w:t>
            </w:r>
            <w:r>
              <w:rPr>
                <w:rFonts w:hint="eastAsia" w:ascii="Times New Roman" w:hAnsi="Times New Roman" w:eastAsia="宋体" w:cs="Times New Roman"/>
                <w:b w:val="0"/>
                <w:bCs/>
                <w:color w:val="auto"/>
                <w:sz w:val="24"/>
              </w:rPr>
              <w:t>西区</w:t>
            </w:r>
            <w:r>
              <w:rPr>
                <w:rFonts w:ascii="Times New Roman" w:hAnsi="Times New Roman" w:eastAsia="宋体" w:cs="Times New Roman"/>
                <w:b w:val="0"/>
                <w:bCs/>
                <w:color w:val="auto"/>
                <w:sz w:val="24"/>
              </w:rPr>
              <w:t>污水处理</w:t>
            </w:r>
            <w:r>
              <w:rPr>
                <w:rFonts w:hint="eastAsia" w:ascii="Times New Roman" w:hAnsi="Times New Roman" w:eastAsia="宋体" w:cs="Times New Roman"/>
                <w:b w:val="0"/>
                <w:bCs/>
                <w:color w:val="auto"/>
                <w:sz w:val="24"/>
                <w:lang w:val="en-US" w:eastAsia="zh-CN"/>
              </w:rPr>
              <w:t>厂处理。</w:t>
            </w:r>
          </w:p>
          <w:p w14:paraId="617A3FB9">
            <w:pPr>
              <w:pStyle w:val="17"/>
              <w:keepNext w:val="0"/>
              <w:keepLines w:val="0"/>
              <w:pageBreakBefore w:val="0"/>
              <w:widowControl w:val="0"/>
              <w:kinsoku/>
              <w:wordWrap/>
              <w:overflowPunct/>
              <w:topLinePunct w:val="0"/>
              <w:bidi w:val="0"/>
              <w:spacing w:line="360" w:lineRule="auto"/>
              <w:ind w:firstLine="480" w:firstLineChars="200"/>
              <w:textAlignment w:val="auto"/>
              <w:rPr>
                <w:rFonts w:ascii="Times New Roman" w:hAnsi="Times New Roman" w:eastAsia="宋体" w:cs="Times New Roman"/>
                <w:b w:val="0"/>
                <w:bCs/>
                <w:color w:val="auto"/>
                <w:sz w:val="24"/>
              </w:rPr>
            </w:pPr>
            <w:r>
              <w:rPr>
                <w:rFonts w:ascii="Times New Roman" w:hAnsi="Times New Roman" w:eastAsia="宋体" w:cs="Times New Roman"/>
                <w:b w:val="0"/>
                <w:bCs/>
                <w:color w:val="auto"/>
                <w:sz w:val="24"/>
              </w:rPr>
              <w:t>（</w:t>
            </w:r>
            <w:r>
              <w:rPr>
                <w:rFonts w:hint="eastAsia" w:ascii="Times New Roman" w:hAnsi="Times New Roman" w:cs="Times New Roman"/>
                <w:b w:val="0"/>
                <w:bCs/>
                <w:color w:val="auto"/>
                <w:sz w:val="24"/>
                <w:lang w:val="en-US" w:eastAsia="zh-CN"/>
              </w:rPr>
              <w:t>5</w:t>
            </w:r>
            <w:r>
              <w:rPr>
                <w:rFonts w:ascii="Times New Roman" w:hAnsi="Times New Roman" w:eastAsia="宋体" w:cs="Times New Roman"/>
                <w:b w:val="0"/>
                <w:bCs/>
                <w:color w:val="auto"/>
                <w:sz w:val="24"/>
              </w:rPr>
              <w:t>）调配用水</w:t>
            </w:r>
          </w:p>
          <w:p w14:paraId="33520C1C">
            <w:pPr>
              <w:pStyle w:val="17"/>
              <w:keepNext w:val="0"/>
              <w:keepLines w:val="0"/>
              <w:pageBreakBefore w:val="0"/>
              <w:widowControl w:val="0"/>
              <w:kinsoku/>
              <w:wordWrap/>
              <w:overflowPunct/>
              <w:topLinePunct w:val="0"/>
              <w:bidi w:val="0"/>
              <w:spacing w:line="360" w:lineRule="auto"/>
              <w:ind w:firstLine="480" w:firstLineChars="200"/>
              <w:textAlignment w:val="auto"/>
              <w:rPr>
                <w:rFonts w:ascii="Times New Roman" w:hAnsi="Times New Roman" w:eastAsia="宋体" w:cs="Times New Roman"/>
                <w:b w:val="0"/>
                <w:bCs/>
                <w:color w:val="auto"/>
                <w:sz w:val="24"/>
              </w:rPr>
            </w:pPr>
            <w:r>
              <w:rPr>
                <w:rFonts w:ascii="Times New Roman" w:hAnsi="Times New Roman" w:eastAsia="宋体" w:cs="Times New Roman"/>
                <w:b w:val="0"/>
                <w:bCs/>
                <w:color w:val="auto"/>
                <w:sz w:val="24"/>
              </w:rPr>
              <w:t>项目生产过程需加入纯水进行搅拌混合，纯水用量为</w:t>
            </w:r>
            <w:r>
              <w:rPr>
                <w:rFonts w:hint="eastAsia" w:ascii="Times New Roman" w:hAnsi="Times New Roman" w:eastAsia="宋体" w:cs="Times New Roman"/>
                <w:b w:val="0"/>
                <w:bCs/>
                <w:color w:val="auto"/>
                <w:sz w:val="24"/>
                <w:lang w:val="en-US" w:eastAsia="zh-CN"/>
              </w:rPr>
              <w:t>90110</w:t>
            </w:r>
            <w:r>
              <w:rPr>
                <w:rFonts w:ascii="Times New Roman" w:hAnsi="Times New Roman" w:eastAsia="宋体" w:cs="Times New Roman"/>
                <w:b w:val="0"/>
                <w:bCs/>
                <w:color w:val="auto"/>
                <w:sz w:val="24"/>
              </w:rPr>
              <w:t>t/a，全部进入产品。</w:t>
            </w:r>
          </w:p>
          <w:p w14:paraId="674F0913">
            <w:pPr>
              <w:pStyle w:val="17"/>
              <w:keepNext w:val="0"/>
              <w:keepLines w:val="0"/>
              <w:pageBreakBefore w:val="0"/>
              <w:widowControl w:val="0"/>
              <w:kinsoku/>
              <w:wordWrap/>
              <w:overflowPunct/>
              <w:topLinePunct w:val="0"/>
              <w:bidi w:val="0"/>
              <w:spacing w:line="360" w:lineRule="auto"/>
              <w:ind w:firstLine="480" w:firstLineChars="200"/>
              <w:textAlignment w:val="auto"/>
              <w:rPr>
                <w:rFonts w:hint="eastAsia" w:ascii="Times New Roman" w:hAnsi="Times New Roman" w:eastAsia="宋体" w:cs="Times New Roman"/>
                <w:b w:val="0"/>
                <w:bCs/>
                <w:color w:val="auto"/>
                <w:sz w:val="24"/>
                <w:lang w:val="en-US" w:eastAsia="zh-CN"/>
              </w:rPr>
            </w:pPr>
            <w:r>
              <w:rPr>
                <w:rFonts w:ascii="Times New Roman" w:hAnsi="Times New Roman" w:eastAsia="宋体" w:cs="Times New Roman"/>
                <w:b w:val="0"/>
                <w:bCs/>
                <w:color w:val="auto"/>
                <w:sz w:val="24"/>
              </w:rPr>
              <w:t>（</w:t>
            </w:r>
            <w:r>
              <w:rPr>
                <w:rFonts w:hint="eastAsia" w:ascii="Times New Roman" w:hAnsi="Times New Roman" w:eastAsia="宋体" w:cs="Times New Roman"/>
                <w:b w:val="0"/>
                <w:bCs/>
                <w:color w:val="auto"/>
                <w:sz w:val="24"/>
                <w:lang w:val="en-US" w:eastAsia="zh-CN"/>
              </w:rPr>
              <w:t>6</w:t>
            </w:r>
            <w:r>
              <w:rPr>
                <w:rFonts w:ascii="Times New Roman" w:hAnsi="Times New Roman" w:eastAsia="宋体" w:cs="Times New Roman"/>
                <w:b w:val="0"/>
                <w:bCs/>
                <w:color w:val="auto"/>
                <w:sz w:val="24"/>
              </w:rPr>
              <w:t>）纯水制备系统</w:t>
            </w:r>
            <w:r>
              <w:rPr>
                <w:rFonts w:hint="eastAsia" w:ascii="Times New Roman" w:hAnsi="Times New Roman" w:eastAsia="宋体" w:cs="Times New Roman"/>
                <w:b w:val="0"/>
                <w:bCs/>
                <w:color w:val="auto"/>
                <w:sz w:val="24"/>
                <w:lang w:val="en-US" w:eastAsia="zh-CN"/>
              </w:rPr>
              <w:t>用水</w:t>
            </w:r>
          </w:p>
          <w:p w14:paraId="1ADD6982">
            <w:pPr>
              <w:pStyle w:val="17"/>
              <w:keepNext w:val="0"/>
              <w:keepLines w:val="0"/>
              <w:pageBreakBefore w:val="0"/>
              <w:widowControl w:val="0"/>
              <w:kinsoku/>
              <w:wordWrap/>
              <w:overflowPunct/>
              <w:topLinePunct w:val="0"/>
              <w:bidi w:val="0"/>
              <w:spacing w:line="360" w:lineRule="auto"/>
              <w:ind w:firstLine="480" w:firstLineChars="200"/>
              <w:jc w:val="both"/>
              <w:textAlignment w:val="auto"/>
              <w:rPr>
                <w:rFonts w:ascii="Times New Roman" w:hAnsi="Times New Roman" w:eastAsia="宋体" w:cs="Times New Roman"/>
                <w:b w:val="0"/>
                <w:bCs/>
                <w:color w:val="auto"/>
                <w:sz w:val="24"/>
              </w:rPr>
            </w:pPr>
            <w:r>
              <w:rPr>
                <w:rFonts w:ascii="Times New Roman" w:hAnsi="Times New Roman" w:eastAsia="宋体" w:cs="Times New Roman"/>
                <w:b w:val="0"/>
                <w:bCs/>
                <w:color w:val="auto"/>
                <w:sz w:val="24"/>
              </w:rPr>
              <w:t>项目配套建设纯水制备装置，采用“</w:t>
            </w:r>
            <w:r>
              <w:rPr>
                <w:rFonts w:hint="eastAsia" w:ascii="Times New Roman" w:hAnsi="Times New Roman" w:eastAsia="宋体" w:cs="Times New Roman"/>
                <w:b w:val="0"/>
                <w:bCs/>
                <w:color w:val="auto"/>
                <w:sz w:val="24"/>
                <w:lang w:val="en-US" w:eastAsia="zh-CN"/>
              </w:rPr>
              <w:t>砂滤</w:t>
            </w:r>
            <w:r>
              <w:rPr>
                <w:rFonts w:ascii="Times New Roman" w:hAnsi="Times New Roman" w:eastAsia="宋体" w:cs="Times New Roman"/>
                <w:b w:val="0"/>
                <w:bCs/>
                <w:color w:val="auto"/>
                <w:sz w:val="24"/>
              </w:rPr>
              <w:t>+</w:t>
            </w:r>
            <w:r>
              <w:rPr>
                <w:rFonts w:hint="eastAsia" w:ascii="Times New Roman" w:hAnsi="Times New Roman" w:eastAsia="宋体" w:cs="Times New Roman"/>
                <w:b w:val="0"/>
                <w:bCs/>
                <w:color w:val="auto"/>
                <w:sz w:val="24"/>
                <w:lang w:val="en-US" w:eastAsia="zh-CN"/>
              </w:rPr>
              <w:t>活性炭过滤</w:t>
            </w:r>
            <w:r>
              <w:rPr>
                <w:rFonts w:ascii="Times New Roman" w:hAnsi="Times New Roman" w:eastAsia="宋体" w:cs="Times New Roman"/>
                <w:b w:val="0"/>
                <w:bCs/>
                <w:color w:val="auto"/>
                <w:sz w:val="24"/>
              </w:rPr>
              <w:t>+二级RO</w:t>
            </w:r>
            <w:r>
              <w:rPr>
                <w:rFonts w:hint="eastAsia" w:ascii="Times New Roman" w:hAnsi="Times New Roman" w:eastAsia="宋体" w:cs="Times New Roman"/>
                <w:b w:val="0"/>
                <w:bCs/>
                <w:color w:val="auto"/>
                <w:sz w:val="24"/>
                <w:lang w:val="en-US" w:eastAsia="zh-CN"/>
              </w:rPr>
              <w:t>+紫外消毒</w:t>
            </w:r>
            <w:r>
              <w:rPr>
                <w:rFonts w:ascii="Times New Roman" w:hAnsi="Times New Roman" w:eastAsia="宋体" w:cs="Times New Roman"/>
                <w:b w:val="0"/>
                <w:bCs/>
                <w:color w:val="auto"/>
                <w:sz w:val="24"/>
              </w:rPr>
              <w:t>”工艺。结合纯水制备装置设计方案，纯水制备效率为70%。</w:t>
            </w:r>
            <w:r>
              <w:rPr>
                <w:rFonts w:hint="eastAsia" w:ascii="Times New Roman" w:hAnsi="Times New Roman" w:eastAsia="宋体" w:cs="Times New Roman"/>
                <w:b w:val="0"/>
                <w:bCs/>
                <w:color w:val="auto"/>
                <w:sz w:val="24"/>
                <w:lang w:val="en-US" w:eastAsia="zh-CN"/>
              </w:rPr>
              <w:t>纯水制备系统废水包括反冲洗水和RO反渗透水。</w:t>
            </w:r>
            <w:r>
              <w:rPr>
                <w:rFonts w:ascii="Times New Roman" w:hAnsi="Times New Roman" w:eastAsia="宋体" w:cs="Times New Roman"/>
                <w:b w:val="0"/>
                <w:bCs/>
                <w:color w:val="auto"/>
                <w:sz w:val="24"/>
              </w:rPr>
              <w:t>根据物料平衡及水平衡，项目生产过程使用纯水总量约</w:t>
            </w:r>
            <w:r>
              <w:rPr>
                <w:rFonts w:hint="eastAsia" w:ascii="Times New Roman" w:hAnsi="Times New Roman" w:cs="Times New Roman"/>
                <w:b w:val="0"/>
                <w:bCs/>
                <w:color w:val="auto"/>
                <w:sz w:val="24"/>
                <w:lang w:val="en-US" w:eastAsia="zh-CN"/>
              </w:rPr>
              <w:t>135870</w:t>
            </w:r>
            <w:r>
              <w:rPr>
                <w:rFonts w:hint="eastAsia" w:ascii="Times New Roman" w:hAnsi="Times New Roman" w:eastAsia="宋体" w:cs="Times New Roman"/>
                <w:b w:val="0"/>
                <w:bCs/>
                <w:color w:val="auto"/>
                <w:sz w:val="24"/>
                <w:lang w:val="en-US" w:eastAsia="zh-CN"/>
              </w:rPr>
              <w:t>m</w:t>
            </w:r>
            <w:r>
              <w:rPr>
                <w:rFonts w:hint="eastAsia" w:ascii="Times New Roman" w:hAnsi="Times New Roman" w:eastAsia="宋体" w:cs="Times New Roman"/>
                <w:b w:val="0"/>
                <w:bCs/>
                <w:color w:val="auto"/>
                <w:sz w:val="24"/>
                <w:vertAlign w:val="superscript"/>
                <w:lang w:val="en-US" w:eastAsia="zh-CN"/>
              </w:rPr>
              <w:t>3</w:t>
            </w:r>
            <w:r>
              <w:rPr>
                <w:rFonts w:hint="eastAsia" w:ascii="Times New Roman" w:hAnsi="Times New Roman" w:eastAsia="宋体" w:cs="Times New Roman"/>
                <w:b w:val="0"/>
                <w:bCs/>
                <w:color w:val="auto"/>
                <w:sz w:val="24"/>
                <w:lang w:val="en-US" w:eastAsia="zh-CN"/>
              </w:rPr>
              <w:t>/a</w:t>
            </w:r>
            <w:r>
              <w:rPr>
                <w:rFonts w:ascii="Times New Roman" w:hAnsi="Times New Roman" w:eastAsia="宋体" w:cs="Times New Roman"/>
                <w:b w:val="0"/>
                <w:bCs/>
                <w:color w:val="auto"/>
                <w:sz w:val="24"/>
              </w:rPr>
              <w:t>，则需要新鲜</w:t>
            </w:r>
            <w:r>
              <w:rPr>
                <w:rFonts w:hint="eastAsia" w:ascii="Times New Roman" w:hAnsi="Times New Roman" w:cs="Times New Roman"/>
                <w:b w:val="0"/>
                <w:bCs/>
                <w:color w:val="auto"/>
                <w:sz w:val="24"/>
                <w:lang w:val="en-US" w:eastAsia="zh-CN"/>
              </w:rPr>
              <w:t>194100</w:t>
            </w:r>
            <w:r>
              <w:rPr>
                <w:rFonts w:hint="eastAsia" w:ascii="Times New Roman" w:hAnsi="Times New Roman" w:eastAsia="宋体" w:cs="Times New Roman"/>
                <w:b w:val="0"/>
                <w:bCs/>
                <w:color w:val="auto"/>
                <w:sz w:val="24"/>
                <w:lang w:val="en-US" w:eastAsia="zh-CN"/>
              </w:rPr>
              <w:t>m</w:t>
            </w:r>
            <w:r>
              <w:rPr>
                <w:rFonts w:hint="eastAsia" w:ascii="Times New Roman" w:hAnsi="Times New Roman" w:eastAsia="宋体" w:cs="Times New Roman"/>
                <w:b w:val="0"/>
                <w:bCs/>
                <w:color w:val="auto"/>
                <w:sz w:val="24"/>
                <w:vertAlign w:val="superscript"/>
                <w:lang w:val="en-US" w:eastAsia="zh-CN"/>
              </w:rPr>
              <w:t>3</w:t>
            </w:r>
            <w:r>
              <w:rPr>
                <w:rFonts w:hint="eastAsia" w:ascii="Times New Roman" w:hAnsi="Times New Roman" w:eastAsia="宋体" w:cs="Times New Roman"/>
                <w:b w:val="0"/>
                <w:bCs/>
                <w:color w:val="auto"/>
                <w:sz w:val="24"/>
                <w:lang w:val="en-US" w:eastAsia="zh-CN"/>
              </w:rPr>
              <w:t>/a</w:t>
            </w:r>
            <w:r>
              <w:rPr>
                <w:rFonts w:hint="eastAsia" w:ascii="Times New Roman" w:hAnsi="Times New Roman" w:eastAsia="宋体" w:cs="Times New Roman"/>
                <w:b w:val="0"/>
                <w:bCs/>
                <w:color w:val="auto"/>
                <w:sz w:val="24"/>
                <w:lang w:eastAsia="zh-CN"/>
              </w:rPr>
              <w:t>。</w:t>
            </w:r>
            <w:r>
              <w:rPr>
                <w:rFonts w:hint="eastAsia" w:ascii="Times New Roman" w:hAnsi="Times New Roman" w:eastAsia="宋体" w:cs="Times New Roman"/>
                <w:b w:val="0"/>
                <w:bCs/>
                <w:color w:val="auto"/>
                <w:sz w:val="24"/>
                <w:lang w:val="en-US" w:eastAsia="zh-CN"/>
              </w:rPr>
              <w:t>纯水制备废水</w:t>
            </w:r>
            <w:r>
              <w:rPr>
                <w:rFonts w:ascii="Times New Roman" w:hAnsi="Times New Roman" w:eastAsia="宋体" w:cs="Times New Roman"/>
                <w:b w:val="0"/>
                <w:bCs/>
                <w:color w:val="auto"/>
                <w:sz w:val="24"/>
              </w:rPr>
              <w:t>产生量约</w:t>
            </w:r>
            <w:r>
              <w:rPr>
                <w:rFonts w:hint="eastAsia" w:ascii="Times New Roman" w:hAnsi="Times New Roman" w:cs="Times New Roman"/>
                <w:b w:val="0"/>
                <w:bCs/>
                <w:color w:val="auto"/>
                <w:sz w:val="24"/>
                <w:lang w:val="en-US" w:eastAsia="zh-CN"/>
              </w:rPr>
              <w:t>58230</w:t>
            </w:r>
            <w:r>
              <w:rPr>
                <w:rFonts w:hint="eastAsia" w:ascii="Times New Roman" w:hAnsi="Times New Roman" w:eastAsia="宋体" w:cs="Times New Roman"/>
                <w:b w:val="0"/>
                <w:bCs/>
                <w:color w:val="auto"/>
                <w:sz w:val="24"/>
                <w:lang w:val="en-US" w:eastAsia="zh-CN"/>
              </w:rPr>
              <w:t>m</w:t>
            </w:r>
            <w:r>
              <w:rPr>
                <w:rFonts w:hint="eastAsia" w:ascii="Times New Roman" w:hAnsi="Times New Roman" w:eastAsia="宋体" w:cs="Times New Roman"/>
                <w:b w:val="0"/>
                <w:bCs/>
                <w:color w:val="auto"/>
                <w:sz w:val="24"/>
                <w:vertAlign w:val="superscript"/>
                <w:lang w:val="en-US" w:eastAsia="zh-CN"/>
              </w:rPr>
              <w:t>3</w:t>
            </w:r>
            <w:r>
              <w:rPr>
                <w:rFonts w:hint="eastAsia" w:ascii="Times New Roman" w:hAnsi="Times New Roman" w:eastAsia="宋体" w:cs="Times New Roman"/>
                <w:b w:val="0"/>
                <w:bCs/>
                <w:color w:val="auto"/>
                <w:sz w:val="24"/>
                <w:lang w:val="en-US" w:eastAsia="zh-CN"/>
              </w:rPr>
              <w:t>/a</w:t>
            </w:r>
            <w:r>
              <w:rPr>
                <w:rFonts w:ascii="Times New Roman" w:hAnsi="Times New Roman" w:eastAsia="宋体" w:cs="Times New Roman"/>
                <w:b w:val="0"/>
                <w:bCs/>
                <w:color w:val="auto"/>
                <w:sz w:val="24"/>
              </w:rPr>
              <w:t>，其中</w:t>
            </w:r>
            <w:r>
              <w:rPr>
                <w:rFonts w:hint="eastAsia" w:ascii="Times New Roman" w:hAnsi="Times New Roman" w:cs="Times New Roman"/>
                <w:b w:val="0"/>
                <w:bCs/>
                <w:color w:val="auto"/>
                <w:sz w:val="24"/>
                <w:lang w:val="en-US" w:eastAsia="zh-CN"/>
              </w:rPr>
              <w:t>12474</w:t>
            </w:r>
            <w:r>
              <w:rPr>
                <w:rFonts w:ascii="Times New Roman" w:hAnsi="Times New Roman" w:eastAsia="宋体" w:cs="Times New Roman"/>
                <w:b w:val="0"/>
                <w:bCs/>
                <w:color w:val="auto"/>
                <w:sz w:val="24"/>
              </w:rPr>
              <w:t>m</w:t>
            </w:r>
            <w:r>
              <w:rPr>
                <w:rFonts w:ascii="Times New Roman" w:hAnsi="Times New Roman" w:eastAsia="宋体" w:cs="Times New Roman"/>
                <w:b w:val="0"/>
                <w:bCs/>
                <w:color w:val="auto"/>
                <w:sz w:val="24"/>
                <w:vertAlign w:val="superscript"/>
              </w:rPr>
              <w:t>3</w:t>
            </w:r>
            <w:r>
              <w:rPr>
                <w:rFonts w:ascii="Times New Roman" w:hAnsi="Times New Roman" w:eastAsia="宋体" w:cs="Times New Roman"/>
                <w:b w:val="0"/>
                <w:bCs/>
                <w:color w:val="auto"/>
                <w:sz w:val="24"/>
              </w:rPr>
              <w:t>/a用于酸雾喷淋塔，</w:t>
            </w:r>
            <w:r>
              <w:rPr>
                <w:rFonts w:hint="eastAsia" w:ascii="Times New Roman" w:hAnsi="Times New Roman" w:eastAsia="宋体" w:cs="Times New Roman"/>
                <w:b w:val="0"/>
                <w:bCs/>
                <w:color w:val="auto"/>
                <w:sz w:val="24"/>
                <w:lang w:val="en-US" w:eastAsia="zh-CN"/>
              </w:rPr>
              <w:t>3300m</w:t>
            </w:r>
            <w:r>
              <w:rPr>
                <w:rFonts w:hint="eastAsia" w:ascii="Times New Roman" w:hAnsi="Times New Roman" w:eastAsia="宋体" w:cs="Times New Roman"/>
                <w:b w:val="0"/>
                <w:bCs/>
                <w:color w:val="auto"/>
                <w:sz w:val="24"/>
                <w:vertAlign w:val="superscript"/>
                <w:lang w:val="en-US" w:eastAsia="zh-CN"/>
              </w:rPr>
              <w:t>3</w:t>
            </w:r>
            <w:r>
              <w:rPr>
                <w:rFonts w:hint="eastAsia" w:ascii="Times New Roman" w:hAnsi="Times New Roman" w:eastAsia="宋体" w:cs="Times New Roman"/>
                <w:b w:val="0"/>
                <w:bCs/>
                <w:color w:val="auto"/>
                <w:sz w:val="24"/>
                <w:lang w:val="en-US" w:eastAsia="zh-CN"/>
              </w:rPr>
              <w:t>/a</w:t>
            </w:r>
            <w:r>
              <w:rPr>
                <w:rFonts w:ascii="Times New Roman" w:hAnsi="Times New Roman" w:eastAsia="宋体" w:cs="Times New Roman"/>
                <w:b w:val="0"/>
                <w:bCs/>
                <w:color w:val="auto"/>
                <w:sz w:val="24"/>
              </w:rPr>
              <w:t>用于车间地面冲洗，剩余作为废水</w:t>
            </w:r>
            <w:r>
              <w:rPr>
                <w:rFonts w:hint="eastAsia" w:ascii="Times New Roman" w:hAnsi="Times New Roman" w:eastAsia="宋体" w:cs="Times New Roman"/>
                <w:b w:val="0"/>
                <w:bCs/>
                <w:color w:val="auto"/>
                <w:sz w:val="24"/>
                <w:lang w:eastAsia="zh-CN"/>
              </w:rPr>
              <w:t>（</w:t>
            </w:r>
            <w:r>
              <w:rPr>
                <w:rFonts w:hint="eastAsia" w:ascii="Times New Roman" w:hAnsi="Times New Roman" w:eastAsia="宋体" w:cs="Times New Roman"/>
                <w:b w:val="0"/>
                <w:bCs/>
                <w:color w:val="auto"/>
                <w:sz w:val="24"/>
                <w:lang w:val="en-US" w:eastAsia="zh-CN"/>
              </w:rPr>
              <w:t>不经厂区污水处理站处理</w:t>
            </w:r>
            <w:r>
              <w:rPr>
                <w:rFonts w:hint="eastAsia" w:ascii="Times New Roman" w:hAnsi="Times New Roman" w:eastAsia="宋体" w:cs="Times New Roman"/>
                <w:b w:val="0"/>
                <w:bCs/>
                <w:color w:val="auto"/>
                <w:sz w:val="24"/>
                <w:lang w:eastAsia="zh-CN"/>
              </w:rPr>
              <w:t>）</w:t>
            </w:r>
            <w:r>
              <w:rPr>
                <w:rFonts w:hint="eastAsia" w:ascii="Times New Roman" w:hAnsi="Times New Roman" w:eastAsia="宋体" w:cs="Times New Roman"/>
                <w:b w:val="0"/>
                <w:bCs/>
                <w:color w:val="auto"/>
                <w:sz w:val="24"/>
              </w:rPr>
              <w:t>接管涟水经济开发</w:t>
            </w:r>
            <w:r>
              <w:rPr>
                <w:rFonts w:hint="eastAsia" w:ascii="Times New Roman" w:hAnsi="Times New Roman" w:eastAsia="宋体" w:cs="Times New Roman"/>
                <w:b w:val="0"/>
                <w:bCs/>
                <w:color w:val="auto"/>
                <w:sz w:val="24"/>
                <w:lang w:val="en-US" w:eastAsia="zh-CN"/>
              </w:rPr>
              <w:t>区</w:t>
            </w:r>
            <w:r>
              <w:rPr>
                <w:rFonts w:hint="eastAsia" w:ascii="Times New Roman" w:hAnsi="Times New Roman" w:eastAsia="宋体" w:cs="Times New Roman"/>
                <w:b w:val="0"/>
                <w:bCs/>
                <w:color w:val="auto"/>
                <w:sz w:val="24"/>
              </w:rPr>
              <w:t>西区</w:t>
            </w:r>
            <w:r>
              <w:rPr>
                <w:rFonts w:ascii="Times New Roman" w:hAnsi="Times New Roman" w:eastAsia="宋体" w:cs="Times New Roman"/>
                <w:b w:val="0"/>
                <w:bCs/>
                <w:color w:val="auto"/>
                <w:sz w:val="24"/>
              </w:rPr>
              <w:t>污水处理厂。</w:t>
            </w:r>
          </w:p>
          <w:p w14:paraId="11FFB5A1">
            <w:pPr>
              <w:pStyle w:val="17"/>
              <w:keepNext w:val="0"/>
              <w:keepLines w:val="0"/>
              <w:pageBreakBefore w:val="0"/>
              <w:widowControl w:val="0"/>
              <w:kinsoku/>
              <w:wordWrap/>
              <w:overflowPunct/>
              <w:topLinePunct w:val="0"/>
              <w:bidi w:val="0"/>
              <w:spacing w:line="360" w:lineRule="auto"/>
              <w:ind w:firstLine="480" w:firstLineChars="200"/>
              <w:textAlignment w:val="auto"/>
              <w:rPr>
                <w:rFonts w:ascii="Times New Roman" w:hAnsi="Times New Roman" w:eastAsia="宋体" w:cs="Times New Roman"/>
                <w:b w:val="0"/>
                <w:bCs/>
                <w:color w:val="auto"/>
                <w:sz w:val="24"/>
              </w:rPr>
            </w:pPr>
            <w:r>
              <w:rPr>
                <w:rFonts w:ascii="Times New Roman" w:hAnsi="Times New Roman" w:eastAsia="宋体" w:cs="Times New Roman"/>
                <w:b w:val="0"/>
                <w:bCs/>
                <w:color w:val="auto"/>
                <w:sz w:val="24"/>
              </w:rPr>
              <w:t>（</w:t>
            </w:r>
            <w:r>
              <w:rPr>
                <w:rFonts w:hint="eastAsia" w:ascii="Times New Roman" w:hAnsi="Times New Roman" w:eastAsia="宋体" w:cs="Times New Roman"/>
                <w:b w:val="0"/>
                <w:bCs/>
                <w:color w:val="auto"/>
                <w:sz w:val="24"/>
                <w:lang w:val="en-US" w:eastAsia="zh-CN"/>
              </w:rPr>
              <w:t>7</w:t>
            </w:r>
            <w:r>
              <w:rPr>
                <w:rFonts w:ascii="Times New Roman" w:hAnsi="Times New Roman" w:eastAsia="宋体" w:cs="Times New Roman"/>
                <w:b w:val="0"/>
                <w:bCs/>
                <w:color w:val="auto"/>
                <w:sz w:val="24"/>
              </w:rPr>
              <w:t>）循环冷却用水</w:t>
            </w:r>
          </w:p>
          <w:p w14:paraId="5D7CA88E">
            <w:pPr>
              <w:pStyle w:val="17"/>
              <w:keepNext w:val="0"/>
              <w:keepLines w:val="0"/>
              <w:pageBreakBefore w:val="0"/>
              <w:widowControl w:val="0"/>
              <w:kinsoku/>
              <w:wordWrap/>
              <w:overflowPunct/>
              <w:topLinePunct w:val="0"/>
              <w:bidi w:val="0"/>
              <w:spacing w:line="360" w:lineRule="auto"/>
              <w:ind w:firstLine="480" w:firstLineChars="200"/>
              <w:textAlignment w:val="auto"/>
              <w:rPr>
                <w:rFonts w:ascii="Times New Roman" w:hAnsi="Times New Roman" w:eastAsia="宋体" w:cs="Times New Roman"/>
                <w:b w:val="0"/>
                <w:bCs/>
                <w:color w:val="auto"/>
                <w:sz w:val="24"/>
              </w:rPr>
            </w:pPr>
            <w:r>
              <w:rPr>
                <w:rFonts w:hint="eastAsia" w:ascii="Times New Roman" w:hAnsi="Times New Roman" w:eastAsia="宋体" w:cs="Times New Roman"/>
                <w:b w:val="0"/>
                <w:bCs/>
                <w:color w:val="auto"/>
                <w:sz w:val="24"/>
                <w:lang w:val="en-US" w:eastAsia="zh-CN"/>
              </w:rPr>
              <w:t>本</w:t>
            </w:r>
            <w:r>
              <w:rPr>
                <w:rFonts w:ascii="Times New Roman" w:hAnsi="Times New Roman" w:eastAsia="宋体" w:cs="Times New Roman"/>
                <w:b w:val="0"/>
                <w:bCs/>
                <w:color w:val="auto"/>
                <w:sz w:val="24"/>
              </w:rPr>
              <w:t>项目吹瓶工序配套冷却塔，对吹瓶模具进行间接冷却</w:t>
            </w:r>
            <w:r>
              <w:rPr>
                <w:rFonts w:hint="eastAsia" w:ascii="Times New Roman" w:hAnsi="Times New Roman" w:eastAsia="宋体" w:cs="Times New Roman"/>
                <w:b w:val="0"/>
                <w:bCs/>
                <w:color w:val="auto"/>
                <w:sz w:val="24"/>
              </w:rPr>
              <w:t>，</w:t>
            </w:r>
            <w:r>
              <w:rPr>
                <w:rFonts w:hint="eastAsia" w:ascii="Times New Roman" w:hAnsi="Times New Roman" w:eastAsia="宋体" w:cs="Times New Roman"/>
                <w:b w:val="0"/>
                <w:bCs/>
                <w:color w:val="auto"/>
                <w:sz w:val="24"/>
                <w:lang w:val="en-US" w:eastAsia="zh-CN"/>
              </w:rPr>
              <w:t>间接冷却水循环使用不外排，仅补充损耗，本项目共设2条吹瓶线，每条冷却水循环用水量0.5m</w:t>
            </w:r>
            <w:r>
              <w:rPr>
                <w:rFonts w:hint="eastAsia" w:ascii="Times New Roman" w:hAnsi="Times New Roman" w:eastAsia="宋体" w:cs="Times New Roman"/>
                <w:b w:val="0"/>
                <w:bCs/>
                <w:color w:val="auto"/>
                <w:sz w:val="24"/>
                <w:vertAlign w:val="superscript"/>
                <w:lang w:val="en-US" w:eastAsia="zh-CN"/>
              </w:rPr>
              <w:t>3</w:t>
            </w:r>
            <w:r>
              <w:rPr>
                <w:rFonts w:hint="eastAsia" w:ascii="Times New Roman" w:hAnsi="Times New Roman" w:eastAsia="宋体" w:cs="Times New Roman"/>
                <w:b w:val="0"/>
                <w:bCs/>
                <w:color w:val="auto"/>
                <w:sz w:val="24"/>
                <w:lang w:val="en-US" w:eastAsia="zh-CN"/>
              </w:rPr>
              <w:t>/h，损耗量约为循环量的2%，则本项目冷却水补充水量为158.4m</w:t>
            </w:r>
            <w:r>
              <w:rPr>
                <w:rFonts w:hint="eastAsia" w:ascii="Times New Roman" w:hAnsi="Times New Roman" w:eastAsia="宋体" w:cs="Times New Roman"/>
                <w:b w:val="0"/>
                <w:bCs/>
                <w:color w:val="auto"/>
                <w:sz w:val="24"/>
                <w:vertAlign w:val="superscript"/>
                <w:lang w:val="en-US" w:eastAsia="zh-CN"/>
              </w:rPr>
              <w:t>3</w:t>
            </w:r>
            <w:r>
              <w:rPr>
                <w:rFonts w:hint="eastAsia" w:ascii="Times New Roman" w:hAnsi="Times New Roman" w:eastAsia="宋体" w:cs="Times New Roman"/>
                <w:b w:val="0"/>
                <w:bCs/>
                <w:color w:val="auto"/>
                <w:sz w:val="24"/>
                <w:lang w:val="en-US" w:eastAsia="zh-CN"/>
              </w:rPr>
              <w:t>/a</w:t>
            </w:r>
            <w:r>
              <w:rPr>
                <w:rFonts w:hint="eastAsia" w:ascii="Times New Roman" w:hAnsi="Times New Roman" w:eastAsia="宋体" w:cs="Times New Roman"/>
                <w:b w:val="0"/>
                <w:bCs/>
                <w:color w:val="auto"/>
                <w:sz w:val="24"/>
              </w:rPr>
              <w:t>。</w:t>
            </w:r>
          </w:p>
          <w:p w14:paraId="5D3953ED">
            <w:pPr>
              <w:pStyle w:val="17"/>
              <w:keepNext w:val="0"/>
              <w:keepLines w:val="0"/>
              <w:pageBreakBefore w:val="0"/>
              <w:widowControl w:val="0"/>
              <w:numPr>
                <w:ilvl w:val="0"/>
                <w:numId w:val="0"/>
              </w:numPr>
              <w:kinsoku/>
              <w:wordWrap/>
              <w:overflowPunct/>
              <w:topLinePunct w:val="0"/>
              <w:bidi w:val="0"/>
              <w:spacing w:after="0" w:line="360" w:lineRule="auto"/>
              <w:ind w:left="0" w:leftChars="0" w:right="0" w:rightChars="0" w:firstLine="480" w:firstLineChars="200"/>
              <w:textAlignment w:val="auto"/>
              <w:rPr>
                <w:rFonts w:hint="eastAsia" w:ascii="Times New Roman" w:hAnsi="Times New Roman" w:eastAsia="宋体" w:cs="Times New Roman"/>
                <w:b w:val="0"/>
                <w:color w:val="auto"/>
                <w:sz w:val="24"/>
              </w:rPr>
            </w:pPr>
            <w:r>
              <w:rPr>
                <w:rFonts w:hint="eastAsia" w:ascii="Times New Roman" w:hAnsi="Times New Roman" w:eastAsia="宋体" w:cs="Times New Roman"/>
                <w:b w:val="0"/>
                <w:color w:val="auto"/>
                <w:kern w:val="2"/>
                <w:sz w:val="24"/>
                <w:szCs w:val="24"/>
                <w:lang w:val="en-US" w:eastAsia="zh-CN" w:bidi="ar"/>
              </w:rPr>
              <w:t>（8）</w:t>
            </w:r>
            <w:r>
              <w:rPr>
                <w:rFonts w:hint="eastAsia" w:ascii="Times New Roman" w:hAnsi="Times New Roman" w:eastAsia="宋体" w:cs="Times New Roman"/>
                <w:b w:val="0"/>
                <w:color w:val="auto"/>
                <w:sz w:val="24"/>
              </w:rPr>
              <w:t>生活用水</w:t>
            </w:r>
          </w:p>
          <w:p w14:paraId="6E26CDA4">
            <w:pPr>
              <w:pStyle w:val="9"/>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rFonts w:ascii="Times New Roman" w:hAnsi="Times New Roman" w:eastAsia="宋体"/>
                <w:color w:val="auto"/>
                <w:sz w:val="24"/>
              </w:rPr>
            </w:pPr>
            <w:r>
              <w:rPr>
                <w:rFonts w:ascii="Times New Roman" w:hAnsi="Times New Roman" w:eastAsia="宋体"/>
                <w:color w:val="auto"/>
                <w:sz w:val="24"/>
              </w:rPr>
              <w:t>本项目</w:t>
            </w:r>
            <w:r>
              <w:rPr>
                <w:rFonts w:hint="eastAsia" w:ascii="Times New Roman" w:hAnsi="Times New Roman" w:eastAsia="宋体"/>
                <w:color w:val="auto"/>
                <w:sz w:val="24"/>
                <w:lang w:val="en-US" w:eastAsia="zh-CN"/>
              </w:rPr>
              <w:t>劳动</w:t>
            </w:r>
            <w:r>
              <w:rPr>
                <w:rFonts w:ascii="Times New Roman" w:hAnsi="Times New Roman" w:eastAsia="宋体"/>
                <w:color w:val="auto"/>
                <w:sz w:val="24"/>
              </w:rPr>
              <w:t>定员</w:t>
            </w:r>
            <w:r>
              <w:rPr>
                <w:rFonts w:hint="eastAsia" w:ascii="Times New Roman" w:hAnsi="Times New Roman" w:eastAsia="宋体"/>
                <w:color w:val="auto"/>
                <w:sz w:val="24"/>
                <w:lang w:val="en-US" w:eastAsia="zh-CN"/>
              </w:rPr>
              <w:t>50</w:t>
            </w:r>
            <w:r>
              <w:rPr>
                <w:rFonts w:ascii="Times New Roman" w:hAnsi="Times New Roman" w:eastAsia="宋体"/>
                <w:color w:val="auto"/>
                <w:sz w:val="24"/>
              </w:rPr>
              <w:t>人</w:t>
            </w:r>
            <w:r>
              <w:rPr>
                <w:rFonts w:hint="eastAsia" w:ascii="Times New Roman" w:hAnsi="Times New Roman" w:eastAsia="宋体"/>
                <w:color w:val="auto"/>
                <w:sz w:val="24"/>
                <w:lang w:eastAsia="zh-CN"/>
              </w:rPr>
              <w:t>，</w:t>
            </w:r>
            <w:r>
              <w:rPr>
                <w:rFonts w:ascii="Times New Roman" w:hAnsi="Times New Roman" w:eastAsia="宋体"/>
                <w:color w:val="auto"/>
                <w:sz w:val="24"/>
              </w:rPr>
              <w:t>参照《建筑给水排水设计</w:t>
            </w:r>
            <w:r>
              <w:rPr>
                <w:rFonts w:hint="eastAsia" w:ascii="Times New Roman" w:hAnsi="Times New Roman" w:eastAsia="宋体"/>
                <w:color w:val="auto"/>
                <w:sz w:val="24"/>
                <w:lang w:val="en-US" w:eastAsia="zh-CN"/>
              </w:rPr>
              <w:t>标准</w:t>
            </w:r>
            <w:r>
              <w:rPr>
                <w:rFonts w:ascii="Times New Roman" w:hAnsi="Times New Roman" w:eastAsia="宋体"/>
                <w:color w:val="auto"/>
                <w:sz w:val="24"/>
              </w:rPr>
              <w:t>》</w:t>
            </w:r>
            <w:r>
              <w:rPr>
                <w:rFonts w:hint="eastAsia" w:ascii="Times New Roman" w:hAnsi="Times New Roman" w:eastAsia="宋体"/>
                <w:color w:val="auto"/>
                <w:sz w:val="24"/>
                <w:lang w:eastAsia="zh-CN"/>
              </w:rPr>
              <w:t>（</w:t>
            </w:r>
            <w:r>
              <w:rPr>
                <w:rFonts w:hint="eastAsia" w:ascii="Times New Roman" w:hAnsi="Times New Roman" w:eastAsia="宋体"/>
                <w:color w:val="auto"/>
                <w:sz w:val="24"/>
                <w:lang w:val="en-US" w:eastAsia="zh-CN"/>
              </w:rPr>
              <w:t>GB50015-2019）</w:t>
            </w:r>
            <w:r>
              <w:rPr>
                <w:rFonts w:hint="eastAsia" w:ascii="Times New Roman" w:hAnsi="Times New Roman" w:eastAsia="宋体"/>
                <w:color w:val="auto"/>
                <w:sz w:val="24"/>
                <w:lang w:eastAsia="zh-CN"/>
              </w:rPr>
              <w:t>，</w:t>
            </w:r>
            <w:r>
              <w:rPr>
                <w:rFonts w:ascii="Times New Roman" w:hAnsi="Times New Roman" w:eastAsia="宋体"/>
                <w:color w:val="auto"/>
                <w:sz w:val="24"/>
              </w:rPr>
              <w:t>生活用水按每人用水量50L/d计</w:t>
            </w:r>
            <w:r>
              <w:rPr>
                <w:rFonts w:hint="eastAsia" w:ascii="Times New Roman" w:hAnsi="Times New Roman" w:eastAsia="宋体"/>
                <w:color w:val="auto"/>
                <w:sz w:val="24"/>
              </w:rPr>
              <w:t>，</w:t>
            </w:r>
            <w:r>
              <w:rPr>
                <w:rFonts w:ascii="Times New Roman" w:hAnsi="Times New Roman" w:eastAsia="宋体"/>
                <w:color w:val="auto"/>
                <w:sz w:val="24"/>
              </w:rPr>
              <w:t>全年按3</w:t>
            </w:r>
            <w:r>
              <w:rPr>
                <w:rFonts w:hint="eastAsia" w:ascii="Times New Roman" w:hAnsi="Times New Roman"/>
                <w:color w:val="auto"/>
                <w:sz w:val="24"/>
                <w:lang w:val="en-US" w:eastAsia="zh-CN"/>
              </w:rPr>
              <w:t>3</w:t>
            </w:r>
            <w:r>
              <w:rPr>
                <w:rFonts w:ascii="Times New Roman" w:hAnsi="Times New Roman" w:eastAsia="宋体"/>
                <w:color w:val="auto"/>
                <w:sz w:val="24"/>
              </w:rPr>
              <w:t>0 天计</w:t>
            </w:r>
            <w:r>
              <w:rPr>
                <w:rFonts w:hint="eastAsia" w:ascii="Times New Roman" w:hAnsi="Times New Roman" w:eastAsia="宋体"/>
                <w:color w:val="auto"/>
                <w:sz w:val="24"/>
                <w:lang w:eastAsia="zh-CN"/>
              </w:rPr>
              <w:t>，</w:t>
            </w:r>
            <w:r>
              <w:rPr>
                <w:rFonts w:ascii="Times New Roman" w:hAnsi="Times New Roman" w:eastAsia="宋体"/>
                <w:color w:val="auto"/>
                <w:sz w:val="24"/>
              </w:rPr>
              <w:t>则生活用水使用量为</w:t>
            </w:r>
            <w:r>
              <w:rPr>
                <w:rFonts w:hint="eastAsia" w:ascii="Times New Roman" w:hAnsi="Times New Roman" w:eastAsia="宋体"/>
                <w:color w:val="auto"/>
                <w:sz w:val="24"/>
                <w:lang w:val="en-US" w:eastAsia="zh-CN"/>
              </w:rPr>
              <w:t>825</w:t>
            </w:r>
            <w:r>
              <w:rPr>
                <w:rFonts w:hint="eastAsia" w:ascii="Times New Roman" w:hAnsi="Times New Roman" w:eastAsia="宋体"/>
                <w:color w:val="auto"/>
                <w:sz w:val="24"/>
                <w:szCs w:val="24"/>
                <w:lang w:val="en-US" w:eastAsia="zh-CN"/>
              </w:rPr>
              <w:t>m</w:t>
            </w:r>
            <w:r>
              <w:rPr>
                <w:rFonts w:hint="eastAsia" w:ascii="Times New Roman" w:hAnsi="Times New Roman" w:eastAsia="宋体"/>
                <w:color w:val="auto"/>
                <w:sz w:val="24"/>
                <w:szCs w:val="24"/>
                <w:vertAlign w:val="superscript"/>
                <w:lang w:val="en-US" w:eastAsia="zh-CN"/>
              </w:rPr>
              <w:t>3</w:t>
            </w:r>
            <w:r>
              <w:rPr>
                <w:rFonts w:hint="eastAsia" w:ascii="Times New Roman" w:hAnsi="Times New Roman" w:eastAsia="宋体"/>
                <w:color w:val="auto"/>
                <w:sz w:val="24"/>
                <w:szCs w:val="24"/>
                <w:lang w:val="en-US" w:eastAsia="zh-CN"/>
              </w:rPr>
              <w:t>/a</w:t>
            </w:r>
            <w:r>
              <w:rPr>
                <w:rFonts w:ascii="Times New Roman" w:hAnsi="Times New Roman" w:eastAsia="宋体"/>
                <w:color w:val="auto"/>
                <w:sz w:val="24"/>
              </w:rPr>
              <w:t>。</w:t>
            </w:r>
          </w:p>
          <w:p w14:paraId="23105CD2">
            <w:pPr>
              <w:keepNext w:val="0"/>
              <w:keepLines w:val="0"/>
              <w:pageBreakBefore w:val="0"/>
              <w:widowControl w:val="0"/>
              <w:kinsoku/>
              <w:wordWrap/>
              <w:overflowPunct/>
              <w:topLinePunct w:val="0"/>
              <w:bidi w:val="0"/>
              <w:adjustRightInd w:val="0"/>
              <w:snapToGrid w:val="0"/>
              <w:spacing w:line="360" w:lineRule="auto"/>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生活用水产污系数为80%</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则生活</w:t>
            </w:r>
            <w:r>
              <w:rPr>
                <w:rFonts w:hint="eastAsia" w:ascii="Times New Roman" w:hAnsi="Times New Roman" w:eastAsia="宋体" w:cs="Times New Roman"/>
                <w:color w:val="auto"/>
                <w:sz w:val="24"/>
                <w:lang w:val="en-US" w:eastAsia="zh-CN"/>
              </w:rPr>
              <w:t>污</w:t>
            </w:r>
            <w:r>
              <w:rPr>
                <w:rFonts w:hint="default" w:ascii="Times New Roman" w:hAnsi="Times New Roman" w:eastAsia="宋体" w:cs="Times New Roman"/>
                <w:color w:val="auto"/>
                <w:sz w:val="24"/>
              </w:rPr>
              <w:t>水产生量为</w:t>
            </w:r>
            <w:r>
              <w:rPr>
                <w:rFonts w:hint="eastAsia" w:ascii="Times New Roman" w:hAnsi="Times New Roman" w:eastAsia="宋体" w:cs="Times New Roman"/>
                <w:color w:val="auto"/>
                <w:sz w:val="24"/>
                <w:lang w:val="en-US" w:eastAsia="zh-CN"/>
              </w:rPr>
              <w:t>660</w:t>
            </w:r>
            <w:r>
              <w:rPr>
                <w:rFonts w:hint="eastAsia" w:ascii="Times New Roman" w:hAnsi="Times New Roman" w:eastAsia="宋体"/>
                <w:color w:val="auto"/>
                <w:sz w:val="24"/>
                <w:szCs w:val="24"/>
                <w:lang w:val="en-US" w:eastAsia="zh-CN"/>
              </w:rPr>
              <w:t>m</w:t>
            </w:r>
            <w:r>
              <w:rPr>
                <w:rFonts w:hint="eastAsia" w:ascii="Times New Roman" w:hAnsi="Times New Roman" w:eastAsia="宋体"/>
                <w:color w:val="auto"/>
                <w:sz w:val="24"/>
                <w:szCs w:val="24"/>
                <w:vertAlign w:val="superscript"/>
                <w:lang w:val="en-US" w:eastAsia="zh-CN"/>
              </w:rPr>
              <w:t>3</w:t>
            </w:r>
            <w:r>
              <w:rPr>
                <w:rFonts w:hint="eastAsia" w:ascii="Times New Roman" w:hAnsi="Times New Roman" w:eastAsia="宋体"/>
                <w:color w:val="auto"/>
                <w:sz w:val="24"/>
                <w:szCs w:val="24"/>
                <w:lang w:val="en-US" w:eastAsia="zh-CN"/>
              </w:rPr>
              <w:t>/a</w:t>
            </w:r>
            <w:r>
              <w:rPr>
                <w:rFonts w:hint="default" w:ascii="Times New Roman" w:hAnsi="Times New Roman" w:eastAsia="宋体" w:cs="Times New Roman"/>
                <w:color w:val="auto"/>
                <w:sz w:val="24"/>
              </w:rPr>
              <w:t>。生活</w:t>
            </w:r>
            <w:r>
              <w:rPr>
                <w:rFonts w:hint="eastAsia" w:ascii="Times New Roman" w:hAnsi="Times New Roman" w:eastAsia="宋体" w:cs="Times New Roman"/>
                <w:color w:val="auto"/>
                <w:sz w:val="24"/>
                <w:lang w:val="en-US" w:eastAsia="zh-CN"/>
              </w:rPr>
              <w:t>污</w:t>
            </w:r>
            <w:r>
              <w:rPr>
                <w:rFonts w:hint="default" w:ascii="Times New Roman" w:hAnsi="Times New Roman" w:eastAsia="宋体" w:cs="Times New Roman"/>
                <w:color w:val="auto"/>
                <w:sz w:val="24"/>
              </w:rPr>
              <w:t>水</w:t>
            </w:r>
            <w:r>
              <w:rPr>
                <w:rFonts w:hint="eastAsia" w:ascii="Times New Roman" w:hAnsi="Times New Roman" w:eastAsia="宋体"/>
                <w:color w:val="auto"/>
                <w:sz w:val="24"/>
                <w:szCs w:val="24"/>
                <w:lang w:val="en-US" w:eastAsia="zh-CN"/>
              </w:rPr>
              <w:t>经化粪池处理后</w:t>
            </w:r>
            <w:r>
              <w:rPr>
                <w:rFonts w:hint="eastAsia" w:ascii="Times New Roman" w:hAnsi="Times New Roman" w:eastAsia="宋体" w:cs="Times New Roman"/>
                <w:color w:val="auto"/>
                <w:sz w:val="24"/>
                <w:lang w:val="en-US" w:eastAsia="zh-CN"/>
              </w:rPr>
              <w:t>接管至</w:t>
            </w:r>
            <w:r>
              <w:rPr>
                <w:rFonts w:hint="default" w:ascii="Times New Roman" w:hAnsi="Times New Roman" w:eastAsia="宋体" w:cs="Times New Roman"/>
                <w:color w:val="auto"/>
                <w:sz w:val="24"/>
              </w:rPr>
              <w:t>涟水县经济开发区西区污水处理厂</w:t>
            </w:r>
            <w:r>
              <w:rPr>
                <w:rFonts w:hint="default" w:ascii="Times New Roman" w:hAnsi="Times New Roman" w:eastAsia="宋体" w:cs="Times New Roman"/>
                <w:color w:val="auto"/>
                <w:sz w:val="24"/>
                <w:lang w:eastAsia="zh-CN"/>
              </w:rPr>
              <w:t>。</w:t>
            </w:r>
          </w:p>
          <w:p w14:paraId="75A98350">
            <w:pPr>
              <w:pStyle w:val="17"/>
              <w:keepNext w:val="0"/>
              <w:keepLines w:val="0"/>
              <w:pageBreakBefore w:val="0"/>
              <w:widowControl w:val="0"/>
              <w:numPr>
                <w:ilvl w:val="0"/>
                <w:numId w:val="0"/>
              </w:numPr>
              <w:kinsoku/>
              <w:wordWrap/>
              <w:overflowPunct/>
              <w:topLinePunct w:val="0"/>
              <w:bidi w:val="0"/>
              <w:spacing w:after="0" w:line="360" w:lineRule="auto"/>
              <w:ind w:left="0" w:leftChars="0" w:right="0" w:rightChars="0" w:firstLine="480" w:firstLineChars="200"/>
              <w:textAlignment w:val="auto"/>
              <w:rPr>
                <w:rFonts w:hint="eastAsia" w:ascii="Times New Roman" w:hAnsi="Times New Roman" w:eastAsia="宋体" w:cs="Times New Roman"/>
                <w:b w:val="0"/>
                <w:color w:val="auto"/>
                <w:sz w:val="24"/>
                <w:lang w:eastAsia="zh-CN"/>
              </w:rPr>
            </w:pPr>
            <w:r>
              <w:rPr>
                <w:rFonts w:hint="eastAsia" w:ascii="Times New Roman" w:hAnsi="Times New Roman" w:eastAsia="宋体" w:cs="Times New Roman"/>
                <w:b w:val="0"/>
                <w:color w:val="auto"/>
                <w:kern w:val="2"/>
                <w:sz w:val="24"/>
                <w:szCs w:val="24"/>
                <w:lang w:val="en-US" w:eastAsia="zh-CN" w:bidi="ar"/>
              </w:rPr>
              <w:t>（</w:t>
            </w:r>
            <w:r>
              <w:rPr>
                <w:rFonts w:hint="eastAsia" w:ascii="Times New Roman" w:hAnsi="Times New Roman" w:cs="Times New Roman"/>
                <w:b w:val="0"/>
                <w:color w:val="auto"/>
                <w:kern w:val="2"/>
                <w:sz w:val="24"/>
                <w:szCs w:val="24"/>
                <w:lang w:val="en-US" w:eastAsia="zh-CN" w:bidi="ar"/>
              </w:rPr>
              <w:t>9</w:t>
            </w:r>
            <w:r>
              <w:rPr>
                <w:rFonts w:hint="eastAsia" w:ascii="Times New Roman" w:hAnsi="Times New Roman" w:eastAsia="宋体" w:cs="Times New Roman"/>
                <w:b w:val="0"/>
                <w:color w:val="auto"/>
                <w:kern w:val="2"/>
                <w:sz w:val="24"/>
                <w:szCs w:val="24"/>
                <w:lang w:val="en-US" w:eastAsia="zh-CN" w:bidi="ar"/>
              </w:rPr>
              <w:t>）</w:t>
            </w:r>
            <w:r>
              <w:rPr>
                <w:rFonts w:hint="eastAsia" w:ascii="Times New Roman" w:hAnsi="Times New Roman" w:cs="Times New Roman"/>
                <w:b w:val="0"/>
                <w:color w:val="auto"/>
                <w:sz w:val="24"/>
                <w:lang w:val="en-US" w:eastAsia="zh-CN"/>
              </w:rPr>
              <w:t>食堂用水</w:t>
            </w:r>
          </w:p>
          <w:p w14:paraId="02C00198">
            <w:pPr>
              <w:pStyle w:val="9"/>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rFonts w:ascii="Times New Roman" w:hAnsi="Times New Roman" w:eastAsia="宋体" w:cs="Times New Roman"/>
                <w:b w:val="0"/>
                <w:bCs/>
                <w:color w:val="auto"/>
                <w:sz w:val="24"/>
              </w:rPr>
            </w:pPr>
            <w:r>
              <w:rPr>
                <w:rFonts w:ascii="Times New Roman" w:hAnsi="Times New Roman" w:eastAsia="宋体"/>
                <w:color w:val="auto"/>
                <w:sz w:val="24"/>
              </w:rPr>
              <w:t>本项目</w:t>
            </w:r>
            <w:r>
              <w:rPr>
                <w:rFonts w:hint="eastAsia" w:ascii="Times New Roman" w:hAnsi="Times New Roman" w:eastAsia="宋体"/>
                <w:color w:val="auto"/>
                <w:sz w:val="24"/>
                <w:lang w:val="en-US" w:eastAsia="zh-CN"/>
              </w:rPr>
              <w:t>劳动</w:t>
            </w:r>
            <w:r>
              <w:rPr>
                <w:rFonts w:ascii="Times New Roman" w:hAnsi="Times New Roman" w:eastAsia="宋体"/>
                <w:color w:val="auto"/>
                <w:sz w:val="24"/>
              </w:rPr>
              <w:t>定员</w:t>
            </w:r>
            <w:r>
              <w:rPr>
                <w:rFonts w:hint="eastAsia" w:ascii="Times New Roman" w:hAnsi="Times New Roman" w:eastAsia="宋体"/>
                <w:color w:val="auto"/>
                <w:sz w:val="24"/>
                <w:lang w:val="en-US" w:eastAsia="zh-CN"/>
              </w:rPr>
              <w:t>50</w:t>
            </w:r>
            <w:r>
              <w:rPr>
                <w:rFonts w:ascii="Times New Roman" w:hAnsi="Times New Roman" w:eastAsia="宋体"/>
                <w:color w:val="auto"/>
                <w:sz w:val="24"/>
              </w:rPr>
              <w:t>人</w:t>
            </w:r>
            <w:r>
              <w:rPr>
                <w:rFonts w:hint="eastAsia" w:ascii="Times New Roman" w:hAnsi="Times New Roman" w:eastAsia="宋体"/>
                <w:color w:val="auto"/>
                <w:sz w:val="24"/>
                <w:lang w:eastAsia="zh-CN"/>
              </w:rPr>
              <w:t>，</w:t>
            </w:r>
            <w:r>
              <w:rPr>
                <w:rFonts w:ascii="Times New Roman" w:hAnsi="Times New Roman" w:eastAsia="宋体"/>
                <w:color w:val="auto"/>
                <w:sz w:val="24"/>
              </w:rPr>
              <w:t>食堂</w:t>
            </w:r>
            <w:r>
              <w:rPr>
                <w:rFonts w:hint="eastAsia" w:ascii="Times New Roman" w:hAnsi="Times New Roman" w:eastAsia="宋体"/>
                <w:color w:val="auto"/>
                <w:sz w:val="24"/>
                <w:lang w:val="en-US" w:eastAsia="zh-CN"/>
              </w:rPr>
              <w:t>提供2餐/（人</w:t>
            </w:r>
            <w:r>
              <w:rPr>
                <w:rFonts w:ascii="Times New Roman" w:hAnsi="Times New Roman" w:eastAsia="宋体"/>
                <w:color w:val="auto"/>
                <w:sz w:val="24"/>
              </w:rPr>
              <w:t>•</w:t>
            </w:r>
            <w:r>
              <w:rPr>
                <w:rFonts w:hint="eastAsia" w:ascii="Times New Roman" w:hAnsi="Times New Roman" w:eastAsia="宋体"/>
                <w:color w:val="auto"/>
                <w:sz w:val="24"/>
                <w:lang w:val="en-US" w:eastAsia="zh-CN"/>
              </w:rPr>
              <w:t>天），</w:t>
            </w:r>
            <w:r>
              <w:rPr>
                <w:rFonts w:ascii="Times New Roman" w:hAnsi="Times New Roman" w:eastAsia="宋体"/>
                <w:color w:val="auto"/>
                <w:sz w:val="24"/>
              </w:rPr>
              <w:t>食堂用水量按</w:t>
            </w:r>
            <w:r>
              <w:rPr>
                <w:rFonts w:hint="eastAsia" w:ascii="Times New Roman" w:hAnsi="Times New Roman" w:eastAsia="宋体"/>
                <w:color w:val="auto"/>
                <w:sz w:val="24"/>
                <w:lang w:val="en-US" w:eastAsia="zh-CN"/>
              </w:rPr>
              <w:t>25</w:t>
            </w:r>
            <w:r>
              <w:rPr>
                <w:rFonts w:ascii="Times New Roman" w:hAnsi="Times New Roman" w:eastAsia="宋体"/>
                <w:color w:val="auto"/>
                <w:sz w:val="24"/>
              </w:rPr>
              <w:t>L/</w:t>
            </w:r>
            <w:r>
              <w:rPr>
                <w:rFonts w:hint="eastAsia" w:ascii="Times New Roman" w:hAnsi="Times New Roman" w:eastAsia="宋体"/>
                <w:color w:val="auto"/>
                <w:sz w:val="24"/>
                <w:lang w:eastAsia="zh-CN"/>
              </w:rPr>
              <w:t>（</w:t>
            </w:r>
            <w:r>
              <w:rPr>
                <w:rFonts w:ascii="Times New Roman" w:hAnsi="Times New Roman" w:eastAsia="宋体"/>
                <w:color w:val="auto"/>
                <w:sz w:val="24"/>
              </w:rPr>
              <w:t>人•</w:t>
            </w:r>
            <w:r>
              <w:rPr>
                <w:rFonts w:hint="eastAsia" w:ascii="Times New Roman" w:hAnsi="Times New Roman" w:eastAsia="宋体"/>
                <w:color w:val="auto"/>
                <w:sz w:val="24"/>
              </w:rPr>
              <w:t>次</w:t>
            </w:r>
            <w:r>
              <w:rPr>
                <w:rFonts w:hint="eastAsia" w:ascii="Times New Roman" w:hAnsi="Times New Roman" w:eastAsia="宋体"/>
                <w:color w:val="auto"/>
                <w:sz w:val="24"/>
                <w:lang w:eastAsia="zh-CN"/>
              </w:rPr>
              <w:t>），</w:t>
            </w:r>
            <w:r>
              <w:rPr>
                <w:rFonts w:ascii="Times New Roman" w:hAnsi="Times New Roman" w:eastAsia="宋体"/>
                <w:color w:val="auto"/>
                <w:sz w:val="24"/>
              </w:rPr>
              <w:t>全年按3</w:t>
            </w:r>
            <w:r>
              <w:rPr>
                <w:rFonts w:hint="eastAsia" w:ascii="Times New Roman" w:hAnsi="Times New Roman" w:eastAsia="宋体"/>
                <w:color w:val="auto"/>
                <w:sz w:val="24"/>
                <w:lang w:val="en-US" w:eastAsia="zh-CN"/>
              </w:rPr>
              <w:t>3</w:t>
            </w:r>
            <w:r>
              <w:rPr>
                <w:rFonts w:ascii="Times New Roman" w:hAnsi="Times New Roman" w:eastAsia="宋体"/>
                <w:color w:val="auto"/>
                <w:sz w:val="24"/>
              </w:rPr>
              <w:t>0 天计</w:t>
            </w:r>
            <w:r>
              <w:rPr>
                <w:rFonts w:hint="eastAsia" w:ascii="Times New Roman" w:hAnsi="Times New Roman" w:eastAsia="宋体"/>
                <w:color w:val="auto"/>
                <w:sz w:val="24"/>
                <w:lang w:eastAsia="zh-CN"/>
              </w:rPr>
              <w:t>，</w:t>
            </w:r>
            <w:r>
              <w:rPr>
                <w:rFonts w:ascii="Times New Roman" w:hAnsi="Times New Roman" w:eastAsia="宋体"/>
                <w:color w:val="auto"/>
                <w:sz w:val="24"/>
              </w:rPr>
              <w:t>则食堂用水量为</w:t>
            </w:r>
            <w:r>
              <w:rPr>
                <w:rFonts w:hint="eastAsia" w:ascii="Times New Roman" w:hAnsi="Times New Roman" w:eastAsia="宋体"/>
                <w:color w:val="auto"/>
                <w:sz w:val="24"/>
                <w:lang w:val="en-US" w:eastAsia="zh-CN"/>
              </w:rPr>
              <w:t>825</w:t>
            </w:r>
            <w:r>
              <w:rPr>
                <w:rFonts w:hint="eastAsia" w:ascii="Times New Roman" w:hAnsi="Times New Roman" w:eastAsia="宋体"/>
                <w:color w:val="auto"/>
                <w:sz w:val="24"/>
                <w:szCs w:val="24"/>
                <w:lang w:val="en-US" w:eastAsia="zh-CN"/>
              </w:rPr>
              <w:t>m</w:t>
            </w:r>
            <w:r>
              <w:rPr>
                <w:rFonts w:hint="eastAsia" w:ascii="Times New Roman" w:hAnsi="Times New Roman" w:eastAsia="宋体"/>
                <w:color w:val="auto"/>
                <w:sz w:val="24"/>
                <w:szCs w:val="24"/>
                <w:vertAlign w:val="superscript"/>
                <w:lang w:val="en-US" w:eastAsia="zh-CN"/>
              </w:rPr>
              <w:t>3</w:t>
            </w:r>
            <w:r>
              <w:rPr>
                <w:rFonts w:hint="eastAsia" w:ascii="Times New Roman" w:hAnsi="Times New Roman" w:eastAsia="宋体"/>
                <w:color w:val="auto"/>
                <w:sz w:val="24"/>
                <w:szCs w:val="24"/>
                <w:lang w:val="en-US" w:eastAsia="zh-CN"/>
              </w:rPr>
              <w:t>/a</w:t>
            </w:r>
            <w:r>
              <w:rPr>
                <w:rFonts w:ascii="Times New Roman" w:hAnsi="Times New Roman" w:eastAsia="宋体"/>
                <w:color w:val="auto"/>
                <w:sz w:val="24"/>
              </w:rPr>
              <w:t>。</w:t>
            </w:r>
            <w:r>
              <w:rPr>
                <w:rFonts w:hint="default" w:ascii="Times New Roman" w:hAnsi="Times New Roman" w:eastAsia="宋体" w:cs="Times New Roman"/>
                <w:color w:val="auto"/>
                <w:sz w:val="24"/>
              </w:rPr>
              <w:t>食堂用水产污系数为80%</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食堂废水产生量为</w:t>
            </w:r>
            <w:r>
              <w:rPr>
                <w:rFonts w:hint="eastAsia" w:ascii="Times New Roman" w:hAnsi="Times New Roman" w:eastAsia="宋体" w:cs="Times New Roman"/>
                <w:color w:val="auto"/>
                <w:sz w:val="24"/>
                <w:lang w:val="en-US" w:eastAsia="zh-CN"/>
              </w:rPr>
              <w:t>660</w:t>
            </w:r>
            <w:r>
              <w:rPr>
                <w:rFonts w:hint="eastAsia" w:ascii="Times New Roman" w:hAnsi="Times New Roman" w:eastAsia="宋体"/>
                <w:color w:val="auto"/>
                <w:sz w:val="24"/>
                <w:szCs w:val="24"/>
                <w:lang w:val="en-US" w:eastAsia="zh-CN"/>
              </w:rPr>
              <w:t>m</w:t>
            </w:r>
            <w:r>
              <w:rPr>
                <w:rFonts w:hint="eastAsia" w:ascii="Times New Roman" w:hAnsi="Times New Roman" w:eastAsia="宋体"/>
                <w:color w:val="auto"/>
                <w:sz w:val="24"/>
                <w:szCs w:val="24"/>
                <w:vertAlign w:val="superscript"/>
                <w:lang w:val="en-US" w:eastAsia="zh-CN"/>
              </w:rPr>
              <w:t>3</w:t>
            </w:r>
            <w:r>
              <w:rPr>
                <w:rFonts w:hint="eastAsia" w:ascii="Times New Roman" w:hAnsi="Times New Roman" w:eastAsia="宋体"/>
                <w:color w:val="auto"/>
                <w:sz w:val="24"/>
                <w:szCs w:val="24"/>
                <w:lang w:val="en-US" w:eastAsia="zh-CN"/>
              </w:rPr>
              <w:t>/a</w:t>
            </w:r>
            <w:r>
              <w:rPr>
                <w:rFonts w:hint="default" w:ascii="Times New Roman" w:hAnsi="Times New Roman" w:eastAsia="宋体" w:cs="Times New Roman"/>
                <w:color w:val="auto"/>
                <w:sz w:val="24"/>
              </w:rPr>
              <w:t>。食堂废水</w:t>
            </w:r>
            <w:r>
              <w:rPr>
                <w:rFonts w:hint="eastAsia" w:ascii="Times New Roman" w:hAnsi="Times New Roman" w:eastAsia="宋体"/>
                <w:color w:val="auto"/>
                <w:sz w:val="24"/>
                <w:szCs w:val="24"/>
                <w:lang w:val="en-US" w:eastAsia="zh-CN"/>
              </w:rPr>
              <w:t>经隔油池+化粪池处理后</w:t>
            </w:r>
            <w:r>
              <w:rPr>
                <w:rFonts w:hint="eastAsia" w:ascii="Times New Roman" w:hAnsi="Times New Roman" w:eastAsia="宋体" w:cs="Times New Roman"/>
                <w:color w:val="auto"/>
                <w:sz w:val="24"/>
                <w:lang w:val="en-US" w:eastAsia="zh-CN"/>
              </w:rPr>
              <w:t>接管至</w:t>
            </w:r>
            <w:r>
              <w:rPr>
                <w:rFonts w:hint="default" w:ascii="Times New Roman" w:hAnsi="Times New Roman" w:eastAsia="宋体" w:cs="Times New Roman"/>
                <w:color w:val="auto"/>
                <w:sz w:val="24"/>
              </w:rPr>
              <w:t>涟水县经济开发区西区污水处理厂</w:t>
            </w:r>
            <w:r>
              <w:rPr>
                <w:rFonts w:hint="default" w:ascii="Times New Roman" w:hAnsi="Times New Roman" w:eastAsia="宋体" w:cs="Times New Roman"/>
                <w:color w:val="auto"/>
                <w:sz w:val="24"/>
                <w:lang w:eastAsia="zh-CN"/>
              </w:rPr>
              <w:t>。</w:t>
            </w:r>
          </w:p>
          <w:p w14:paraId="0F6C8EDA">
            <w:pPr>
              <w:adjustRightInd w:val="0"/>
              <w:snapToGrid w:val="0"/>
              <w:jc w:val="center"/>
              <w:rPr>
                <w:rFonts w:hint="eastAsia" w:ascii="宋体" w:hAnsi="宋体" w:cs="宋体"/>
                <w:bCs/>
                <w:color w:val="auto"/>
                <w:szCs w:val="21"/>
                <w:lang w:val="en-US" w:eastAsia="zh-CN"/>
              </w:rPr>
            </w:pPr>
            <w:r>
              <w:rPr>
                <w:rFonts w:hint="eastAsia" w:ascii="宋体" w:hAnsi="宋体" w:cs="宋体"/>
                <w:bCs/>
                <w:color w:val="auto"/>
                <w:szCs w:val="21"/>
                <w:lang w:val="en-US" w:eastAsia="zh-CN"/>
              </w:rPr>
              <w:object>
                <v:shape id="_x0000_i1025" o:spt="75" type="#_x0000_t75" style="height:349.1pt;width:425.1pt;" o:ole="t" filled="f" o:preferrelative="t" stroked="f" coordsize="21600,21600">
                  <v:path/>
                  <v:fill on="f" focussize="0,0"/>
                  <v:stroke on="f"/>
                  <v:imagedata r:id="rId7" o:title=""/>
                  <o:lock v:ext="edit" aspectratio="f"/>
                  <w10:wrap type="none"/>
                  <w10:anchorlock/>
                </v:shape>
                <o:OLEObject Type="Embed" ProgID="Visio.Drawing.15" ShapeID="_x0000_i1025" DrawAspect="Content" ObjectID="_1468075725" r:id="rId6">
                  <o:LockedField>false</o:LockedField>
                </o:OLEObject>
              </w:object>
            </w:r>
          </w:p>
          <w:p w14:paraId="6AEB84FA">
            <w:pPr>
              <w:adjustRightInd w:val="0"/>
              <w:snapToGrid w:val="0"/>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cs="Times New Roman"/>
                <w:b/>
                <w:bCs w:val="0"/>
                <w:color w:val="auto"/>
                <w:sz w:val="21"/>
                <w:szCs w:val="21"/>
                <w:lang w:val="en-US" w:eastAsia="zh-CN"/>
              </w:rPr>
              <w:t>图2-1</w:t>
            </w:r>
            <w:r>
              <w:rPr>
                <w:rFonts w:hint="eastAsia" w:cs="Times New Roman"/>
                <w:b/>
                <w:bCs w:val="0"/>
                <w:color w:val="auto"/>
                <w:sz w:val="21"/>
                <w:szCs w:val="21"/>
                <w:lang w:val="en-US" w:eastAsia="zh-CN"/>
              </w:rPr>
              <w:t xml:space="preserve">  </w:t>
            </w:r>
            <w:r>
              <w:rPr>
                <w:rFonts w:hint="default" w:ascii="Times New Roman" w:hAnsi="Times New Roman" w:cs="Times New Roman"/>
                <w:b/>
                <w:bCs w:val="0"/>
                <w:color w:val="auto"/>
                <w:sz w:val="21"/>
                <w:szCs w:val="21"/>
                <w:lang w:val="en-US" w:eastAsia="zh-CN"/>
              </w:rPr>
              <w:t>项目水平衡单位：</w:t>
            </w:r>
            <w:r>
              <w:rPr>
                <w:rFonts w:hint="eastAsia" w:ascii="Times New Roman" w:hAnsi="Times New Roman"/>
                <w:b/>
                <w:bCs/>
                <w:color w:val="auto"/>
                <w:sz w:val="21"/>
                <w:szCs w:val="21"/>
                <w:lang w:val="en-US" w:eastAsia="zh-CN"/>
              </w:rPr>
              <w:t>m</w:t>
            </w:r>
            <w:r>
              <w:rPr>
                <w:rFonts w:hint="eastAsia" w:ascii="Times New Roman" w:hAnsi="Times New Roman"/>
                <w:b/>
                <w:bCs/>
                <w:color w:val="auto"/>
                <w:sz w:val="21"/>
                <w:szCs w:val="21"/>
                <w:vertAlign w:val="superscript"/>
                <w:lang w:val="en-US" w:eastAsia="zh-CN"/>
              </w:rPr>
              <w:t>3</w:t>
            </w:r>
            <w:r>
              <w:rPr>
                <w:rFonts w:hint="eastAsia" w:ascii="Times New Roman" w:hAnsi="Times New Roman"/>
                <w:b/>
                <w:bCs/>
                <w:color w:val="auto"/>
                <w:sz w:val="21"/>
                <w:szCs w:val="21"/>
                <w:lang w:val="en-US" w:eastAsia="zh-CN"/>
              </w:rPr>
              <w:t>/a</w:t>
            </w:r>
          </w:p>
          <w:p w14:paraId="2EA61F61">
            <w:pPr>
              <w:adjustRightInd w:val="0"/>
              <w:snapToGrid w:val="0"/>
              <w:jc w:val="center"/>
              <w:rPr>
                <w:rFonts w:hint="default" w:ascii="Times New Roman" w:hAnsi="Times New Roman" w:cs="Times New Roman"/>
                <w:b/>
                <w:bCs w:val="0"/>
                <w:color w:val="auto"/>
                <w:sz w:val="24"/>
                <w:szCs w:val="24"/>
                <w:lang w:val="en-US" w:eastAsia="zh-CN"/>
              </w:rPr>
            </w:pPr>
          </w:p>
          <w:p w14:paraId="76CFFB75">
            <w:pPr>
              <w:adjustRightInd w:val="0"/>
              <w:snapToGrid w:val="0"/>
              <w:jc w:val="center"/>
              <w:rPr>
                <w:rFonts w:hint="default" w:ascii="Times New Roman" w:hAnsi="Times New Roman" w:cs="Times New Roman"/>
                <w:b/>
                <w:bCs w:val="0"/>
                <w:color w:val="auto"/>
                <w:sz w:val="24"/>
                <w:szCs w:val="24"/>
                <w:lang w:val="en-US" w:eastAsia="zh-CN"/>
              </w:rPr>
            </w:pPr>
          </w:p>
          <w:p w14:paraId="3097E2D1">
            <w:pPr>
              <w:adjustRightInd w:val="0"/>
              <w:snapToGrid w:val="0"/>
              <w:jc w:val="center"/>
              <w:rPr>
                <w:rFonts w:hint="default" w:ascii="Times New Roman" w:hAnsi="Times New Roman" w:cs="Times New Roman"/>
                <w:b/>
                <w:bCs w:val="0"/>
                <w:color w:val="auto"/>
                <w:sz w:val="24"/>
                <w:szCs w:val="24"/>
                <w:lang w:val="en-US" w:eastAsia="zh-CN"/>
              </w:rPr>
            </w:pPr>
          </w:p>
          <w:p w14:paraId="4BD76248">
            <w:pPr>
              <w:pStyle w:val="3"/>
              <w:rPr>
                <w:rFonts w:hint="default" w:ascii="Times New Roman" w:hAnsi="Times New Roman" w:cs="Times New Roman"/>
                <w:b/>
                <w:bCs w:val="0"/>
                <w:color w:val="auto"/>
                <w:sz w:val="24"/>
                <w:szCs w:val="24"/>
                <w:lang w:val="en-US" w:eastAsia="zh-CN"/>
              </w:rPr>
            </w:pPr>
          </w:p>
          <w:p w14:paraId="43F966A6">
            <w:pPr>
              <w:rPr>
                <w:rFonts w:hint="default" w:ascii="Times New Roman" w:hAnsi="Times New Roman" w:cs="Times New Roman"/>
                <w:b/>
                <w:bCs w:val="0"/>
                <w:color w:val="auto"/>
                <w:sz w:val="24"/>
                <w:szCs w:val="24"/>
                <w:lang w:val="en-US" w:eastAsia="zh-CN"/>
              </w:rPr>
            </w:pPr>
          </w:p>
          <w:p w14:paraId="1A472C48">
            <w:pPr>
              <w:pStyle w:val="3"/>
              <w:rPr>
                <w:rFonts w:hint="default" w:ascii="Times New Roman" w:hAnsi="Times New Roman" w:cs="Times New Roman"/>
                <w:b/>
                <w:bCs w:val="0"/>
                <w:color w:val="auto"/>
                <w:sz w:val="24"/>
                <w:szCs w:val="24"/>
                <w:lang w:val="en-US" w:eastAsia="zh-CN"/>
              </w:rPr>
            </w:pPr>
          </w:p>
          <w:p w14:paraId="58111BA1">
            <w:pPr>
              <w:rPr>
                <w:rFonts w:hint="default"/>
                <w:color w:val="auto"/>
                <w:lang w:val="en-US" w:eastAsia="zh-CN"/>
              </w:rPr>
            </w:pPr>
          </w:p>
          <w:p w14:paraId="02980821">
            <w:pPr>
              <w:adjustRightInd w:val="0"/>
              <w:snapToGrid w:val="0"/>
              <w:jc w:val="both"/>
              <w:rPr>
                <w:rFonts w:ascii="宋体" w:hAnsi="宋体" w:cs="宋体"/>
                <w:bCs/>
                <w:color w:val="auto"/>
                <w:szCs w:val="21"/>
              </w:rPr>
            </w:pPr>
          </w:p>
          <w:p w14:paraId="2DA873FD">
            <w:pPr>
              <w:adjustRightInd w:val="0"/>
              <w:snapToGrid w:val="0"/>
              <w:jc w:val="both"/>
              <w:rPr>
                <w:rFonts w:ascii="宋体" w:hAnsi="宋体" w:cs="宋体"/>
                <w:bCs/>
                <w:color w:val="auto"/>
                <w:szCs w:val="21"/>
              </w:rPr>
            </w:pPr>
          </w:p>
          <w:p w14:paraId="5DAC1C9F">
            <w:pPr>
              <w:adjustRightInd w:val="0"/>
              <w:snapToGrid w:val="0"/>
              <w:jc w:val="both"/>
              <w:rPr>
                <w:rFonts w:ascii="宋体" w:hAnsi="宋体" w:cs="宋体"/>
                <w:bCs/>
                <w:color w:val="auto"/>
                <w:szCs w:val="21"/>
              </w:rPr>
            </w:pPr>
          </w:p>
          <w:p w14:paraId="51060589">
            <w:pPr>
              <w:adjustRightInd w:val="0"/>
              <w:snapToGrid w:val="0"/>
              <w:jc w:val="both"/>
              <w:rPr>
                <w:rFonts w:ascii="宋体" w:hAnsi="宋体" w:cs="宋体"/>
                <w:bCs/>
                <w:color w:val="auto"/>
                <w:szCs w:val="21"/>
              </w:rPr>
            </w:pPr>
          </w:p>
          <w:p w14:paraId="47DE64AE">
            <w:pPr>
              <w:adjustRightInd w:val="0"/>
              <w:snapToGrid w:val="0"/>
              <w:jc w:val="both"/>
              <w:rPr>
                <w:rFonts w:ascii="宋体" w:hAnsi="宋体" w:cs="宋体"/>
                <w:bCs/>
                <w:color w:val="auto"/>
                <w:szCs w:val="21"/>
              </w:rPr>
            </w:pPr>
          </w:p>
          <w:p w14:paraId="69F0F5A8">
            <w:pPr>
              <w:adjustRightInd w:val="0"/>
              <w:snapToGrid w:val="0"/>
              <w:jc w:val="both"/>
              <w:rPr>
                <w:rFonts w:ascii="宋体" w:hAnsi="宋体" w:cs="宋体"/>
                <w:bCs/>
                <w:color w:val="auto"/>
                <w:szCs w:val="21"/>
              </w:rPr>
            </w:pPr>
          </w:p>
          <w:p w14:paraId="09B2E9E1">
            <w:pPr>
              <w:adjustRightInd w:val="0"/>
              <w:snapToGrid w:val="0"/>
              <w:jc w:val="both"/>
              <w:rPr>
                <w:rFonts w:ascii="宋体" w:hAnsi="宋体" w:cs="宋体"/>
                <w:bCs/>
                <w:color w:val="auto"/>
                <w:szCs w:val="21"/>
              </w:rPr>
            </w:pPr>
          </w:p>
          <w:p w14:paraId="1EEC4DCD">
            <w:pPr>
              <w:adjustRightInd w:val="0"/>
              <w:snapToGrid w:val="0"/>
              <w:jc w:val="both"/>
              <w:rPr>
                <w:rFonts w:ascii="宋体" w:hAnsi="宋体" w:cs="宋体"/>
                <w:bCs/>
                <w:color w:val="auto"/>
                <w:szCs w:val="21"/>
              </w:rPr>
            </w:pPr>
          </w:p>
          <w:p w14:paraId="3D2377A7">
            <w:pPr>
              <w:adjustRightInd w:val="0"/>
              <w:snapToGrid w:val="0"/>
              <w:jc w:val="both"/>
              <w:rPr>
                <w:rFonts w:ascii="宋体" w:hAnsi="宋体" w:cs="宋体"/>
                <w:bCs/>
                <w:color w:val="auto"/>
                <w:szCs w:val="21"/>
              </w:rPr>
            </w:pPr>
          </w:p>
          <w:p w14:paraId="339A4460">
            <w:pPr>
              <w:adjustRightInd w:val="0"/>
              <w:snapToGrid w:val="0"/>
              <w:jc w:val="both"/>
              <w:rPr>
                <w:rFonts w:ascii="宋体" w:hAnsi="宋体" w:cs="宋体"/>
                <w:bCs/>
                <w:color w:val="auto"/>
                <w:szCs w:val="21"/>
              </w:rPr>
            </w:pPr>
          </w:p>
          <w:p w14:paraId="5C9049E7">
            <w:pPr>
              <w:adjustRightInd w:val="0"/>
              <w:snapToGrid w:val="0"/>
              <w:jc w:val="both"/>
              <w:rPr>
                <w:rFonts w:ascii="宋体" w:hAnsi="宋体" w:cs="宋体"/>
                <w:bCs/>
                <w:color w:val="auto"/>
                <w:szCs w:val="21"/>
              </w:rPr>
            </w:pPr>
          </w:p>
          <w:p w14:paraId="65E62215">
            <w:pPr>
              <w:adjustRightInd w:val="0"/>
              <w:snapToGrid w:val="0"/>
              <w:jc w:val="both"/>
              <w:rPr>
                <w:rFonts w:ascii="宋体" w:hAnsi="宋体" w:cs="宋体"/>
                <w:bCs/>
                <w:color w:val="auto"/>
                <w:szCs w:val="21"/>
              </w:rPr>
            </w:pPr>
          </w:p>
        </w:tc>
      </w:tr>
      <w:tr w14:paraId="3A839341">
        <w:trPr>
          <w:trHeight w:val="13303" w:hRule="atLeast"/>
          <w:jc w:val="center"/>
        </w:trPr>
        <w:tc>
          <w:tcPr>
            <w:tcW w:w="823" w:type="dxa"/>
            <w:noWrap w:val="0"/>
            <w:vAlign w:val="center"/>
          </w:tcPr>
          <w:p w14:paraId="7C7806E2">
            <w:pPr>
              <w:pStyle w:val="14"/>
              <w:adjustRightInd w:val="0"/>
              <w:snapToGrid w:val="0"/>
              <w:spacing w:before="0" w:beforeAutospacing="0" w:after="0" w:afterAutospacing="0"/>
              <w:jc w:val="center"/>
              <w:rPr>
                <w:rFonts w:hint="eastAsia" w:cs="宋体"/>
                <w:color w:val="auto"/>
                <w:sz w:val="21"/>
                <w:szCs w:val="21"/>
              </w:rPr>
            </w:pPr>
          </w:p>
          <w:p w14:paraId="62B23872">
            <w:pPr>
              <w:pStyle w:val="14"/>
              <w:adjustRightInd w:val="0"/>
              <w:snapToGrid w:val="0"/>
              <w:spacing w:before="0" w:beforeAutospacing="0" w:after="0" w:afterAutospacing="0"/>
              <w:jc w:val="center"/>
              <w:rPr>
                <w:rFonts w:hint="eastAsia" w:cs="宋体"/>
                <w:color w:val="auto"/>
                <w:sz w:val="21"/>
                <w:szCs w:val="21"/>
              </w:rPr>
            </w:pPr>
          </w:p>
          <w:p w14:paraId="35D58133">
            <w:pPr>
              <w:pStyle w:val="14"/>
              <w:adjustRightInd w:val="0"/>
              <w:snapToGrid w:val="0"/>
              <w:spacing w:before="0" w:beforeAutospacing="0" w:after="0" w:afterAutospacing="0"/>
              <w:jc w:val="center"/>
              <w:rPr>
                <w:rFonts w:hint="eastAsia" w:cs="宋体"/>
                <w:color w:val="auto"/>
                <w:sz w:val="21"/>
                <w:szCs w:val="21"/>
              </w:rPr>
            </w:pPr>
          </w:p>
          <w:p w14:paraId="45D68435">
            <w:pPr>
              <w:pStyle w:val="14"/>
              <w:adjustRightInd w:val="0"/>
              <w:snapToGrid w:val="0"/>
              <w:spacing w:before="0" w:beforeAutospacing="0" w:after="0" w:afterAutospacing="0"/>
              <w:jc w:val="center"/>
              <w:rPr>
                <w:rFonts w:hint="eastAsia" w:cs="宋体"/>
                <w:color w:val="auto"/>
                <w:sz w:val="21"/>
                <w:szCs w:val="21"/>
              </w:rPr>
            </w:pPr>
          </w:p>
          <w:p w14:paraId="1C67B956">
            <w:pPr>
              <w:pStyle w:val="14"/>
              <w:adjustRightInd w:val="0"/>
              <w:snapToGrid w:val="0"/>
              <w:spacing w:before="0" w:beforeAutospacing="0" w:after="0" w:afterAutospacing="0"/>
              <w:jc w:val="center"/>
              <w:rPr>
                <w:rFonts w:hint="eastAsia" w:cs="宋体"/>
                <w:color w:val="auto"/>
                <w:sz w:val="21"/>
                <w:szCs w:val="21"/>
              </w:rPr>
            </w:pPr>
          </w:p>
          <w:p w14:paraId="26B6E34C">
            <w:pPr>
              <w:pStyle w:val="14"/>
              <w:adjustRightInd w:val="0"/>
              <w:snapToGrid w:val="0"/>
              <w:spacing w:before="0" w:beforeAutospacing="0" w:after="0" w:afterAutospacing="0"/>
              <w:jc w:val="center"/>
              <w:rPr>
                <w:rFonts w:hint="eastAsia" w:cs="宋体"/>
                <w:color w:val="auto"/>
                <w:sz w:val="21"/>
                <w:szCs w:val="21"/>
              </w:rPr>
            </w:pPr>
          </w:p>
          <w:p w14:paraId="028046DA">
            <w:pPr>
              <w:pStyle w:val="14"/>
              <w:adjustRightInd w:val="0"/>
              <w:snapToGrid w:val="0"/>
              <w:spacing w:before="0" w:beforeAutospacing="0" w:after="0" w:afterAutospacing="0"/>
              <w:jc w:val="center"/>
              <w:rPr>
                <w:rFonts w:hint="eastAsia" w:cs="宋体"/>
                <w:color w:val="auto"/>
                <w:sz w:val="21"/>
                <w:szCs w:val="21"/>
              </w:rPr>
            </w:pPr>
          </w:p>
          <w:p w14:paraId="364BE755">
            <w:pPr>
              <w:pStyle w:val="14"/>
              <w:adjustRightInd w:val="0"/>
              <w:snapToGrid w:val="0"/>
              <w:spacing w:before="0" w:beforeAutospacing="0" w:after="0" w:afterAutospacing="0"/>
              <w:jc w:val="center"/>
              <w:rPr>
                <w:rFonts w:cs="宋体"/>
                <w:color w:val="auto"/>
                <w:sz w:val="21"/>
                <w:szCs w:val="21"/>
              </w:rPr>
            </w:pPr>
            <w:r>
              <w:rPr>
                <w:rFonts w:hint="eastAsia" w:cs="宋体"/>
                <w:color w:val="auto"/>
                <w:sz w:val="21"/>
                <w:szCs w:val="21"/>
              </w:rPr>
              <w:t>工艺流程和产排污环节</w:t>
            </w:r>
          </w:p>
        </w:tc>
        <w:tc>
          <w:tcPr>
            <w:tcW w:w="8161" w:type="dxa"/>
            <w:noWrap w:val="0"/>
            <w:vAlign w:val="top"/>
          </w:tcPr>
          <w:p w14:paraId="0DFFE633">
            <w:pPr>
              <w:pStyle w:val="16"/>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eastAsia"/>
                <w:b/>
                <w:bCs/>
                <w:color w:val="auto"/>
              </w:rPr>
            </w:pPr>
            <w:r>
              <w:rPr>
                <w:rFonts w:hint="eastAsia"/>
                <w:b/>
                <w:bCs/>
                <w:color w:val="auto"/>
              </w:rPr>
              <w:t>三、生产工艺及产排污环节</w:t>
            </w:r>
          </w:p>
          <w:p w14:paraId="1717E825">
            <w:pPr>
              <w:pStyle w:val="16"/>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default" w:eastAsia="宋体" w:cs="宋体"/>
                <w:bCs/>
                <w:color w:val="auto"/>
                <w:kern w:val="2"/>
                <w:szCs w:val="24"/>
                <w:lang w:val="en-US" w:eastAsia="zh-CN"/>
              </w:rPr>
            </w:pPr>
            <w:r>
              <w:rPr>
                <w:rFonts w:hint="eastAsia" w:cs="宋体"/>
                <w:bCs/>
                <w:color w:val="auto"/>
                <w:kern w:val="2"/>
                <w:szCs w:val="24"/>
                <w:lang w:val="en-US" w:eastAsia="zh-CN"/>
              </w:rPr>
              <w:t>本项目椰子汁生产工艺流程见图2-2、功能饮料生产工艺流程见图2-3、复合果汁饮料生产工艺流程见图2-4 、茶饮料生产工艺流程见图2-5、咖啡饮料生产工艺流程见图2-6、风味饮料生产工艺流程见图2-7、塑料瓶生产工艺流程见图2-8。</w:t>
            </w:r>
          </w:p>
          <w:p w14:paraId="132F33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color w:val="auto"/>
                <w:sz w:val="24"/>
              </w:rPr>
            </w:pPr>
            <w:r>
              <w:rPr>
                <w:rFonts w:hint="eastAsia"/>
                <w:color w:val="auto"/>
                <w:sz w:val="24"/>
                <w:lang w:eastAsia="zh-CN"/>
              </w:rPr>
              <w:t>1.</w:t>
            </w:r>
            <w:r>
              <w:rPr>
                <w:rFonts w:hint="eastAsia"/>
                <w:color w:val="auto"/>
                <w:sz w:val="24"/>
                <w:lang w:val="en-US" w:eastAsia="zh-CN"/>
              </w:rPr>
              <w:t>椰子汁</w:t>
            </w:r>
            <w:r>
              <w:rPr>
                <w:rFonts w:hint="eastAsia"/>
                <w:color w:val="auto"/>
                <w:sz w:val="24"/>
              </w:rPr>
              <w:t>生产工艺流程图</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0"/>
            </w:tblGrid>
            <w:tr w14:paraId="76B624B3">
              <w:trPr>
                <w:trHeight w:val="10280" w:hRule="atLeast"/>
              </w:trPr>
              <w:tc>
                <w:tcPr>
                  <w:tcW w:w="8420" w:type="dxa"/>
                </w:tcPr>
                <w:p w14:paraId="7B3B9598">
                  <w:pPr>
                    <w:pStyle w:val="16"/>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ind w:right="0"/>
                    <w:jc w:val="center"/>
                    <w:textAlignment w:val="auto"/>
                    <w:rPr>
                      <w:color w:val="auto"/>
                      <w:vertAlign w:val="baseline"/>
                    </w:rPr>
                  </w:pPr>
                </w:p>
              </w:tc>
            </w:tr>
          </w:tbl>
          <w:p w14:paraId="0F79965D">
            <w:pPr>
              <w:pStyle w:val="16"/>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ind w:left="0" w:leftChars="0" w:right="0" w:firstLine="0" w:firstLineChars="0"/>
              <w:jc w:val="center"/>
              <w:textAlignment w:val="auto"/>
              <w:rPr>
                <w:color w:val="auto"/>
              </w:rPr>
            </w:pPr>
          </w:p>
          <w:p w14:paraId="7B916E34">
            <w:pPr>
              <w:pStyle w:val="16"/>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ind w:left="0" w:leftChars="0" w:right="0" w:firstLine="0" w:firstLineChars="0"/>
              <w:jc w:val="center"/>
              <w:textAlignment w:val="auto"/>
              <w:rPr>
                <w:rFonts w:hint="eastAsia"/>
                <w:color w:val="auto"/>
                <w:sz w:val="21"/>
                <w:szCs w:val="21"/>
              </w:rPr>
            </w:pPr>
            <w:r>
              <w:rPr>
                <w:rFonts w:hint="eastAsia"/>
                <w:b/>
                <w:bCs/>
                <w:color w:val="auto"/>
                <w:sz w:val="21"/>
                <w:szCs w:val="21"/>
              </w:rPr>
              <w:t>图2-</w:t>
            </w:r>
            <w:r>
              <w:rPr>
                <w:rFonts w:hint="eastAsia"/>
                <w:b/>
                <w:bCs/>
                <w:color w:val="auto"/>
                <w:sz w:val="21"/>
                <w:szCs w:val="21"/>
                <w:lang w:val="en-US" w:eastAsia="zh-CN"/>
              </w:rPr>
              <w:t>2  椰子汁</w:t>
            </w:r>
            <w:r>
              <w:rPr>
                <w:rFonts w:hint="eastAsia"/>
                <w:b/>
                <w:bCs/>
                <w:color w:val="auto"/>
                <w:sz w:val="21"/>
                <w:szCs w:val="21"/>
              </w:rPr>
              <w:t>生产工艺流程图</w:t>
            </w:r>
          </w:p>
          <w:p w14:paraId="514ABCFD">
            <w:pPr>
              <w:pStyle w:val="16"/>
              <w:keepNext w:val="0"/>
              <w:keepLines w:val="0"/>
              <w:pageBreakBefore w:val="0"/>
              <w:kinsoku/>
              <w:wordWrap/>
              <w:overflowPunct/>
              <w:topLinePunct w:val="0"/>
              <w:bidi w:val="0"/>
              <w:snapToGrid/>
              <w:spacing w:after="0" w:line="360" w:lineRule="auto"/>
              <w:ind w:left="0" w:leftChars="0" w:firstLine="480"/>
              <w:textAlignment w:val="auto"/>
              <w:rPr>
                <w:rFonts w:hint="eastAsia" w:cs="宋体"/>
                <w:bCs/>
                <w:color w:val="auto"/>
                <w:kern w:val="2"/>
                <w:szCs w:val="24"/>
              </w:rPr>
            </w:pPr>
            <w:r>
              <w:rPr>
                <w:rFonts w:hint="eastAsia" w:cs="宋体"/>
                <w:bCs/>
                <w:color w:val="auto"/>
                <w:kern w:val="2"/>
                <w:szCs w:val="24"/>
              </w:rPr>
              <w:t>生产工艺流程简述：</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0"/>
            </w:tblGrid>
            <w:tr w14:paraId="4BF9A142">
              <w:trPr>
                <w:trHeight w:val="11843" w:hRule="atLeast"/>
              </w:trPr>
              <w:tc>
                <w:tcPr>
                  <w:tcW w:w="8420" w:type="dxa"/>
                </w:tcPr>
                <w:p w14:paraId="2BF19A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eastAsia"/>
                      <w:color w:val="auto"/>
                      <w:sz w:val="24"/>
                      <w:vertAlign w:val="baseline"/>
                    </w:rPr>
                  </w:pPr>
                </w:p>
              </w:tc>
            </w:tr>
          </w:tbl>
          <w:p w14:paraId="478244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olor w:val="auto"/>
                <w:sz w:val="24"/>
              </w:rPr>
            </w:pPr>
          </w:p>
          <w:p w14:paraId="592BAF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olor w:val="auto"/>
                <w:sz w:val="24"/>
              </w:rPr>
            </w:pPr>
          </w:p>
          <w:p w14:paraId="0E0718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ascii="Times New Roman" w:hAnsi="Times New Roman"/>
                <w:b w:val="0"/>
                <w:bCs/>
                <w:color w:val="auto"/>
              </w:rPr>
            </w:pPr>
            <w:r>
              <w:rPr>
                <w:rFonts w:hint="eastAsia"/>
                <w:color w:val="auto"/>
                <w:sz w:val="24"/>
                <w:lang w:val="en-US" w:eastAsia="zh-CN"/>
              </w:rPr>
              <w:t>2.功能饮料</w:t>
            </w:r>
            <w:r>
              <w:rPr>
                <w:rFonts w:hint="eastAsia"/>
                <w:color w:val="auto"/>
                <w:sz w:val="24"/>
              </w:rPr>
              <w:t>生产工艺流程图</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0"/>
            </w:tblGrid>
            <w:tr w14:paraId="495E1D04">
              <w:trPr>
                <w:trHeight w:val="7493" w:hRule="atLeast"/>
              </w:trPr>
              <w:tc>
                <w:tcPr>
                  <w:tcW w:w="8420" w:type="dxa"/>
                </w:tcPr>
                <w:p w14:paraId="68FF91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eastAsia"/>
                      <w:color w:val="auto"/>
                      <w:sz w:val="24"/>
                      <w:vertAlign w:val="baseline"/>
                    </w:rPr>
                  </w:pPr>
                </w:p>
              </w:tc>
            </w:tr>
          </w:tbl>
          <w:p w14:paraId="35EB2514">
            <w:pPr>
              <w:pStyle w:val="16"/>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ind w:left="0" w:leftChars="0" w:right="0" w:firstLine="0" w:firstLineChars="0"/>
              <w:jc w:val="center"/>
              <w:textAlignment w:val="auto"/>
              <w:rPr>
                <w:rFonts w:hint="default" w:ascii="Times New Roman" w:hAnsi="Times New Roman"/>
                <w:b/>
                <w:bCs/>
                <w:color w:val="auto"/>
                <w:sz w:val="21"/>
                <w:lang w:val="en-US" w:eastAsia="zh-CN"/>
              </w:rPr>
            </w:pPr>
          </w:p>
          <w:p w14:paraId="098BCFA2">
            <w:pPr>
              <w:pStyle w:val="16"/>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ind w:left="0" w:leftChars="0" w:right="0" w:firstLine="0" w:firstLineChars="0"/>
              <w:jc w:val="center"/>
              <w:textAlignment w:val="auto"/>
              <w:rPr>
                <w:rFonts w:hint="eastAsia"/>
                <w:color w:val="auto"/>
                <w:sz w:val="21"/>
                <w:szCs w:val="21"/>
              </w:rPr>
            </w:pPr>
            <w:r>
              <w:rPr>
                <w:rFonts w:hint="eastAsia"/>
                <w:b/>
                <w:bCs/>
                <w:color w:val="auto"/>
                <w:sz w:val="21"/>
                <w:szCs w:val="21"/>
              </w:rPr>
              <w:t>图2-</w:t>
            </w:r>
            <w:r>
              <w:rPr>
                <w:rFonts w:hint="eastAsia"/>
                <w:b/>
                <w:bCs/>
                <w:color w:val="auto"/>
                <w:sz w:val="21"/>
                <w:szCs w:val="21"/>
                <w:lang w:val="en-US" w:eastAsia="zh-CN"/>
              </w:rPr>
              <w:t>3  功能饮料</w:t>
            </w:r>
            <w:r>
              <w:rPr>
                <w:rFonts w:hint="eastAsia"/>
                <w:b/>
                <w:bCs/>
                <w:color w:val="auto"/>
                <w:sz w:val="21"/>
                <w:szCs w:val="21"/>
              </w:rPr>
              <w:t>生产工艺流程图</w:t>
            </w:r>
          </w:p>
          <w:p w14:paraId="52D128A5">
            <w:pPr>
              <w:pStyle w:val="16"/>
              <w:keepNext w:val="0"/>
              <w:keepLines w:val="0"/>
              <w:pageBreakBefore w:val="0"/>
              <w:kinsoku/>
              <w:wordWrap/>
              <w:overflowPunct/>
              <w:topLinePunct w:val="0"/>
              <w:bidi w:val="0"/>
              <w:snapToGrid/>
              <w:spacing w:after="0" w:line="360" w:lineRule="auto"/>
              <w:ind w:left="0" w:leftChars="0" w:firstLine="480"/>
              <w:textAlignment w:val="auto"/>
              <w:rPr>
                <w:rFonts w:hint="eastAsia" w:cs="宋体"/>
                <w:bCs/>
                <w:color w:val="auto"/>
                <w:kern w:val="2"/>
                <w:szCs w:val="24"/>
              </w:rPr>
            </w:pPr>
            <w:r>
              <w:rPr>
                <w:rFonts w:hint="eastAsia" w:cs="宋体"/>
                <w:bCs/>
                <w:color w:val="auto"/>
                <w:kern w:val="2"/>
                <w:szCs w:val="24"/>
              </w:rPr>
              <w:t>生产工艺流程简述：</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0"/>
            </w:tblGrid>
            <w:tr w14:paraId="4FBE9DFE">
              <w:trPr>
                <w:trHeight w:val="4268" w:hRule="atLeast"/>
              </w:trPr>
              <w:tc>
                <w:tcPr>
                  <w:tcW w:w="8420" w:type="dxa"/>
                </w:tcPr>
                <w:p w14:paraId="62634B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eastAsia"/>
                      <w:color w:val="auto"/>
                      <w:sz w:val="24"/>
                      <w:vertAlign w:val="baseline"/>
                    </w:rPr>
                  </w:pPr>
                </w:p>
              </w:tc>
            </w:tr>
          </w:tbl>
          <w:p w14:paraId="57D09D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宋体"/>
                <w:b w:val="0"/>
                <w:bCs/>
                <w:color w:val="auto"/>
                <w:kern w:val="2"/>
                <w:sz w:val="24"/>
                <w:szCs w:val="24"/>
                <w:lang w:val="en-US" w:eastAsia="zh-CN" w:bidi="ar-SA"/>
              </w:rPr>
            </w:pPr>
          </w:p>
          <w:p w14:paraId="2BC767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ascii="Times New Roman" w:hAnsi="Times New Roman"/>
                <w:b w:val="0"/>
                <w:bCs/>
                <w:color w:val="auto"/>
              </w:rPr>
            </w:pPr>
            <w:r>
              <w:rPr>
                <w:rFonts w:hint="eastAsia"/>
                <w:color w:val="auto"/>
                <w:sz w:val="24"/>
                <w:lang w:val="en-US" w:eastAsia="zh-CN"/>
              </w:rPr>
              <w:t>3.复合果汁饮料</w:t>
            </w:r>
            <w:r>
              <w:rPr>
                <w:rFonts w:hint="eastAsia"/>
                <w:color w:val="auto"/>
                <w:sz w:val="24"/>
              </w:rPr>
              <w:t>生产工艺流程图</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0"/>
            </w:tblGrid>
            <w:tr w14:paraId="64B2D108">
              <w:trPr>
                <w:trHeight w:val="9668" w:hRule="atLeast"/>
              </w:trPr>
              <w:tc>
                <w:tcPr>
                  <w:tcW w:w="8420" w:type="dxa"/>
                </w:tcPr>
                <w:p w14:paraId="0BC545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eastAsia"/>
                      <w:color w:val="auto"/>
                      <w:sz w:val="24"/>
                      <w:vertAlign w:val="baseline"/>
                    </w:rPr>
                  </w:pPr>
                </w:p>
              </w:tc>
            </w:tr>
          </w:tbl>
          <w:p w14:paraId="3B11EE85">
            <w:pPr>
              <w:pStyle w:val="16"/>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ind w:left="0" w:leftChars="0" w:right="0" w:firstLine="0" w:firstLineChars="0"/>
              <w:jc w:val="center"/>
              <w:textAlignment w:val="auto"/>
              <w:rPr>
                <w:rFonts w:hint="default" w:ascii="Times New Roman" w:hAnsi="Times New Roman"/>
                <w:b/>
                <w:bCs/>
                <w:color w:val="auto"/>
                <w:sz w:val="21"/>
                <w:lang w:val="en-US" w:eastAsia="zh-CN"/>
              </w:rPr>
            </w:pPr>
          </w:p>
          <w:p w14:paraId="3ADECA70">
            <w:pPr>
              <w:pStyle w:val="16"/>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ind w:left="0" w:leftChars="0" w:right="0" w:firstLine="0" w:firstLineChars="0"/>
              <w:jc w:val="center"/>
              <w:textAlignment w:val="auto"/>
              <w:rPr>
                <w:rFonts w:hint="eastAsia"/>
                <w:color w:val="auto"/>
                <w:sz w:val="21"/>
                <w:szCs w:val="21"/>
              </w:rPr>
            </w:pPr>
            <w:r>
              <w:rPr>
                <w:rFonts w:hint="eastAsia"/>
                <w:b/>
                <w:bCs/>
                <w:color w:val="auto"/>
                <w:sz w:val="21"/>
                <w:szCs w:val="21"/>
              </w:rPr>
              <w:t>图2-</w:t>
            </w:r>
            <w:r>
              <w:rPr>
                <w:rFonts w:hint="eastAsia"/>
                <w:b/>
                <w:bCs/>
                <w:color w:val="auto"/>
                <w:sz w:val="21"/>
                <w:szCs w:val="21"/>
                <w:lang w:val="en-US" w:eastAsia="zh-CN"/>
              </w:rPr>
              <w:t>4  复合果汁饮料</w:t>
            </w:r>
            <w:r>
              <w:rPr>
                <w:rFonts w:hint="eastAsia"/>
                <w:b/>
                <w:bCs/>
                <w:color w:val="auto"/>
                <w:sz w:val="21"/>
                <w:szCs w:val="21"/>
              </w:rPr>
              <w:t>生产工艺流程图</w:t>
            </w:r>
          </w:p>
          <w:p w14:paraId="02F03381">
            <w:pPr>
              <w:pStyle w:val="16"/>
              <w:keepNext w:val="0"/>
              <w:keepLines w:val="0"/>
              <w:pageBreakBefore w:val="0"/>
              <w:kinsoku/>
              <w:wordWrap/>
              <w:overflowPunct/>
              <w:topLinePunct w:val="0"/>
              <w:bidi w:val="0"/>
              <w:snapToGrid/>
              <w:spacing w:after="0" w:line="360" w:lineRule="auto"/>
              <w:ind w:left="0" w:leftChars="0" w:firstLine="480"/>
              <w:textAlignment w:val="auto"/>
              <w:rPr>
                <w:rFonts w:hint="eastAsia" w:cs="宋体"/>
                <w:bCs/>
                <w:color w:val="auto"/>
                <w:kern w:val="2"/>
                <w:szCs w:val="24"/>
              </w:rPr>
            </w:pPr>
            <w:r>
              <w:rPr>
                <w:rFonts w:hint="eastAsia" w:cs="宋体"/>
                <w:bCs/>
                <w:color w:val="auto"/>
                <w:kern w:val="2"/>
                <w:szCs w:val="24"/>
              </w:rPr>
              <w:t>生产工艺流程简述：</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0"/>
            </w:tblGrid>
            <w:tr w14:paraId="11190234">
              <w:trPr>
                <w:trHeight w:val="6788" w:hRule="atLeast"/>
              </w:trPr>
              <w:tc>
                <w:tcPr>
                  <w:tcW w:w="8420" w:type="dxa"/>
                </w:tcPr>
                <w:p w14:paraId="007EE7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eastAsia"/>
                      <w:color w:val="auto"/>
                      <w:sz w:val="24"/>
                      <w:vertAlign w:val="baseline"/>
                    </w:rPr>
                  </w:pPr>
                </w:p>
              </w:tc>
            </w:tr>
          </w:tbl>
          <w:p w14:paraId="5C6F8103">
            <w:pPr>
              <w:pStyle w:val="17"/>
              <w:keepNext w:val="0"/>
              <w:keepLines w:val="0"/>
              <w:pageBreakBefore w:val="0"/>
              <w:kinsoku/>
              <w:wordWrap/>
              <w:overflowPunct/>
              <w:topLinePunct w:val="0"/>
              <w:bidi w:val="0"/>
              <w:snapToGrid/>
              <w:spacing w:line="360" w:lineRule="auto"/>
              <w:ind w:firstLine="480" w:firstLineChars="200"/>
              <w:jc w:val="both"/>
              <w:textAlignment w:val="auto"/>
              <w:rPr>
                <w:rFonts w:hint="default" w:ascii="Times New Roman" w:hAnsi="Times New Roman"/>
                <w:b w:val="0"/>
                <w:bCs/>
                <w:color w:val="auto"/>
                <w:lang w:val="en-US"/>
              </w:rPr>
            </w:pPr>
          </w:p>
          <w:p w14:paraId="0CADA1FF">
            <w:pPr>
              <w:pStyle w:val="17"/>
              <w:keepNext w:val="0"/>
              <w:keepLines w:val="0"/>
              <w:pageBreakBefore w:val="0"/>
              <w:kinsoku/>
              <w:wordWrap/>
              <w:overflowPunct/>
              <w:topLinePunct w:val="0"/>
              <w:bidi w:val="0"/>
              <w:snapToGrid/>
              <w:spacing w:line="360" w:lineRule="auto"/>
              <w:ind w:firstLine="480" w:firstLineChars="200"/>
              <w:jc w:val="both"/>
              <w:textAlignment w:val="auto"/>
              <w:rPr>
                <w:rFonts w:hint="eastAsia" w:ascii="Times New Roman" w:hAnsi="Times New Roman"/>
                <w:b w:val="0"/>
                <w:bCs/>
                <w:color w:val="auto"/>
                <w:lang w:val="en-US" w:eastAsia="zh-CN"/>
              </w:rPr>
            </w:pPr>
            <w:r>
              <w:rPr>
                <w:rFonts w:hint="eastAsia" w:ascii="Times New Roman" w:hAnsi="Times New Roman"/>
                <w:b w:val="0"/>
                <w:bCs/>
                <w:color w:val="auto"/>
                <w:lang w:val="en-US" w:eastAsia="zh-CN"/>
              </w:rPr>
              <w:t>4.茶饮料生产工艺流程图</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0"/>
            </w:tblGrid>
            <w:tr w14:paraId="69C189AF">
              <w:trPr>
                <w:trHeight w:val="8603" w:hRule="atLeast"/>
              </w:trPr>
              <w:tc>
                <w:tcPr>
                  <w:tcW w:w="8420" w:type="dxa"/>
                </w:tcPr>
                <w:p w14:paraId="0DC3FC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eastAsia"/>
                      <w:color w:val="auto"/>
                      <w:sz w:val="24"/>
                      <w:vertAlign w:val="baseline"/>
                    </w:rPr>
                  </w:pPr>
                </w:p>
              </w:tc>
            </w:tr>
          </w:tbl>
          <w:p w14:paraId="65FAE561">
            <w:pPr>
              <w:pStyle w:val="16"/>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ind w:left="0" w:leftChars="0" w:right="0" w:firstLine="0" w:firstLineChars="0"/>
              <w:jc w:val="center"/>
              <w:textAlignment w:val="auto"/>
              <w:rPr>
                <w:rFonts w:hint="default" w:ascii="Times New Roman" w:hAnsi="Times New Roman"/>
                <w:b/>
                <w:bCs/>
                <w:color w:val="auto"/>
                <w:sz w:val="21"/>
                <w:lang w:val="en-US" w:eastAsia="zh-CN"/>
              </w:rPr>
            </w:pPr>
          </w:p>
          <w:p w14:paraId="2DAA21A6">
            <w:pPr>
              <w:pStyle w:val="16"/>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ind w:left="0" w:leftChars="0" w:right="0" w:firstLine="0" w:firstLineChars="0"/>
              <w:jc w:val="center"/>
              <w:textAlignment w:val="auto"/>
              <w:rPr>
                <w:rFonts w:hint="eastAsia"/>
                <w:color w:val="auto"/>
                <w:sz w:val="21"/>
                <w:szCs w:val="21"/>
              </w:rPr>
            </w:pPr>
            <w:r>
              <w:rPr>
                <w:rFonts w:hint="eastAsia"/>
                <w:b/>
                <w:bCs/>
                <w:color w:val="auto"/>
                <w:sz w:val="21"/>
                <w:szCs w:val="21"/>
              </w:rPr>
              <w:t>图2-</w:t>
            </w:r>
            <w:r>
              <w:rPr>
                <w:rFonts w:hint="eastAsia"/>
                <w:b/>
                <w:bCs/>
                <w:color w:val="auto"/>
                <w:sz w:val="21"/>
                <w:szCs w:val="21"/>
                <w:lang w:val="en-US" w:eastAsia="zh-CN"/>
              </w:rPr>
              <w:t>5  茶饮料</w:t>
            </w:r>
            <w:r>
              <w:rPr>
                <w:rFonts w:hint="eastAsia"/>
                <w:b/>
                <w:bCs/>
                <w:color w:val="auto"/>
                <w:sz w:val="21"/>
                <w:szCs w:val="21"/>
              </w:rPr>
              <w:t>生产工艺流程图</w:t>
            </w:r>
          </w:p>
          <w:p w14:paraId="4E87641B">
            <w:pPr>
              <w:pStyle w:val="16"/>
              <w:keepNext w:val="0"/>
              <w:keepLines w:val="0"/>
              <w:pageBreakBefore w:val="0"/>
              <w:kinsoku/>
              <w:wordWrap/>
              <w:overflowPunct/>
              <w:topLinePunct w:val="0"/>
              <w:bidi w:val="0"/>
              <w:snapToGrid/>
              <w:spacing w:after="0" w:line="360" w:lineRule="auto"/>
              <w:ind w:left="0" w:leftChars="0" w:firstLine="480"/>
              <w:textAlignment w:val="auto"/>
              <w:rPr>
                <w:rFonts w:hint="eastAsia" w:cs="宋体"/>
                <w:bCs/>
                <w:color w:val="auto"/>
                <w:kern w:val="2"/>
                <w:szCs w:val="24"/>
              </w:rPr>
            </w:pPr>
            <w:r>
              <w:rPr>
                <w:rFonts w:hint="eastAsia" w:cs="宋体"/>
                <w:bCs/>
                <w:color w:val="auto"/>
                <w:kern w:val="2"/>
                <w:szCs w:val="24"/>
              </w:rPr>
              <w:t>生产工艺流程简述：</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0"/>
            </w:tblGrid>
            <w:tr w14:paraId="5EC88413">
              <w:trPr>
                <w:trHeight w:val="5273" w:hRule="atLeast"/>
              </w:trPr>
              <w:tc>
                <w:tcPr>
                  <w:tcW w:w="8420" w:type="dxa"/>
                </w:tcPr>
                <w:p w14:paraId="37A42C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eastAsia"/>
                      <w:color w:val="auto"/>
                      <w:sz w:val="24"/>
                      <w:vertAlign w:val="baseline"/>
                    </w:rPr>
                  </w:pPr>
                </w:p>
              </w:tc>
            </w:tr>
          </w:tbl>
          <w:p w14:paraId="7D10352D">
            <w:pPr>
              <w:pStyle w:val="17"/>
              <w:keepNext w:val="0"/>
              <w:keepLines w:val="0"/>
              <w:pageBreakBefore w:val="0"/>
              <w:kinsoku/>
              <w:wordWrap/>
              <w:overflowPunct/>
              <w:topLinePunct w:val="0"/>
              <w:bidi w:val="0"/>
              <w:snapToGrid/>
              <w:spacing w:line="360" w:lineRule="auto"/>
              <w:ind w:firstLine="480" w:firstLineChars="200"/>
              <w:jc w:val="both"/>
              <w:textAlignment w:val="auto"/>
              <w:rPr>
                <w:rFonts w:hint="eastAsia" w:ascii="Times New Roman" w:hAnsi="Times New Roman"/>
                <w:b w:val="0"/>
                <w:bCs/>
                <w:color w:val="auto"/>
                <w:lang w:val="en-US" w:eastAsia="zh-CN"/>
              </w:rPr>
            </w:pPr>
            <w:r>
              <w:rPr>
                <w:rFonts w:hint="eastAsia" w:ascii="Times New Roman" w:hAnsi="Times New Roman"/>
                <w:b w:val="0"/>
                <w:bCs/>
                <w:color w:val="auto"/>
                <w:lang w:val="en-US" w:eastAsia="zh-CN"/>
              </w:rPr>
              <w:t>5.咖啡饮料生产工艺流程图</w:t>
            </w:r>
          </w:p>
          <w:p w14:paraId="6CF8870A">
            <w:pPr>
              <w:pStyle w:val="17"/>
              <w:keepNext w:val="0"/>
              <w:keepLines w:val="0"/>
              <w:pageBreakBefore w:val="0"/>
              <w:kinsoku/>
              <w:wordWrap/>
              <w:overflowPunct/>
              <w:topLinePunct w:val="0"/>
              <w:bidi w:val="0"/>
              <w:snapToGrid/>
              <w:spacing w:line="360" w:lineRule="auto"/>
              <w:ind w:firstLine="480" w:firstLineChars="200"/>
              <w:jc w:val="both"/>
              <w:textAlignment w:val="auto"/>
              <w:rPr>
                <w:rFonts w:hint="default" w:ascii="Times New Roman" w:hAnsi="Times New Roman"/>
                <w:b w:val="0"/>
                <w:bCs/>
                <w:color w:val="auto"/>
                <w:lang w:val="en-US"/>
              </w:r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0"/>
            </w:tblGrid>
            <w:tr w14:paraId="03D7FDE8">
              <w:trPr>
                <w:trHeight w:val="7328" w:hRule="atLeast"/>
              </w:trPr>
              <w:tc>
                <w:tcPr>
                  <w:tcW w:w="8420" w:type="dxa"/>
                </w:tcPr>
                <w:p w14:paraId="499FDE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eastAsia"/>
                      <w:color w:val="auto"/>
                      <w:sz w:val="24"/>
                      <w:vertAlign w:val="baseline"/>
                    </w:rPr>
                  </w:pPr>
                </w:p>
              </w:tc>
            </w:tr>
          </w:tbl>
          <w:p w14:paraId="79A7745A">
            <w:pPr>
              <w:pStyle w:val="16"/>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leftChars="0" w:right="0" w:firstLine="422" w:firstLineChars="200"/>
              <w:jc w:val="both"/>
              <w:textAlignment w:val="auto"/>
              <w:rPr>
                <w:rFonts w:hint="default" w:ascii="Times New Roman" w:hAnsi="Times New Roman"/>
                <w:b/>
                <w:bCs/>
                <w:color w:val="auto"/>
                <w:sz w:val="21"/>
                <w:lang w:val="en-US" w:eastAsia="zh-CN"/>
              </w:rPr>
            </w:pPr>
          </w:p>
          <w:p w14:paraId="0088E69D">
            <w:pPr>
              <w:pStyle w:val="16"/>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ind w:left="0" w:leftChars="0" w:right="0" w:firstLine="0" w:firstLineChars="0"/>
              <w:jc w:val="center"/>
              <w:textAlignment w:val="auto"/>
              <w:rPr>
                <w:rFonts w:hint="eastAsia"/>
                <w:color w:val="auto"/>
                <w:sz w:val="21"/>
                <w:szCs w:val="21"/>
              </w:rPr>
            </w:pPr>
            <w:r>
              <w:rPr>
                <w:rFonts w:hint="eastAsia"/>
                <w:b/>
                <w:bCs/>
                <w:color w:val="auto"/>
                <w:sz w:val="21"/>
                <w:szCs w:val="21"/>
              </w:rPr>
              <w:t>图2-</w:t>
            </w:r>
            <w:r>
              <w:rPr>
                <w:rFonts w:hint="eastAsia"/>
                <w:b/>
                <w:bCs/>
                <w:color w:val="auto"/>
                <w:sz w:val="21"/>
                <w:szCs w:val="21"/>
                <w:lang w:val="en-US" w:eastAsia="zh-CN"/>
              </w:rPr>
              <w:t>6  咖啡饮料</w:t>
            </w:r>
            <w:r>
              <w:rPr>
                <w:rFonts w:hint="eastAsia"/>
                <w:b/>
                <w:bCs/>
                <w:color w:val="auto"/>
                <w:sz w:val="21"/>
                <w:szCs w:val="21"/>
              </w:rPr>
              <w:t>生产工艺流程图</w:t>
            </w:r>
          </w:p>
          <w:p w14:paraId="2463654E">
            <w:pPr>
              <w:pStyle w:val="16"/>
              <w:keepNext w:val="0"/>
              <w:keepLines w:val="0"/>
              <w:pageBreakBefore w:val="0"/>
              <w:kinsoku/>
              <w:wordWrap/>
              <w:overflowPunct/>
              <w:topLinePunct w:val="0"/>
              <w:bidi w:val="0"/>
              <w:snapToGrid/>
              <w:spacing w:after="0" w:line="360" w:lineRule="auto"/>
              <w:ind w:left="0" w:leftChars="0" w:firstLine="480"/>
              <w:textAlignment w:val="auto"/>
              <w:rPr>
                <w:rFonts w:hint="eastAsia" w:cs="宋体"/>
                <w:bCs/>
                <w:color w:val="auto"/>
                <w:kern w:val="2"/>
                <w:szCs w:val="24"/>
              </w:rPr>
            </w:pPr>
            <w:r>
              <w:rPr>
                <w:rFonts w:hint="eastAsia" w:cs="宋体"/>
                <w:bCs/>
                <w:color w:val="auto"/>
                <w:kern w:val="2"/>
                <w:szCs w:val="24"/>
              </w:rPr>
              <w:t>生产工艺流程简述：</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0"/>
            </w:tblGrid>
            <w:tr w14:paraId="25DCA1CD">
              <w:trPr>
                <w:trHeight w:val="1808" w:hRule="atLeast"/>
              </w:trPr>
              <w:tc>
                <w:tcPr>
                  <w:tcW w:w="8420" w:type="dxa"/>
                </w:tcPr>
                <w:p w14:paraId="4DC63F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eastAsia"/>
                      <w:color w:val="auto"/>
                      <w:sz w:val="24"/>
                      <w:vertAlign w:val="baseline"/>
                    </w:rPr>
                  </w:pPr>
                </w:p>
                <w:p w14:paraId="79135A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eastAsia"/>
                      <w:color w:val="auto"/>
                      <w:sz w:val="24"/>
                      <w:vertAlign w:val="baseline"/>
                    </w:rPr>
                  </w:pPr>
                </w:p>
                <w:p w14:paraId="49E782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eastAsia"/>
                      <w:color w:val="auto"/>
                      <w:sz w:val="24"/>
                      <w:vertAlign w:val="baseline"/>
                    </w:rPr>
                  </w:pPr>
                </w:p>
                <w:p w14:paraId="79813F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eastAsia"/>
                      <w:color w:val="auto"/>
                      <w:sz w:val="24"/>
                      <w:vertAlign w:val="baseline"/>
                    </w:rPr>
                  </w:pPr>
                </w:p>
                <w:p w14:paraId="60DD53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eastAsia"/>
                      <w:color w:val="auto"/>
                      <w:sz w:val="24"/>
                      <w:vertAlign w:val="baseline"/>
                    </w:rPr>
                  </w:pPr>
                </w:p>
                <w:p w14:paraId="7860A5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eastAsia"/>
                      <w:color w:val="auto"/>
                      <w:sz w:val="24"/>
                      <w:vertAlign w:val="baseline"/>
                    </w:rPr>
                  </w:pPr>
                </w:p>
                <w:p w14:paraId="0E84E8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eastAsia"/>
                      <w:color w:val="auto"/>
                      <w:sz w:val="24"/>
                      <w:vertAlign w:val="baseline"/>
                    </w:rPr>
                  </w:pPr>
                </w:p>
                <w:p w14:paraId="5997A9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eastAsia"/>
                      <w:color w:val="auto"/>
                      <w:sz w:val="24"/>
                      <w:vertAlign w:val="baseline"/>
                    </w:rPr>
                  </w:pPr>
                </w:p>
                <w:p w14:paraId="79B4D9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eastAsia"/>
                      <w:color w:val="auto"/>
                      <w:sz w:val="24"/>
                      <w:vertAlign w:val="baseline"/>
                    </w:rPr>
                  </w:pPr>
                </w:p>
                <w:p w14:paraId="2E6D3A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eastAsia"/>
                      <w:color w:val="auto"/>
                      <w:sz w:val="24"/>
                      <w:vertAlign w:val="baseline"/>
                    </w:rPr>
                  </w:pPr>
                </w:p>
                <w:p w14:paraId="170856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eastAsia"/>
                      <w:color w:val="auto"/>
                      <w:sz w:val="24"/>
                      <w:vertAlign w:val="baseline"/>
                    </w:rPr>
                  </w:pPr>
                </w:p>
                <w:p w14:paraId="74BAA4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eastAsia"/>
                      <w:color w:val="auto"/>
                      <w:sz w:val="24"/>
                      <w:vertAlign w:val="baseline"/>
                    </w:rPr>
                  </w:pPr>
                </w:p>
                <w:p w14:paraId="400470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eastAsia"/>
                      <w:color w:val="auto"/>
                      <w:sz w:val="24"/>
                      <w:vertAlign w:val="baseline"/>
                    </w:rPr>
                  </w:pPr>
                </w:p>
              </w:tc>
            </w:tr>
          </w:tbl>
          <w:p w14:paraId="3B231FC4">
            <w:pPr>
              <w:pStyle w:val="17"/>
              <w:keepNext w:val="0"/>
              <w:keepLines w:val="0"/>
              <w:pageBreakBefore w:val="0"/>
              <w:kinsoku/>
              <w:wordWrap/>
              <w:overflowPunct/>
              <w:topLinePunct w:val="0"/>
              <w:bidi w:val="0"/>
              <w:snapToGrid/>
              <w:spacing w:line="360" w:lineRule="auto"/>
              <w:ind w:firstLine="480" w:firstLineChars="200"/>
              <w:jc w:val="both"/>
              <w:textAlignment w:val="auto"/>
              <w:rPr>
                <w:rFonts w:hint="default" w:ascii="Times New Roman" w:hAnsi="Times New Roman"/>
                <w:b w:val="0"/>
                <w:bCs/>
                <w:color w:val="auto"/>
                <w:lang w:val="en-US"/>
              </w:rPr>
            </w:pPr>
            <w:r>
              <w:rPr>
                <w:rFonts w:hint="eastAsia" w:ascii="Times New Roman" w:hAnsi="Times New Roman"/>
                <w:b w:val="0"/>
                <w:bCs/>
                <w:color w:val="auto"/>
                <w:lang w:val="en-US" w:eastAsia="zh-CN"/>
              </w:rPr>
              <w:t>6.风味饮料生产工艺流程图</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0"/>
            </w:tblGrid>
            <w:tr w14:paraId="5128469A">
              <w:trPr>
                <w:trHeight w:val="7718" w:hRule="atLeast"/>
              </w:trPr>
              <w:tc>
                <w:tcPr>
                  <w:tcW w:w="8420" w:type="dxa"/>
                </w:tcPr>
                <w:p w14:paraId="2DF3BC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eastAsia"/>
                      <w:color w:val="auto"/>
                      <w:sz w:val="24"/>
                      <w:vertAlign w:val="baseline"/>
                    </w:rPr>
                  </w:pPr>
                </w:p>
              </w:tc>
            </w:tr>
          </w:tbl>
          <w:p w14:paraId="386C5143">
            <w:pPr>
              <w:pStyle w:val="17"/>
              <w:keepNext w:val="0"/>
              <w:keepLines w:val="0"/>
              <w:pageBreakBefore w:val="0"/>
              <w:kinsoku/>
              <w:wordWrap/>
              <w:overflowPunct/>
              <w:topLinePunct w:val="0"/>
              <w:bidi w:val="0"/>
              <w:snapToGrid/>
              <w:spacing w:line="360" w:lineRule="auto"/>
              <w:ind w:firstLine="480" w:firstLineChars="200"/>
              <w:jc w:val="both"/>
              <w:textAlignment w:val="auto"/>
              <w:rPr>
                <w:rFonts w:hint="eastAsia" w:ascii="Times New Roman" w:hAnsi="Times New Roman"/>
                <w:b w:val="0"/>
                <w:bCs/>
                <w:color w:val="auto"/>
                <w:lang w:val="en-US" w:eastAsia="zh-CN"/>
              </w:rPr>
            </w:pPr>
          </w:p>
          <w:p w14:paraId="59DAC282">
            <w:pPr>
              <w:pStyle w:val="16"/>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ind w:left="0" w:leftChars="0" w:right="0" w:firstLine="0" w:firstLineChars="0"/>
              <w:jc w:val="center"/>
              <w:textAlignment w:val="auto"/>
              <w:rPr>
                <w:rFonts w:hint="eastAsia"/>
                <w:b/>
                <w:bCs/>
                <w:color w:val="auto"/>
                <w:sz w:val="21"/>
                <w:szCs w:val="21"/>
                <w:lang w:val="en-US" w:eastAsia="zh-CN"/>
              </w:rPr>
            </w:pPr>
            <w:r>
              <w:rPr>
                <w:rFonts w:hint="eastAsia"/>
                <w:b/>
                <w:bCs/>
                <w:color w:val="auto"/>
                <w:sz w:val="21"/>
                <w:szCs w:val="21"/>
                <w:lang w:val="en-US" w:eastAsia="zh-CN"/>
              </w:rPr>
              <w:t>图2-7  风味饮料生产工艺流程图</w:t>
            </w:r>
          </w:p>
          <w:p w14:paraId="42B8BE0E">
            <w:pPr>
              <w:pStyle w:val="16"/>
              <w:keepNext w:val="0"/>
              <w:keepLines w:val="0"/>
              <w:pageBreakBefore w:val="0"/>
              <w:kinsoku/>
              <w:wordWrap/>
              <w:overflowPunct/>
              <w:topLinePunct w:val="0"/>
              <w:bidi w:val="0"/>
              <w:snapToGrid/>
              <w:spacing w:after="0" w:line="360" w:lineRule="auto"/>
              <w:ind w:left="0" w:leftChars="0" w:firstLine="480"/>
              <w:textAlignment w:val="auto"/>
              <w:rPr>
                <w:rFonts w:hint="eastAsia" w:cs="宋体"/>
                <w:bCs/>
                <w:color w:val="auto"/>
                <w:kern w:val="2"/>
                <w:szCs w:val="24"/>
              </w:rPr>
            </w:pPr>
            <w:r>
              <w:rPr>
                <w:rFonts w:hint="eastAsia" w:cs="宋体"/>
                <w:bCs/>
                <w:color w:val="auto"/>
                <w:kern w:val="2"/>
                <w:szCs w:val="24"/>
              </w:rPr>
              <w:t>生产工艺流程简述：</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0"/>
            </w:tblGrid>
            <w:tr w14:paraId="236D1594">
              <w:trPr>
                <w:trHeight w:val="2063" w:hRule="atLeast"/>
              </w:trPr>
              <w:tc>
                <w:tcPr>
                  <w:tcW w:w="8420" w:type="dxa"/>
                </w:tcPr>
                <w:p w14:paraId="2413CE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eastAsia"/>
                      <w:color w:val="auto"/>
                      <w:sz w:val="24"/>
                      <w:vertAlign w:val="baseline"/>
                    </w:rPr>
                  </w:pPr>
                </w:p>
                <w:p w14:paraId="60B530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eastAsia"/>
                      <w:color w:val="auto"/>
                      <w:sz w:val="24"/>
                      <w:vertAlign w:val="baseline"/>
                    </w:rPr>
                  </w:pPr>
                </w:p>
                <w:p w14:paraId="570A44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eastAsia"/>
                      <w:color w:val="auto"/>
                      <w:sz w:val="24"/>
                      <w:vertAlign w:val="baseline"/>
                    </w:rPr>
                  </w:pPr>
                </w:p>
                <w:p w14:paraId="1973A6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eastAsia"/>
                      <w:color w:val="auto"/>
                      <w:sz w:val="24"/>
                      <w:vertAlign w:val="baseline"/>
                    </w:rPr>
                  </w:pPr>
                </w:p>
                <w:p w14:paraId="5796C4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eastAsia"/>
                      <w:color w:val="auto"/>
                      <w:sz w:val="24"/>
                      <w:vertAlign w:val="baseline"/>
                    </w:rPr>
                  </w:pPr>
                </w:p>
                <w:p w14:paraId="79F4D0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eastAsia"/>
                      <w:color w:val="auto"/>
                      <w:sz w:val="24"/>
                      <w:vertAlign w:val="baseline"/>
                    </w:rPr>
                  </w:pPr>
                </w:p>
                <w:p w14:paraId="585694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eastAsia"/>
                      <w:color w:val="auto"/>
                      <w:sz w:val="24"/>
                      <w:vertAlign w:val="baseline"/>
                    </w:rPr>
                  </w:pPr>
                </w:p>
                <w:p w14:paraId="038688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eastAsia"/>
                      <w:color w:val="auto"/>
                      <w:sz w:val="24"/>
                      <w:vertAlign w:val="baseline"/>
                    </w:rPr>
                  </w:pPr>
                </w:p>
                <w:p w14:paraId="03F271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eastAsia"/>
                      <w:color w:val="auto"/>
                      <w:sz w:val="24"/>
                      <w:vertAlign w:val="baseline"/>
                    </w:rPr>
                  </w:pPr>
                </w:p>
                <w:p w14:paraId="45C476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eastAsia"/>
                      <w:color w:val="auto"/>
                      <w:sz w:val="24"/>
                      <w:vertAlign w:val="baseline"/>
                    </w:rPr>
                  </w:pPr>
                </w:p>
                <w:p w14:paraId="04B4C1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eastAsia"/>
                      <w:color w:val="auto"/>
                      <w:sz w:val="24"/>
                      <w:vertAlign w:val="baseline"/>
                    </w:rPr>
                  </w:pPr>
                </w:p>
                <w:p w14:paraId="7F136A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eastAsia"/>
                      <w:color w:val="auto"/>
                      <w:sz w:val="24"/>
                      <w:vertAlign w:val="baseline"/>
                    </w:rPr>
                  </w:pPr>
                </w:p>
                <w:p w14:paraId="122F82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eastAsia"/>
                      <w:color w:val="auto"/>
                      <w:sz w:val="24"/>
                      <w:vertAlign w:val="baseline"/>
                    </w:rPr>
                  </w:pPr>
                </w:p>
                <w:p w14:paraId="3C3B87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eastAsia"/>
                      <w:color w:val="auto"/>
                      <w:sz w:val="24"/>
                      <w:vertAlign w:val="baseline"/>
                    </w:rPr>
                  </w:pPr>
                </w:p>
                <w:p w14:paraId="7DBB77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eastAsia"/>
                      <w:color w:val="auto"/>
                      <w:sz w:val="24"/>
                      <w:vertAlign w:val="baseline"/>
                    </w:rPr>
                  </w:pPr>
                </w:p>
                <w:p w14:paraId="009B92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eastAsia"/>
                      <w:color w:val="auto"/>
                      <w:sz w:val="24"/>
                      <w:vertAlign w:val="baseline"/>
                    </w:rPr>
                  </w:pPr>
                </w:p>
                <w:p w14:paraId="6026A1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eastAsia"/>
                      <w:color w:val="auto"/>
                      <w:sz w:val="24"/>
                      <w:vertAlign w:val="baseline"/>
                    </w:rPr>
                  </w:pPr>
                </w:p>
              </w:tc>
            </w:tr>
          </w:tbl>
          <w:p w14:paraId="3DD7A7A4">
            <w:pPr>
              <w:pStyle w:val="17"/>
              <w:keepNext w:val="0"/>
              <w:keepLines w:val="0"/>
              <w:pageBreakBefore w:val="0"/>
              <w:kinsoku/>
              <w:wordWrap/>
              <w:overflowPunct/>
              <w:topLinePunct w:val="0"/>
              <w:bidi w:val="0"/>
              <w:snapToGrid/>
              <w:spacing w:line="360" w:lineRule="auto"/>
              <w:ind w:firstLine="480" w:firstLineChars="200"/>
              <w:jc w:val="both"/>
              <w:textAlignment w:val="auto"/>
              <w:rPr>
                <w:rFonts w:hint="default" w:ascii="Times New Roman" w:hAnsi="Times New Roman"/>
                <w:b w:val="0"/>
                <w:bCs/>
                <w:color w:val="auto"/>
                <w:lang w:val="en-US" w:eastAsia="zh-CN"/>
              </w:rPr>
            </w:pPr>
            <w:r>
              <w:rPr>
                <w:rFonts w:hint="eastAsia" w:ascii="Times New Roman" w:hAnsi="Times New Roman"/>
                <w:b w:val="0"/>
                <w:bCs/>
                <w:color w:val="auto"/>
                <w:lang w:val="en-US" w:eastAsia="zh-CN"/>
              </w:rPr>
              <w:t>7.饮料瓶生产工艺流程图</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0"/>
            </w:tblGrid>
            <w:tr w14:paraId="144E1F17">
              <w:trPr>
                <w:trHeight w:val="3443" w:hRule="atLeast"/>
              </w:trPr>
              <w:tc>
                <w:tcPr>
                  <w:tcW w:w="8420" w:type="dxa"/>
                </w:tcPr>
                <w:p w14:paraId="2FC0B7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eastAsia"/>
                      <w:color w:val="auto"/>
                      <w:sz w:val="24"/>
                      <w:vertAlign w:val="baseline"/>
                    </w:rPr>
                  </w:pPr>
                </w:p>
              </w:tc>
            </w:tr>
          </w:tbl>
          <w:p w14:paraId="5AE34A49">
            <w:pPr>
              <w:pStyle w:val="16"/>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ind w:left="0" w:leftChars="0" w:right="0" w:firstLine="0" w:firstLineChars="0"/>
              <w:jc w:val="center"/>
              <w:textAlignment w:val="auto"/>
              <w:rPr>
                <w:rFonts w:hint="eastAsia"/>
                <w:color w:val="auto"/>
                <w:sz w:val="21"/>
                <w:szCs w:val="21"/>
              </w:rPr>
            </w:pPr>
            <w:r>
              <w:rPr>
                <w:rFonts w:hint="eastAsia"/>
                <w:b/>
                <w:bCs/>
                <w:color w:val="auto"/>
                <w:sz w:val="21"/>
                <w:szCs w:val="21"/>
              </w:rPr>
              <w:t>图2-</w:t>
            </w:r>
            <w:r>
              <w:rPr>
                <w:rFonts w:hint="eastAsia"/>
                <w:b/>
                <w:bCs/>
                <w:color w:val="auto"/>
                <w:sz w:val="21"/>
                <w:szCs w:val="21"/>
                <w:lang w:val="en-US" w:eastAsia="zh-CN"/>
              </w:rPr>
              <w:t>8  饮料瓶</w:t>
            </w:r>
            <w:r>
              <w:rPr>
                <w:rFonts w:hint="eastAsia"/>
                <w:b/>
                <w:bCs/>
                <w:color w:val="auto"/>
                <w:sz w:val="21"/>
                <w:szCs w:val="21"/>
              </w:rPr>
              <w:t>生产工艺流程图</w:t>
            </w:r>
          </w:p>
          <w:p w14:paraId="23764579">
            <w:pPr>
              <w:pStyle w:val="16"/>
              <w:keepNext w:val="0"/>
              <w:keepLines w:val="0"/>
              <w:pageBreakBefore w:val="0"/>
              <w:kinsoku/>
              <w:wordWrap/>
              <w:overflowPunct/>
              <w:topLinePunct w:val="0"/>
              <w:bidi w:val="0"/>
              <w:snapToGrid/>
              <w:spacing w:after="0" w:line="360" w:lineRule="auto"/>
              <w:ind w:left="0" w:leftChars="0" w:firstLine="480"/>
              <w:textAlignment w:val="auto"/>
              <w:rPr>
                <w:rFonts w:hint="eastAsia" w:cs="宋体"/>
                <w:bCs/>
                <w:color w:val="auto"/>
                <w:kern w:val="2"/>
                <w:szCs w:val="24"/>
              </w:rPr>
            </w:pPr>
            <w:r>
              <w:rPr>
                <w:rFonts w:hint="eastAsia" w:cs="宋体"/>
                <w:bCs/>
                <w:color w:val="auto"/>
                <w:kern w:val="2"/>
                <w:szCs w:val="24"/>
              </w:rPr>
              <w:t>生产工艺流程简述：</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0"/>
            </w:tblGrid>
            <w:tr w14:paraId="1510BD77">
              <w:trPr>
                <w:trHeight w:val="443" w:hRule="atLeast"/>
              </w:trPr>
              <w:tc>
                <w:tcPr>
                  <w:tcW w:w="8420" w:type="dxa"/>
                </w:tcPr>
                <w:p w14:paraId="42B3F4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eastAsia"/>
                      <w:color w:val="auto"/>
                      <w:sz w:val="24"/>
                      <w:vertAlign w:val="baseline"/>
                    </w:rPr>
                  </w:pPr>
                </w:p>
                <w:p w14:paraId="6920EA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eastAsia"/>
                      <w:color w:val="auto"/>
                      <w:sz w:val="24"/>
                      <w:vertAlign w:val="baseline"/>
                    </w:rPr>
                  </w:pPr>
                </w:p>
                <w:p w14:paraId="5FD8CF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eastAsia"/>
                      <w:color w:val="auto"/>
                      <w:sz w:val="24"/>
                      <w:vertAlign w:val="baseline"/>
                    </w:rPr>
                  </w:pPr>
                </w:p>
                <w:p w14:paraId="4E3C6B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eastAsia"/>
                      <w:color w:val="auto"/>
                      <w:sz w:val="24"/>
                      <w:vertAlign w:val="baseline"/>
                    </w:rPr>
                  </w:pPr>
                </w:p>
                <w:p w14:paraId="3F9690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eastAsia"/>
                      <w:color w:val="auto"/>
                      <w:sz w:val="24"/>
                      <w:vertAlign w:val="baseline"/>
                    </w:rPr>
                  </w:pPr>
                </w:p>
                <w:p w14:paraId="7D260D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eastAsia"/>
                      <w:color w:val="auto"/>
                      <w:sz w:val="24"/>
                      <w:vertAlign w:val="baseline"/>
                    </w:rPr>
                  </w:pPr>
                </w:p>
                <w:p w14:paraId="7E80DD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eastAsia"/>
                      <w:color w:val="auto"/>
                      <w:sz w:val="24"/>
                      <w:vertAlign w:val="baseline"/>
                    </w:rPr>
                  </w:pPr>
                </w:p>
                <w:p w14:paraId="5CF511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eastAsia"/>
                      <w:color w:val="auto"/>
                      <w:sz w:val="24"/>
                      <w:vertAlign w:val="baseline"/>
                    </w:rPr>
                  </w:pPr>
                </w:p>
                <w:p w14:paraId="2C457C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eastAsia"/>
                      <w:color w:val="auto"/>
                      <w:sz w:val="24"/>
                      <w:vertAlign w:val="baseline"/>
                    </w:rPr>
                  </w:pPr>
                </w:p>
              </w:tc>
            </w:tr>
          </w:tbl>
          <w:p w14:paraId="362CCAE0">
            <w:pPr>
              <w:pStyle w:val="14"/>
              <w:keepNext w:val="0"/>
              <w:keepLines w:val="0"/>
              <w:pageBreakBefore w:val="0"/>
              <w:kinsoku/>
              <w:wordWrap/>
              <w:overflowPunct/>
              <w:topLinePunct w:val="0"/>
              <w:bidi w:val="0"/>
              <w:snapToGrid/>
              <w:spacing w:before="0" w:beforeAutospacing="0" w:after="0" w:afterAutospacing="0" w:line="360" w:lineRule="auto"/>
              <w:ind w:firstLine="480" w:firstLineChars="200"/>
              <w:textAlignment w:val="auto"/>
              <w:rPr>
                <w:rFonts w:hint="default" w:ascii="Times New Roman" w:hAnsi="Times New Roman" w:cs="宋体"/>
                <w:bCs/>
                <w:color w:val="auto"/>
                <w:kern w:val="2"/>
                <w:szCs w:val="24"/>
                <w:lang w:val="en-US" w:eastAsia="zh-CN"/>
              </w:rPr>
            </w:pPr>
            <w:r>
              <w:rPr>
                <w:rFonts w:hint="eastAsia" w:ascii="Times New Roman" w:hAnsi="Times New Roman" w:cs="宋体"/>
                <w:bCs/>
                <w:color w:val="auto"/>
                <w:kern w:val="2"/>
                <w:szCs w:val="24"/>
                <w:lang w:val="en-US" w:eastAsia="zh-CN"/>
              </w:rPr>
              <w:t>7.产品更换</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0"/>
            </w:tblGrid>
            <w:tr w14:paraId="170CB771">
              <w:trPr>
                <w:trHeight w:val="1718" w:hRule="atLeast"/>
              </w:trPr>
              <w:tc>
                <w:tcPr>
                  <w:tcW w:w="8420" w:type="dxa"/>
                </w:tcPr>
                <w:p w14:paraId="50699C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eastAsia"/>
                      <w:color w:val="auto"/>
                      <w:sz w:val="24"/>
                      <w:vertAlign w:val="baseline"/>
                    </w:rPr>
                  </w:pPr>
                </w:p>
              </w:tc>
            </w:tr>
          </w:tbl>
          <w:p w14:paraId="6A1B476C">
            <w:pPr>
              <w:pStyle w:val="16"/>
              <w:keepNext w:val="0"/>
              <w:keepLines w:val="0"/>
              <w:pageBreakBefore w:val="0"/>
              <w:kinsoku/>
              <w:wordWrap/>
              <w:overflowPunct/>
              <w:topLinePunct w:val="0"/>
              <w:bidi w:val="0"/>
              <w:snapToGrid/>
              <w:spacing w:after="0" w:line="360" w:lineRule="auto"/>
              <w:ind w:left="0" w:leftChars="0" w:firstLine="480"/>
              <w:textAlignment w:val="auto"/>
              <w:rPr>
                <w:color w:val="auto"/>
              </w:rPr>
            </w:pPr>
            <w:r>
              <w:rPr>
                <w:rFonts w:hint="eastAsia"/>
                <w:color w:val="auto"/>
                <w:lang w:val="en-US" w:eastAsia="zh-CN"/>
              </w:rPr>
              <w:t>8.</w:t>
            </w:r>
            <w:r>
              <w:rPr>
                <w:rFonts w:hint="eastAsia"/>
                <w:color w:val="auto"/>
              </w:rPr>
              <w:t>产排污环节</w:t>
            </w:r>
          </w:p>
          <w:p w14:paraId="4556C10F">
            <w:pPr>
              <w:pStyle w:val="16"/>
              <w:keepNext w:val="0"/>
              <w:keepLines w:val="0"/>
              <w:pageBreakBefore w:val="0"/>
              <w:kinsoku/>
              <w:wordWrap/>
              <w:overflowPunct/>
              <w:topLinePunct w:val="0"/>
              <w:bidi w:val="0"/>
              <w:snapToGrid/>
              <w:spacing w:after="0" w:line="360" w:lineRule="auto"/>
              <w:ind w:left="0" w:leftChars="0" w:firstLine="480"/>
              <w:textAlignment w:val="auto"/>
              <w:rPr>
                <w:rFonts w:hint="eastAsia"/>
                <w:color w:val="auto"/>
              </w:rPr>
            </w:pPr>
            <w:r>
              <w:rPr>
                <w:rFonts w:hint="eastAsia"/>
                <w:color w:val="auto"/>
              </w:rPr>
              <w:t>经分析，本项目的产排污环节信息详见</w:t>
            </w:r>
            <w:r>
              <w:rPr>
                <w:rFonts w:hint="eastAsia"/>
                <w:color w:val="auto"/>
                <w:lang w:val="en-US" w:eastAsia="zh-CN"/>
              </w:rPr>
              <w:t>下表</w:t>
            </w:r>
            <w:r>
              <w:rPr>
                <w:rFonts w:hint="eastAsia"/>
                <w:color w:val="auto"/>
              </w:rPr>
              <w:t>。</w:t>
            </w:r>
          </w:p>
          <w:p w14:paraId="2C7438A5">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b/>
                <w:bCs/>
                <w:color w:val="auto"/>
                <w:sz w:val="21"/>
                <w:szCs w:val="21"/>
              </w:rPr>
            </w:pPr>
            <w:r>
              <w:rPr>
                <w:rFonts w:hint="eastAsia"/>
                <w:b/>
                <w:bCs/>
                <w:color w:val="auto"/>
                <w:sz w:val="21"/>
                <w:szCs w:val="21"/>
              </w:rPr>
              <w:t>表2-</w:t>
            </w:r>
            <w:r>
              <w:rPr>
                <w:rFonts w:hint="eastAsia"/>
                <w:b/>
                <w:bCs/>
                <w:color w:val="auto"/>
                <w:sz w:val="21"/>
                <w:szCs w:val="21"/>
                <w:lang w:val="en-US" w:eastAsia="zh-CN"/>
              </w:rPr>
              <w:t xml:space="preserve">7  </w:t>
            </w:r>
            <w:r>
              <w:rPr>
                <w:rFonts w:hint="eastAsia"/>
                <w:b/>
                <w:bCs/>
                <w:color w:val="auto"/>
                <w:sz w:val="21"/>
                <w:szCs w:val="21"/>
              </w:rPr>
              <w:t>项目产排污环节信息一览表</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5"/>
              <w:gridCol w:w="970"/>
              <w:gridCol w:w="1694"/>
              <w:gridCol w:w="1665"/>
              <w:gridCol w:w="2236"/>
              <w:gridCol w:w="1187"/>
            </w:tblGrid>
            <w:tr w14:paraId="208E8B8A">
              <w:trPr>
                <w:trHeight w:val="397" w:hRule="atLeast"/>
                <w:jc w:val="center"/>
              </w:trPr>
              <w:tc>
                <w:tcPr>
                  <w:tcW w:w="395" w:type="pct"/>
                  <w:noWrap w:val="0"/>
                  <w:vAlign w:val="center"/>
                </w:tcPr>
                <w:p w14:paraId="0DE9B827">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 w:val="21"/>
                    </w:rPr>
                  </w:pPr>
                  <w:r>
                    <w:rPr>
                      <w:rFonts w:hint="eastAsia"/>
                      <w:color w:val="auto"/>
                      <w:sz w:val="21"/>
                    </w:rPr>
                    <w:t>序号</w:t>
                  </w:r>
                </w:p>
              </w:tc>
              <w:tc>
                <w:tcPr>
                  <w:tcW w:w="576" w:type="pct"/>
                  <w:noWrap w:val="0"/>
                  <w:vAlign w:val="center"/>
                </w:tcPr>
                <w:p w14:paraId="3FF6725B">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 w:val="21"/>
                    </w:rPr>
                  </w:pPr>
                  <w:r>
                    <w:rPr>
                      <w:rFonts w:hint="eastAsia"/>
                      <w:color w:val="auto"/>
                      <w:sz w:val="21"/>
                    </w:rPr>
                    <w:t>污染物类别</w:t>
                  </w:r>
                </w:p>
              </w:tc>
              <w:tc>
                <w:tcPr>
                  <w:tcW w:w="1006" w:type="pct"/>
                  <w:noWrap w:val="0"/>
                  <w:vAlign w:val="center"/>
                </w:tcPr>
                <w:p w14:paraId="381A8CDD">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 w:val="21"/>
                    </w:rPr>
                  </w:pPr>
                  <w:r>
                    <w:rPr>
                      <w:rFonts w:hint="eastAsia"/>
                      <w:color w:val="auto"/>
                      <w:sz w:val="21"/>
                    </w:rPr>
                    <w:t>污染物名称</w:t>
                  </w:r>
                </w:p>
              </w:tc>
              <w:tc>
                <w:tcPr>
                  <w:tcW w:w="989" w:type="pct"/>
                  <w:noWrap w:val="0"/>
                  <w:vAlign w:val="center"/>
                </w:tcPr>
                <w:p w14:paraId="46A581A9">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 w:val="21"/>
                    </w:rPr>
                  </w:pPr>
                  <w:r>
                    <w:rPr>
                      <w:rFonts w:hint="eastAsia"/>
                      <w:color w:val="auto"/>
                      <w:sz w:val="21"/>
                    </w:rPr>
                    <w:t>产排污环节</w:t>
                  </w:r>
                </w:p>
              </w:tc>
              <w:tc>
                <w:tcPr>
                  <w:tcW w:w="1328" w:type="pct"/>
                  <w:noWrap w:val="0"/>
                  <w:vAlign w:val="center"/>
                </w:tcPr>
                <w:p w14:paraId="0DD6BA81">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 w:val="21"/>
                    </w:rPr>
                  </w:pPr>
                  <w:r>
                    <w:rPr>
                      <w:rFonts w:hint="eastAsia"/>
                      <w:color w:val="auto"/>
                      <w:sz w:val="21"/>
                    </w:rPr>
                    <w:t>处理措施</w:t>
                  </w:r>
                </w:p>
              </w:tc>
              <w:tc>
                <w:tcPr>
                  <w:tcW w:w="705" w:type="pct"/>
                  <w:noWrap w:val="0"/>
                  <w:vAlign w:val="center"/>
                </w:tcPr>
                <w:p w14:paraId="3680DFA1">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 w:val="21"/>
                    </w:rPr>
                  </w:pPr>
                  <w:r>
                    <w:rPr>
                      <w:rFonts w:hint="eastAsia"/>
                      <w:color w:val="auto"/>
                      <w:sz w:val="21"/>
                    </w:rPr>
                    <w:t>备注</w:t>
                  </w:r>
                </w:p>
              </w:tc>
            </w:tr>
            <w:tr w14:paraId="7BFA2D17">
              <w:trPr>
                <w:trHeight w:val="397" w:hRule="atLeast"/>
                <w:jc w:val="center"/>
              </w:trPr>
              <w:tc>
                <w:tcPr>
                  <w:tcW w:w="395" w:type="pct"/>
                  <w:vMerge w:val="restart"/>
                  <w:noWrap w:val="0"/>
                  <w:vAlign w:val="center"/>
                </w:tcPr>
                <w:p w14:paraId="06B7D8A7">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 w:val="21"/>
                    </w:rPr>
                  </w:pPr>
                  <w:r>
                    <w:rPr>
                      <w:rFonts w:hint="eastAsia"/>
                      <w:color w:val="auto"/>
                      <w:sz w:val="21"/>
                    </w:rPr>
                    <w:t>1</w:t>
                  </w:r>
                </w:p>
              </w:tc>
              <w:tc>
                <w:tcPr>
                  <w:tcW w:w="576" w:type="pct"/>
                  <w:vMerge w:val="restart"/>
                  <w:noWrap w:val="0"/>
                  <w:vAlign w:val="center"/>
                </w:tcPr>
                <w:p w14:paraId="6CC8016F">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 w:val="21"/>
                    </w:rPr>
                  </w:pPr>
                  <w:r>
                    <w:rPr>
                      <w:rFonts w:hint="eastAsia"/>
                      <w:color w:val="auto"/>
                      <w:sz w:val="21"/>
                    </w:rPr>
                    <w:t>废气</w:t>
                  </w:r>
                </w:p>
              </w:tc>
              <w:tc>
                <w:tcPr>
                  <w:tcW w:w="1006" w:type="pct"/>
                  <w:noWrap w:val="0"/>
                  <w:vAlign w:val="center"/>
                </w:tcPr>
                <w:p w14:paraId="1B5044E3">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非甲烷总烃</w:t>
                  </w:r>
                </w:p>
                <w:p w14:paraId="48D963F5">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（乙酸雾）</w:t>
                  </w:r>
                </w:p>
              </w:tc>
              <w:tc>
                <w:tcPr>
                  <w:tcW w:w="989" w:type="pct"/>
                  <w:noWrap w:val="0"/>
                  <w:vAlign w:val="center"/>
                </w:tcPr>
                <w:p w14:paraId="642BDDC4">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kern w:val="0"/>
                      <w:sz w:val="21"/>
                      <w:szCs w:val="21"/>
                      <w:lang w:val="en-US" w:eastAsia="zh-CN" w:bidi="ar-SA"/>
                    </w:rPr>
                  </w:pPr>
                  <w:r>
                    <w:rPr>
                      <w:rFonts w:hint="eastAsia" w:eastAsia="宋体"/>
                      <w:color w:val="auto"/>
                      <w:kern w:val="0"/>
                      <w:sz w:val="21"/>
                      <w:szCs w:val="21"/>
                      <w:lang w:val="en-US" w:eastAsia="zh-CN" w:bidi="ar-SA"/>
                    </w:rPr>
                    <w:t>消毒</w:t>
                  </w:r>
                </w:p>
              </w:tc>
              <w:tc>
                <w:tcPr>
                  <w:tcW w:w="1328" w:type="pct"/>
                  <w:noWrap w:val="0"/>
                  <w:vAlign w:val="center"/>
                </w:tcPr>
                <w:p w14:paraId="6B568036">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szCs w:val="21"/>
                      <w:lang w:val="en-US" w:eastAsia="zh-CN"/>
                    </w:rPr>
                  </w:pPr>
                  <w:r>
                    <w:rPr>
                      <w:color w:val="auto"/>
                      <w:sz w:val="21"/>
                      <w:szCs w:val="21"/>
                    </w:rPr>
                    <w:t>密闭收集+碱液喷淋装置</w:t>
                  </w:r>
                  <w:r>
                    <w:rPr>
                      <w:rFonts w:hint="eastAsia"/>
                      <w:color w:val="auto"/>
                      <w:sz w:val="21"/>
                      <w:szCs w:val="21"/>
                      <w:lang w:eastAsia="zh-CN"/>
                    </w:rPr>
                    <w:t>（</w:t>
                  </w:r>
                  <w:r>
                    <w:rPr>
                      <w:color w:val="auto"/>
                      <w:sz w:val="21"/>
                      <w:szCs w:val="21"/>
                    </w:rPr>
                    <w:t>TA001</w:t>
                  </w:r>
                  <w:r>
                    <w:rPr>
                      <w:rFonts w:hint="eastAsia"/>
                      <w:color w:val="auto"/>
                      <w:sz w:val="21"/>
                      <w:szCs w:val="21"/>
                      <w:lang w:eastAsia="zh-CN"/>
                    </w:rPr>
                    <w:t>）</w:t>
                  </w:r>
                  <w:r>
                    <w:rPr>
                      <w:color w:val="auto"/>
                      <w:sz w:val="21"/>
                      <w:szCs w:val="21"/>
                    </w:rPr>
                    <w:t>+15m排气筒DA00</w:t>
                  </w:r>
                  <w:r>
                    <w:rPr>
                      <w:rFonts w:hint="eastAsia"/>
                      <w:color w:val="auto"/>
                      <w:sz w:val="21"/>
                      <w:szCs w:val="21"/>
                      <w:lang w:val="en-US" w:eastAsia="zh-CN"/>
                    </w:rPr>
                    <w:t>1</w:t>
                  </w:r>
                  <w:r>
                    <w:rPr>
                      <w:color w:val="auto"/>
                      <w:sz w:val="21"/>
                      <w:szCs w:val="21"/>
                    </w:rPr>
                    <w:t>排放</w:t>
                  </w:r>
                </w:p>
              </w:tc>
              <w:tc>
                <w:tcPr>
                  <w:tcW w:w="705" w:type="pct"/>
                  <w:noWrap w:val="0"/>
                  <w:vAlign w:val="center"/>
                </w:tcPr>
                <w:p w14:paraId="7266FFA8">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eastAsia="宋体"/>
                      <w:color w:val="auto"/>
                      <w:sz w:val="21"/>
                      <w:lang w:val="en-US" w:eastAsia="zh-CN"/>
                    </w:rPr>
                  </w:pPr>
                  <w:r>
                    <w:rPr>
                      <w:rFonts w:hint="eastAsia"/>
                      <w:color w:val="auto"/>
                      <w:sz w:val="21"/>
                      <w:lang w:val="en-US" w:eastAsia="zh-CN"/>
                    </w:rPr>
                    <w:t>/</w:t>
                  </w:r>
                </w:p>
              </w:tc>
            </w:tr>
            <w:tr w14:paraId="3E861711">
              <w:trPr>
                <w:trHeight w:val="397" w:hRule="atLeast"/>
                <w:jc w:val="center"/>
              </w:trPr>
              <w:tc>
                <w:tcPr>
                  <w:tcW w:w="395" w:type="pct"/>
                  <w:vMerge w:val="continue"/>
                  <w:noWrap w:val="0"/>
                  <w:vAlign w:val="center"/>
                </w:tcPr>
                <w:p w14:paraId="416E8C67">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 w:val="21"/>
                    </w:rPr>
                  </w:pPr>
                </w:p>
              </w:tc>
              <w:tc>
                <w:tcPr>
                  <w:tcW w:w="576" w:type="pct"/>
                  <w:vMerge w:val="continue"/>
                  <w:noWrap w:val="0"/>
                  <w:vAlign w:val="center"/>
                </w:tcPr>
                <w:p w14:paraId="4A859FC1">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 w:val="21"/>
                    </w:rPr>
                  </w:pPr>
                </w:p>
              </w:tc>
              <w:tc>
                <w:tcPr>
                  <w:tcW w:w="1006" w:type="pct"/>
                  <w:noWrap w:val="0"/>
                  <w:vAlign w:val="center"/>
                </w:tcPr>
                <w:p w14:paraId="35443278">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非甲烷总烃</w:t>
                  </w:r>
                </w:p>
              </w:tc>
              <w:tc>
                <w:tcPr>
                  <w:tcW w:w="989" w:type="pct"/>
                  <w:noWrap w:val="0"/>
                  <w:vAlign w:val="center"/>
                </w:tcPr>
                <w:p w14:paraId="5C5D77CE">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auto"/>
                      <w:sz w:val="21"/>
                      <w:szCs w:val="21"/>
                      <w:lang w:val="en-US" w:eastAsia="zh-CN"/>
                    </w:rPr>
                  </w:pPr>
                  <w:r>
                    <w:rPr>
                      <w:rFonts w:hint="eastAsia"/>
                      <w:color w:val="auto"/>
                      <w:kern w:val="0"/>
                      <w:sz w:val="21"/>
                      <w:szCs w:val="21"/>
                      <w:lang w:val="en-US" w:eastAsia="zh-CN" w:bidi="ar-SA"/>
                    </w:rPr>
                    <w:t>吹瓶</w:t>
                  </w:r>
                </w:p>
              </w:tc>
              <w:tc>
                <w:tcPr>
                  <w:tcW w:w="1328" w:type="pct"/>
                  <w:noWrap w:val="0"/>
                  <w:vAlign w:val="center"/>
                </w:tcPr>
                <w:p w14:paraId="0D07E6A9">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kern w:val="0"/>
                      <w:sz w:val="21"/>
                      <w:szCs w:val="21"/>
                      <w:lang w:val="en-US" w:eastAsia="zh-CN" w:bidi="ar-SA"/>
                    </w:rPr>
                  </w:pPr>
                  <w:r>
                    <w:rPr>
                      <w:rFonts w:hint="eastAsia"/>
                      <w:color w:val="auto"/>
                      <w:sz w:val="21"/>
                      <w:szCs w:val="21"/>
                      <w:lang w:val="en-US" w:eastAsia="zh-CN"/>
                    </w:rPr>
                    <w:t>密闭收集</w:t>
                  </w:r>
                  <w:r>
                    <w:rPr>
                      <w:rFonts w:hint="eastAsia"/>
                      <w:color w:val="auto"/>
                      <w:sz w:val="21"/>
                      <w:szCs w:val="21"/>
                    </w:rPr>
                    <w:t>+二级活性炭吸附装置</w:t>
                  </w:r>
                  <w:r>
                    <w:rPr>
                      <w:rFonts w:hint="eastAsia"/>
                      <w:color w:val="auto"/>
                      <w:sz w:val="21"/>
                      <w:szCs w:val="21"/>
                      <w:lang w:eastAsia="zh-CN"/>
                    </w:rPr>
                    <w:t>（</w:t>
                  </w:r>
                  <w:r>
                    <w:rPr>
                      <w:rFonts w:hint="eastAsia"/>
                      <w:color w:val="auto"/>
                      <w:sz w:val="21"/>
                      <w:szCs w:val="21"/>
                      <w:lang w:val="en-US" w:eastAsia="zh-CN"/>
                    </w:rPr>
                    <w:t>TA002</w:t>
                  </w:r>
                  <w:r>
                    <w:rPr>
                      <w:rFonts w:hint="eastAsia"/>
                      <w:color w:val="auto"/>
                      <w:sz w:val="21"/>
                      <w:szCs w:val="21"/>
                      <w:lang w:eastAsia="zh-CN"/>
                    </w:rPr>
                    <w:t>）</w:t>
                  </w:r>
                  <w:r>
                    <w:rPr>
                      <w:rFonts w:hint="eastAsia"/>
                      <w:color w:val="auto"/>
                      <w:sz w:val="21"/>
                      <w:szCs w:val="21"/>
                    </w:rPr>
                    <w:t>+15m排气筒DA00</w:t>
                  </w:r>
                  <w:r>
                    <w:rPr>
                      <w:rFonts w:hint="eastAsia"/>
                      <w:color w:val="auto"/>
                      <w:sz w:val="21"/>
                      <w:szCs w:val="21"/>
                      <w:lang w:val="en-US" w:eastAsia="zh-CN"/>
                    </w:rPr>
                    <w:t>2</w:t>
                  </w:r>
                  <w:r>
                    <w:rPr>
                      <w:rFonts w:hint="eastAsia"/>
                      <w:color w:val="auto"/>
                      <w:sz w:val="21"/>
                      <w:szCs w:val="21"/>
                    </w:rPr>
                    <w:t>排放</w:t>
                  </w:r>
                </w:p>
              </w:tc>
              <w:tc>
                <w:tcPr>
                  <w:tcW w:w="705" w:type="pct"/>
                  <w:noWrap w:val="0"/>
                  <w:vAlign w:val="center"/>
                </w:tcPr>
                <w:p w14:paraId="5051BB66">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color w:val="auto"/>
                      <w:sz w:val="21"/>
                      <w:lang w:val="en-US" w:eastAsia="zh-CN"/>
                    </w:rPr>
                  </w:pPr>
                  <w:r>
                    <w:rPr>
                      <w:rFonts w:hint="eastAsia"/>
                      <w:color w:val="auto"/>
                      <w:sz w:val="21"/>
                    </w:rPr>
                    <w:t>G</w:t>
                  </w:r>
                  <w:r>
                    <w:rPr>
                      <w:rFonts w:hint="eastAsia"/>
                      <w:color w:val="auto"/>
                      <w:sz w:val="21"/>
                      <w:vertAlign w:val="subscript"/>
                      <w:lang w:val="en-US" w:eastAsia="zh-CN"/>
                    </w:rPr>
                    <w:t>7-1</w:t>
                  </w:r>
                </w:p>
              </w:tc>
            </w:tr>
            <w:tr w14:paraId="69263740">
              <w:trPr>
                <w:trHeight w:val="397" w:hRule="atLeast"/>
                <w:jc w:val="center"/>
              </w:trPr>
              <w:tc>
                <w:tcPr>
                  <w:tcW w:w="395" w:type="pct"/>
                  <w:vMerge w:val="continue"/>
                  <w:noWrap w:val="0"/>
                  <w:vAlign w:val="center"/>
                </w:tcPr>
                <w:p w14:paraId="08C8764D">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rPr>
                  </w:pPr>
                </w:p>
              </w:tc>
              <w:tc>
                <w:tcPr>
                  <w:tcW w:w="576" w:type="pct"/>
                  <w:vMerge w:val="continue"/>
                  <w:noWrap w:val="0"/>
                  <w:vAlign w:val="center"/>
                </w:tcPr>
                <w:p w14:paraId="1F50CA68">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rPr>
                  </w:pPr>
                </w:p>
              </w:tc>
              <w:tc>
                <w:tcPr>
                  <w:tcW w:w="1006" w:type="pct"/>
                  <w:noWrap w:val="0"/>
                  <w:vAlign w:val="center"/>
                </w:tcPr>
                <w:p w14:paraId="01250719">
                  <w:pPr>
                    <w:pStyle w:val="16"/>
                    <w:keepNext w:val="0"/>
                    <w:keepLines w:val="0"/>
                    <w:suppressLineNumbers w:val="0"/>
                    <w:spacing w:before="0" w:beforeAutospacing="0" w:after="0" w:line="240" w:lineRule="auto"/>
                    <w:ind w:left="0" w:leftChars="0" w:right="0" w:rightChars="0" w:firstLine="0" w:firstLineChars="0"/>
                    <w:jc w:val="center"/>
                    <w:rPr>
                      <w:rFonts w:hint="eastAsia"/>
                      <w:color w:val="auto"/>
                      <w:sz w:val="21"/>
                      <w:szCs w:val="21"/>
                      <w:lang w:val="en-US" w:eastAsia="zh-CN"/>
                    </w:rPr>
                  </w:pPr>
                  <w:r>
                    <w:rPr>
                      <w:rFonts w:hint="eastAsia"/>
                      <w:color w:val="auto"/>
                      <w:sz w:val="21"/>
                      <w:szCs w:val="21"/>
                      <w:lang w:val="en-US" w:eastAsia="zh-CN"/>
                    </w:rPr>
                    <w:t>油烟</w:t>
                  </w:r>
                </w:p>
              </w:tc>
              <w:tc>
                <w:tcPr>
                  <w:tcW w:w="989" w:type="pct"/>
                  <w:noWrap w:val="0"/>
                  <w:vAlign w:val="center"/>
                </w:tcPr>
                <w:p w14:paraId="5A504FE0">
                  <w:pPr>
                    <w:pStyle w:val="16"/>
                    <w:keepNext w:val="0"/>
                    <w:keepLines w:val="0"/>
                    <w:suppressLineNumbers w:val="0"/>
                    <w:spacing w:before="0" w:beforeAutospacing="0" w:after="0" w:line="240" w:lineRule="auto"/>
                    <w:ind w:left="0" w:leftChars="0" w:right="0" w:rightChars="0" w:firstLine="0" w:firstLineChars="0"/>
                    <w:jc w:val="center"/>
                    <w:rPr>
                      <w:rFonts w:hint="eastAsia" w:eastAsia="宋体"/>
                      <w:color w:val="auto"/>
                      <w:kern w:val="0"/>
                      <w:sz w:val="21"/>
                      <w:szCs w:val="21"/>
                      <w:lang w:val="en-US" w:eastAsia="zh-CN" w:bidi="ar-SA"/>
                    </w:rPr>
                  </w:pPr>
                  <w:r>
                    <w:rPr>
                      <w:rFonts w:hint="eastAsia"/>
                      <w:color w:val="auto"/>
                      <w:sz w:val="21"/>
                      <w:szCs w:val="21"/>
                      <w:lang w:val="en-US" w:eastAsia="zh-CN"/>
                    </w:rPr>
                    <w:t>食堂</w:t>
                  </w:r>
                </w:p>
              </w:tc>
              <w:tc>
                <w:tcPr>
                  <w:tcW w:w="1328" w:type="pct"/>
                  <w:noWrap w:val="0"/>
                  <w:vAlign w:val="center"/>
                </w:tcPr>
                <w:p w14:paraId="63D2BADB">
                  <w:pPr>
                    <w:pStyle w:val="16"/>
                    <w:keepNext w:val="0"/>
                    <w:keepLines w:val="0"/>
                    <w:suppressLineNumbers w:val="0"/>
                    <w:spacing w:before="0" w:beforeAutospacing="0" w:after="0" w:line="240" w:lineRule="auto"/>
                    <w:ind w:left="0" w:leftChars="0" w:right="0" w:rightChars="0" w:firstLine="0" w:firstLineChars="0"/>
                    <w:jc w:val="center"/>
                    <w:rPr>
                      <w:rFonts w:hint="eastAsia"/>
                      <w:color w:val="auto"/>
                      <w:sz w:val="21"/>
                      <w:szCs w:val="21"/>
                      <w:lang w:val="en-US" w:eastAsia="zh-CN"/>
                    </w:rPr>
                  </w:pPr>
                  <w:r>
                    <w:rPr>
                      <w:rFonts w:hint="eastAsia"/>
                      <w:color w:val="auto"/>
                      <w:sz w:val="21"/>
                      <w:szCs w:val="21"/>
                      <w:lang w:val="en-US" w:eastAsia="zh-CN"/>
                    </w:rPr>
                    <w:t>油烟净化设施处理后专用烟道排放</w:t>
                  </w:r>
                </w:p>
              </w:tc>
              <w:tc>
                <w:tcPr>
                  <w:tcW w:w="705" w:type="pct"/>
                  <w:noWrap w:val="0"/>
                  <w:vAlign w:val="center"/>
                </w:tcPr>
                <w:p w14:paraId="3A34F05A">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eastAsia="宋体"/>
                      <w:color w:val="auto"/>
                      <w:sz w:val="21"/>
                      <w:lang w:val="en-US" w:eastAsia="zh-CN"/>
                    </w:rPr>
                  </w:pPr>
                  <w:r>
                    <w:rPr>
                      <w:rFonts w:hint="eastAsia"/>
                      <w:color w:val="auto"/>
                      <w:sz w:val="21"/>
                      <w:lang w:val="en-US" w:eastAsia="zh-CN"/>
                    </w:rPr>
                    <w:t>/</w:t>
                  </w:r>
                </w:p>
              </w:tc>
            </w:tr>
            <w:tr w14:paraId="4AAEA873">
              <w:trPr>
                <w:trHeight w:val="654" w:hRule="atLeast"/>
                <w:jc w:val="center"/>
              </w:trPr>
              <w:tc>
                <w:tcPr>
                  <w:tcW w:w="395" w:type="pct"/>
                  <w:vMerge w:val="continue"/>
                  <w:noWrap w:val="0"/>
                  <w:vAlign w:val="center"/>
                </w:tcPr>
                <w:p w14:paraId="0FA0EEAA">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rPr>
                  </w:pPr>
                </w:p>
              </w:tc>
              <w:tc>
                <w:tcPr>
                  <w:tcW w:w="576" w:type="pct"/>
                  <w:vMerge w:val="continue"/>
                  <w:noWrap w:val="0"/>
                  <w:vAlign w:val="center"/>
                </w:tcPr>
                <w:p w14:paraId="72274843">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rPr>
                  </w:pPr>
                </w:p>
              </w:tc>
              <w:tc>
                <w:tcPr>
                  <w:tcW w:w="1006" w:type="pct"/>
                  <w:noWrap w:val="0"/>
                  <w:vAlign w:val="center"/>
                </w:tcPr>
                <w:p w14:paraId="4402D056">
                  <w:pPr>
                    <w:pStyle w:val="16"/>
                    <w:keepNext w:val="0"/>
                    <w:keepLines w:val="0"/>
                    <w:suppressLineNumbers w:val="0"/>
                    <w:spacing w:before="0" w:beforeAutospacing="0" w:after="0" w:line="240" w:lineRule="auto"/>
                    <w:ind w:left="0" w:leftChars="0" w:right="0" w:rightChars="0" w:firstLine="0" w:firstLineChars="0"/>
                    <w:jc w:val="center"/>
                    <w:rPr>
                      <w:rFonts w:hint="eastAsia"/>
                      <w:color w:val="auto"/>
                      <w:sz w:val="21"/>
                      <w:szCs w:val="21"/>
                      <w:lang w:val="en-US" w:eastAsia="zh-CN"/>
                    </w:rPr>
                  </w:pPr>
                  <w:r>
                    <w:rPr>
                      <w:rFonts w:hint="eastAsia"/>
                      <w:color w:val="auto"/>
                      <w:sz w:val="21"/>
                      <w:szCs w:val="21"/>
                      <w:lang w:val="en-US" w:eastAsia="zh-CN"/>
                    </w:rPr>
                    <w:t>氨、硫化氢、臭气浓度</w:t>
                  </w:r>
                </w:p>
              </w:tc>
              <w:tc>
                <w:tcPr>
                  <w:tcW w:w="989" w:type="pct"/>
                  <w:noWrap w:val="0"/>
                  <w:vAlign w:val="center"/>
                </w:tcPr>
                <w:p w14:paraId="3763610C">
                  <w:pPr>
                    <w:pStyle w:val="16"/>
                    <w:keepNext w:val="0"/>
                    <w:keepLines w:val="0"/>
                    <w:suppressLineNumbers w:val="0"/>
                    <w:spacing w:before="0" w:beforeAutospacing="0" w:after="0" w:line="240" w:lineRule="auto"/>
                    <w:ind w:left="0" w:leftChars="0" w:right="0" w:rightChars="0" w:firstLine="0" w:firstLineChars="0"/>
                    <w:jc w:val="center"/>
                    <w:rPr>
                      <w:rFonts w:hint="eastAsia" w:eastAsia="宋体"/>
                      <w:color w:val="auto"/>
                      <w:kern w:val="0"/>
                      <w:sz w:val="21"/>
                      <w:szCs w:val="21"/>
                      <w:lang w:val="en-US" w:eastAsia="zh-CN" w:bidi="ar-SA"/>
                    </w:rPr>
                  </w:pPr>
                  <w:r>
                    <w:rPr>
                      <w:rFonts w:hint="eastAsia"/>
                      <w:color w:val="auto"/>
                      <w:sz w:val="21"/>
                      <w:szCs w:val="21"/>
                    </w:rPr>
                    <w:t>污水处理站</w:t>
                  </w:r>
                </w:p>
              </w:tc>
              <w:tc>
                <w:tcPr>
                  <w:tcW w:w="1328" w:type="pct"/>
                  <w:noWrap w:val="0"/>
                  <w:vAlign w:val="center"/>
                </w:tcPr>
                <w:p w14:paraId="73EAFF12">
                  <w:pPr>
                    <w:pStyle w:val="16"/>
                    <w:keepNext w:val="0"/>
                    <w:keepLines w:val="0"/>
                    <w:suppressLineNumbers w:val="0"/>
                    <w:spacing w:before="0" w:beforeAutospacing="0" w:after="0" w:line="240" w:lineRule="auto"/>
                    <w:ind w:left="0" w:leftChars="0" w:right="0" w:rightChars="0" w:firstLine="0" w:firstLineChars="0"/>
                    <w:jc w:val="center"/>
                    <w:rPr>
                      <w:rFonts w:hint="eastAsia"/>
                      <w:color w:val="auto"/>
                      <w:sz w:val="21"/>
                      <w:szCs w:val="21"/>
                      <w:lang w:val="en-US" w:eastAsia="zh-CN"/>
                    </w:rPr>
                  </w:pPr>
                  <w:r>
                    <w:rPr>
                      <w:rFonts w:hint="eastAsia"/>
                      <w:color w:val="auto"/>
                      <w:sz w:val="21"/>
                      <w:szCs w:val="21"/>
                    </w:rPr>
                    <w:t>无组织排放</w:t>
                  </w:r>
                </w:p>
              </w:tc>
              <w:tc>
                <w:tcPr>
                  <w:tcW w:w="705" w:type="pct"/>
                  <w:noWrap w:val="0"/>
                  <w:vAlign w:val="center"/>
                </w:tcPr>
                <w:p w14:paraId="18727661">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eastAsia="宋体"/>
                      <w:color w:val="auto"/>
                      <w:sz w:val="21"/>
                      <w:lang w:val="en-US" w:eastAsia="zh-CN"/>
                    </w:rPr>
                  </w:pPr>
                  <w:r>
                    <w:rPr>
                      <w:rFonts w:hint="eastAsia"/>
                      <w:color w:val="auto"/>
                      <w:sz w:val="21"/>
                      <w:lang w:val="en-US" w:eastAsia="zh-CN"/>
                    </w:rPr>
                    <w:t>/</w:t>
                  </w:r>
                </w:p>
              </w:tc>
            </w:tr>
            <w:tr w14:paraId="5CC567FE">
              <w:trPr>
                <w:trHeight w:val="397" w:hRule="atLeast"/>
                <w:jc w:val="center"/>
              </w:trPr>
              <w:tc>
                <w:tcPr>
                  <w:tcW w:w="395" w:type="pct"/>
                  <w:vMerge w:val="restart"/>
                  <w:noWrap w:val="0"/>
                  <w:vAlign w:val="center"/>
                </w:tcPr>
                <w:p w14:paraId="230174F1">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 w:val="21"/>
                    </w:rPr>
                  </w:pPr>
                  <w:r>
                    <w:rPr>
                      <w:rFonts w:hint="eastAsia"/>
                      <w:color w:val="auto"/>
                      <w:sz w:val="21"/>
                    </w:rPr>
                    <w:t>2</w:t>
                  </w:r>
                </w:p>
              </w:tc>
              <w:tc>
                <w:tcPr>
                  <w:tcW w:w="576" w:type="pct"/>
                  <w:vMerge w:val="restart"/>
                  <w:noWrap w:val="0"/>
                  <w:vAlign w:val="center"/>
                </w:tcPr>
                <w:p w14:paraId="47D34EF1">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 w:val="21"/>
                    </w:rPr>
                  </w:pPr>
                  <w:r>
                    <w:rPr>
                      <w:rFonts w:hint="eastAsia"/>
                      <w:color w:val="auto"/>
                      <w:sz w:val="21"/>
                    </w:rPr>
                    <w:t>废水</w:t>
                  </w:r>
                </w:p>
              </w:tc>
              <w:tc>
                <w:tcPr>
                  <w:tcW w:w="1006" w:type="pct"/>
                  <w:noWrap w:val="0"/>
                  <w:vAlign w:val="center"/>
                </w:tcPr>
                <w:p w14:paraId="4E300786">
                  <w:pPr>
                    <w:pStyle w:val="16"/>
                    <w:keepNext w:val="0"/>
                    <w:keepLines w:val="0"/>
                    <w:suppressLineNumbers w:val="0"/>
                    <w:spacing w:before="0" w:beforeAutospacing="0" w:after="0" w:line="240" w:lineRule="auto"/>
                    <w:ind w:left="0" w:leftChars="0" w:right="0" w:rightChars="0" w:firstLine="0" w:firstLineChars="0"/>
                    <w:jc w:val="center"/>
                    <w:rPr>
                      <w:color w:val="auto"/>
                      <w:sz w:val="21"/>
                    </w:rPr>
                  </w:pPr>
                  <w:r>
                    <w:rPr>
                      <w:rFonts w:hint="eastAsia"/>
                      <w:color w:val="auto"/>
                      <w:sz w:val="21"/>
                      <w:lang w:val="en-US" w:eastAsia="zh-CN"/>
                    </w:rPr>
                    <w:t>蒸汽冷凝水</w:t>
                  </w:r>
                </w:p>
              </w:tc>
              <w:tc>
                <w:tcPr>
                  <w:tcW w:w="989" w:type="pct"/>
                  <w:noWrap w:val="0"/>
                  <w:vAlign w:val="center"/>
                </w:tcPr>
                <w:p w14:paraId="7A76056E">
                  <w:pPr>
                    <w:pStyle w:val="16"/>
                    <w:keepNext w:val="0"/>
                    <w:keepLines w:val="0"/>
                    <w:suppressLineNumbers w:val="0"/>
                    <w:spacing w:before="0" w:beforeAutospacing="0" w:after="0" w:line="240" w:lineRule="auto"/>
                    <w:ind w:left="0" w:leftChars="0" w:right="0" w:rightChars="0" w:firstLine="0" w:firstLineChars="0"/>
                    <w:jc w:val="center"/>
                    <w:rPr>
                      <w:color w:val="auto"/>
                      <w:sz w:val="21"/>
                    </w:rPr>
                  </w:pPr>
                  <w:r>
                    <w:rPr>
                      <w:rFonts w:hint="eastAsia"/>
                      <w:color w:val="auto"/>
                      <w:sz w:val="21"/>
                      <w:lang w:val="en-US" w:eastAsia="zh-CN"/>
                    </w:rPr>
                    <w:t>蒸汽冷凝</w:t>
                  </w:r>
                </w:p>
              </w:tc>
              <w:tc>
                <w:tcPr>
                  <w:tcW w:w="1328" w:type="pct"/>
                  <w:noWrap w:val="0"/>
                  <w:vAlign w:val="center"/>
                </w:tcPr>
                <w:p w14:paraId="7C8BD198">
                  <w:pPr>
                    <w:pStyle w:val="16"/>
                    <w:keepNext w:val="0"/>
                    <w:keepLines w:val="0"/>
                    <w:suppressLineNumbers w:val="0"/>
                    <w:spacing w:before="0" w:beforeAutospacing="0" w:after="0" w:line="240" w:lineRule="auto"/>
                    <w:ind w:left="0" w:leftChars="0" w:right="0" w:rightChars="0" w:firstLine="0" w:firstLineChars="0"/>
                    <w:jc w:val="center"/>
                    <w:rPr>
                      <w:rFonts w:hint="eastAsia"/>
                      <w:color w:val="auto"/>
                      <w:sz w:val="21"/>
                      <w:lang w:val="en-US" w:eastAsia="zh-CN"/>
                    </w:rPr>
                  </w:pPr>
                  <w:r>
                    <w:rPr>
                      <w:rFonts w:hint="eastAsia"/>
                      <w:color w:val="auto"/>
                      <w:sz w:val="21"/>
                      <w:lang w:val="en-US" w:eastAsia="zh-CN"/>
                    </w:rPr>
                    <w:t>排入雨水管网</w:t>
                  </w:r>
                </w:p>
              </w:tc>
              <w:tc>
                <w:tcPr>
                  <w:tcW w:w="705" w:type="pct"/>
                  <w:noWrap w:val="0"/>
                  <w:vAlign w:val="center"/>
                </w:tcPr>
                <w:p w14:paraId="1DDD92CB">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auto"/>
                      <w:sz w:val="21"/>
                      <w:lang w:val="en-US" w:eastAsia="zh-CN"/>
                    </w:rPr>
                  </w:pPr>
                  <w:r>
                    <w:rPr>
                      <w:rFonts w:hint="eastAsia"/>
                      <w:color w:val="auto"/>
                      <w:sz w:val="21"/>
                      <w:lang w:val="en-US" w:eastAsia="zh-CN"/>
                    </w:rPr>
                    <w:t>W</w:t>
                  </w:r>
                  <w:r>
                    <w:rPr>
                      <w:rFonts w:hint="eastAsia"/>
                      <w:color w:val="auto"/>
                      <w:sz w:val="21"/>
                      <w:vertAlign w:val="subscript"/>
                      <w:lang w:val="en-US" w:eastAsia="zh-CN"/>
                    </w:rPr>
                    <w:t>1-1</w:t>
                  </w:r>
                  <w:r>
                    <w:rPr>
                      <w:rFonts w:hint="eastAsia"/>
                      <w:color w:val="auto"/>
                      <w:sz w:val="21"/>
                      <w:lang w:val="en-US" w:eastAsia="zh-CN"/>
                    </w:rPr>
                    <w:t>、W</w:t>
                  </w:r>
                  <w:r>
                    <w:rPr>
                      <w:rFonts w:hint="eastAsia"/>
                      <w:color w:val="auto"/>
                      <w:sz w:val="21"/>
                      <w:vertAlign w:val="subscript"/>
                      <w:lang w:val="en-US" w:eastAsia="zh-CN"/>
                    </w:rPr>
                    <w:t>2-1</w:t>
                  </w:r>
                  <w:r>
                    <w:rPr>
                      <w:rFonts w:hint="eastAsia"/>
                      <w:color w:val="auto"/>
                      <w:sz w:val="21"/>
                      <w:lang w:val="en-US" w:eastAsia="zh-CN"/>
                    </w:rPr>
                    <w:t>、W</w:t>
                  </w:r>
                  <w:r>
                    <w:rPr>
                      <w:rFonts w:hint="eastAsia"/>
                      <w:color w:val="auto"/>
                      <w:sz w:val="21"/>
                      <w:vertAlign w:val="subscript"/>
                      <w:lang w:val="en-US" w:eastAsia="zh-CN"/>
                    </w:rPr>
                    <w:t>3-1</w:t>
                  </w:r>
                  <w:r>
                    <w:rPr>
                      <w:rFonts w:hint="eastAsia"/>
                      <w:color w:val="auto"/>
                      <w:sz w:val="21"/>
                      <w:lang w:val="en-US" w:eastAsia="zh-CN"/>
                    </w:rPr>
                    <w:t>、W</w:t>
                  </w:r>
                  <w:r>
                    <w:rPr>
                      <w:rFonts w:hint="eastAsia"/>
                      <w:color w:val="auto"/>
                      <w:sz w:val="21"/>
                      <w:vertAlign w:val="subscript"/>
                      <w:lang w:val="en-US" w:eastAsia="zh-CN"/>
                    </w:rPr>
                    <w:t>4-1</w:t>
                  </w:r>
                  <w:r>
                    <w:rPr>
                      <w:rFonts w:hint="eastAsia"/>
                      <w:color w:val="auto"/>
                      <w:sz w:val="21"/>
                      <w:lang w:val="en-US" w:eastAsia="zh-CN"/>
                    </w:rPr>
                    <w:t>、W</w:t>
                  </w:r>
                  <w:r>
                    <w:rPr>
                      <w:rFonts w:hint="eastAsia"/>
                      <w:color w:val="auto"/>
                      <w:sz w:val="21"/>
                      <w:vertAlign w:val="subscript"/>
                      <w:lang w:val="en-US" w:eastAsia="zh-CN"/>
                    </w:rPr>
                    <w:t>5-1</w:t>
                  </w:r>
                  <w:r>
                    <w:rPr>
                      <w:rFonts w:hint="eastAsia"/>
                      <w:color w:val="auto"/>
                      <w:sz w:val="21"/>
                      <w:lang w:val="en-US" w:eastAsia="zh-CN"/>
                    </w:rPr>
                    <w:t>、W</w:t>
                  </w:r>
                  <w:r>
                    <w:rPr>
                      <w:rFonts w:hint="eastAsia"/>
                      <w:color w:val="auto"/>
                      <w:sz w:val="21"/>
                      <w:vertAlign w:val="subscript"/>
                      <w:lang w:val="en-US" w:eastAsia="zh-CN"/>
                    </w:rPr>
                    <w:t>6-1</w:t>
                  </w:r>
                </w:p>
              </w:tc>
            </w:tr>
            <w:tr w14:paraId="1387D425">
              <w:trPr>
                <w:trHeight w:val="397" w:hRule="atLeast"/>
                <w:jc w:val="center"/>
              </w:trPr>
              <w:tc>
                <w:tcPr>
                  <w:tcW w:w="395" w:type="pct"/>
                  <w:vMerge w:val="continue"/>
                  <w:noWrap w:val="0"/>
                  <w:vAlign w:val="center"/>
                </w:tcPr>
                <w:p w14:paraId="39DA2ABB">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 w:val="21"/>
                    </w:rPr>
                  </w:pPr>
                </w:p>
              </w:tc>
              <w:tc>
                <w:tcPr>
                  <w:tcW w:w="576" w:type="pct"/>
                  <w:vMerge w:val="continue"/>
                  <w:noWrap w:val="0"/>
                  <w:vAlign w:val="center"/>
                </w:tcPr>
                <w:p w14:paraId="65E0A040">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 w:val="21"/>
                    </w:rPr>
                  </w:pPr>
                </w:p>
              </w:tc>
              <w:tc>
                <w:tcPr>
                  <w:tcW w:w="1006" w:type="pct"/>
                  <w:shd w:val="clear" w:color="auto" w:fill="auto"/>
                  <w:noWrap w:val="0"/>
                  <w:vAlign w:val="center"/>
                </w:tcPr>
                <w:p w14:paraId="45B8CAD6">
                  <w:pPr>
                    <w:pStyle w:val="16"/>
                    <w:keepNext w:val="0"/>
                    <w:keepLines w:val="0"/>
                    <w:suppressLineNumbers w:val="0"/>
                    <w:spacing w:before="0" w:beforeAutospacing="0" w:after="0" w:line="240" w:lineRule="auto"/>
                    <w:ind w:left="0" w:leftChars="0" w:right="0" w:rightChars="0" w:firstLine="0" w:firstLineChars="0"/>
                    <w:jc w:val="center"/>
                    <w:rPr>
                      <w:rFonts w:ascii="Times New Roman" w:hAnsi="Times New Roman" w:eastAsia="宋体" w:cs="Times New Roman"/>
                      <w:color w:val="auto"/>
                      <w:kern w:val="0"/>
                      <w:sz w:val="21"/>
                      <w:szCs w:val="20"/>
                      <w:lang w:val="en-US" w:eastAsia="zh-CN" w:bidi="ar-SA"/>
                    </w:rPr>
                  </w:pPr>
                  <w:r>
                    <w:rPr>
                      <w:color w:val="auto"/>
                      <w:sz w:val="21"/>
                    </w:rPr>
                    <w:t>杀菌废水</w:t>
                  </w:r>
                </w:p>
              </w:tc>
              <w:tc>
                <w:tcPr>
                  <w:tcW w:w="989" w:type="pct"/>
                  <w:shd w:val="clear" w:color="auto" w:fill="auto"/>
                  <w:noWrap w:val="0"/>
                  <w:vAlign w:val="center"/>
                </w:tcPr>
                <w:p w14:paraId="42F6F75C">
                  <w:pPr>
                    <w:pStyle w:val="16"/>
                    <w:keepNext w:val="0"/>
                    <w:keepLines w:val="0"/>
                    <w:suppressLineNumbers w:val="0"/>
                    <w:spacing w:before="0" w:beforeAutospacing="0" w:after="0" w:line="240" w:lineRule="auto"/>
                    <w:ind w:left="0" w:leftChars="0" w:right="0" w:rightChars="0" w:firstLine="0" w:firstLineChars="0"/>
                    <w:jc w:val="center"/>
                    <w:rPr>
                      <w:rFonts w:ascii="Times New Roman" w:hAnsi="Times New Roman" w:eastAsia="宋体" w:cs="Times New Roman"/>
                      <w:color w:val="auto"/>
                      <w:kern w:val="0"/>
                      <w:sz w:val="21"/>
                      <w:szCs w:val="20"/>
                      <w:lang w:val="en-US" w:eastAsia="zh-CN" w:bidi="ar-SA"/>
                    </w:rPr>
                  </w:pPr>
                  <w:r>
                    <w:rPr>
                      <w:color w:val="auto"/>
                      <w:sz w:val="21"/>
                    </w:rPr>
                    <w:t>杀菌</w:t>
                  </w:r>
                </w:p>
              </w:tc>
              <w:tc>
                <w:tcPr>
                  <w:tcW w:w="1328" w:type="pct"/>
                  <w:vMerge w:val="restart"/>
                  <w:noWrap w:val="0"/>
                  <w:vAlign w:val="center"/>
                </w:tcPr>
                <w:p w14:paraId="3B0C6449">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color w:val="auto"/>
                      <w:sz w:val="21"/>
                      <w:lang w:val="en-US" w:eastAsia="zh-CN"/>
                    </w:rPr>
                  </w:pPr>
                  <w:r>
                    <w:rPr>
                      <w:rFonts w:hint="eastAsia"/>
                      <w:color w:val="auto"/>
                      <w:sz w:val="21"/>
                      <w:lang w:val="en-US" w:eastAsia="zh-CN"/>
                    </w:rPr>
                    <w:t>污水处理站</w:t>
                  </w:r>
                  <w:r>
                    <w:rPr>
                      <w:color w:val="auto"/>
                      <w:sz w:val="21"/>
                    </w:rPr>
                    <w:t>预处理接管至涟水经济开发区西区污水处理厂</w:t>
                  </w:r>
                </w:p>
              </w:tc>
              <w:tc>
                <w:tcPr>
                  <w:tcW w:w="705" w:type="pct"/>
                  <w:noWrap w:val="0"/>
                  <w:vAlign w:val="center"/>
                </w:tcPr>
                <w:p w14:paraId="0E6DB12A">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eastAsia="宋体"/>
                      <w:color w:val="auto"/>
                      <w:sz w:val="21"/>
                      <w:lang w:val="en-US" w:eastAsia="zh-CN"/>
                    </w:rPr>
                  </w:pPr>
                  <w:r>
                    <w:rPr>
                      <w:rFonts w:hint="eastAsia"/>
                      <w:color w:val="auto"/>
                      <w:sz w:val="21"/>
                      <w:lang w:val="en-US" w:eastAsia="zh-CN"/>
                    </w:rPr>
                    <w:t>W</w:t>
                  </w:r>
                  <w:r>
                    <w:rPr>
                      <w:rFonts w:hint="eastAsia"/>
                      <w:color w:val="auto"/>
                      <w:sz w:val="21"/>
                      <w:vertAlign w:val="subscript"/>
                      <w:lang w:val="en-US" w:eastAsia="zh-CN"/>
                    </w:rPr>
                    <w:t>1-2</w:t>
                  </w:r>
                  <w:r>
                    <w:rPr>
                      <w:rFonts w:hint="eastAsia"/>
                      <w:color w:val="auto"/>
                      <w:sz w:val="21"/>
                      <w:lang w:val="en-US" w:eastAsia="zh-CN"/>
                    </w:rPr>
                    <w:t>、W</w:t>
                  </w:r>
                  <w:r>
                    <w:rPr>
                      <w:rFonts w:hint="eastAsia"/>
                      <w:color w:val="auto"/>
                      <w:sz w:val="21"/>
                      <w:vertAlign w:val="subscript"/>
                      <w:lang w:val="en-US" w:eastAsia="zh-CN"/>
                    </w:rPr>
                    <w:t>2-2</w:t>
                  </w:r>
                  <w:r>
                    <w:rPr>
                      <w:rFonts w:hint="eastAsia"/>
                      <w:color w:val="auto"/>
                      <w:sz w:val="21"/>
                      <w:lang w:val="en-US" w:eastAsia="zh-CN"/>
                    </w:rPr>
                    <w:t>、W</w:t>
                  </w:r>
                  <w:r>
                    <w:rPr>
                      <w:rFonts w:hint="eastAsia"/>
                      <w:color w:val="auto"/>
                      <w:sz w:val="21"/>
                      <w:vertAlign w:val="subscript"/>
                      <w:lang w:val="en-US" w:eastAsia="zh-CN"/>
                    </w:rPr>
                    <w:t>3-2</w:t>
                  </w:r>
                  <w:r>
                    <w:rPr>
                      <w:rFonts w:hint="eastAsia"/>
                      <w:color w:val="auto"/>
                      <w:sz w:val="21"/>
                      <w:lang w:val="en-US" w:eastAsia="zh-CN"/>
                    </w:rPr>
                    <w:t>、W</w:t>
                  </w:r>
                  <w:r>
                    <w:rPr>
                      <w:rFonts w:hint="eastAsia"/>
                      <w:color w:val="auto"/>
                      <w:sz w:val="21"/>
                      <w:vertAlign w:val="subscript"/>
                      <w:lang w:val="en-US" w:eastAsia="zh-CN"/>
                    </w:rPr>
                    <w:t>4-2</w:t>
                  </w:r>
                  <w:r>
                    <w:rPr>
                      <w:rFonts w:hint="eastAsia"/>
                      <w:color w:val="auto"/>
                      <w:sz w:val="21"/>
                      <w:lang w:val="en-US" w:eastAsia="zh-CN"/>
                    </w:rPr>
                    <w:t>、W</w:t>
                  </w:r>
                  <w:r>
                    <w:rPr>
                      <w:rFonts w:hint="eastAsia"/>
                      <w:color w:val="auto"/>
                      <w:sz w:val="21"/>
                      <w:vertAlign w:val="subscript"/>
                      <w:lang w:val="en-US" w:eastAsia="zh-CN"/>
                    </w:rPr>
                    <w:t>5-2</w:t>
                  </w:r>
                  <w:r>
                    <w:rPr>
                      <w:rFonts w:hint="eastAsia"/>
                      <w:color w:val="auto"/>
                      <w:sz w:val="21"/>
                      <w:lang w:val="en-US" w:eastAsia="zh-CN"/>
                    </w:rPr>
                    <w:t>、W</w:t>
                  </w:r>
                  <w:r>
                    <w:rPr>
                      <w:rFonts w:hint="eastAsia"/>
                      <w:color w:val="auto"/>
                      <w:sz w:val="21"/>
                      <w:vertAlign w:val="subscript"/>
                      <w:lang w:val="en-US" w:eastAsia="zh-CN"/>
                    </w:rPr>
                    <w:t>6-2</w:t>
                  </w:r>
                </w:p>
              </w:tc>
            </w:tr>
            <w:tr w14:paraId="047D1D87">
              <w:trPr>
                <w:trHeight w:val="397" w:hRule="atLeast"/>
                <w:jc w:val="center"/>
              </w:trPr>
              <w:tc>
                <w:tcPr>
                  <w:tcW w:w="395" w:type="pct"/>
                  <w:vMerge w:val="continue"/>
                  <w:noWrap w:val="0"/>
                  <w:vAlign w:val="center"/>
                </w:tcPr>
                <w:p w14:paraId="537C3267">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rPr>
                  </w:pPr>
                </w:p>
              </w:tc>
              <w:tc>
                <w:tcPr>
                  <w:tcW w:w="576" w:type="pct"/>
                  <w:vMerge w:val="continue"/>
                  <w:noWrap w:val="0"/>
                  <w:vAlign w:val="center"/>
                </w:tcPr>
                <w:p w14:paraId="1B347D93">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rPr>
                  </w:pPr>
                </w:p>
              </w:tc>
              <w:tc>
                <w:tcPr>
                  <w:tcW w:w="1006" w:type="pct"/>
                  <w:shd w:val="clear" w:color="auto" w:fill="auto"/>
                  <w:noWrap w:val="0"/>
                  <w:vAlign w:val="center"/>
                </w:tcPr>
                <w:p w14:paraId="05E4F0E1">
                  <w:pPr>
                    <w:pStyle w:val="16"/>
                    <w:keepNext w:val="0"/>
                    <w:keepLines w:val="0"/>
                    <w:suppressLineNumbers w:val="0"/>
                    <w:spacing w:before="0" w:beforeAutospacing="0" w:after="0" w:line="240" w:lineRule="auto"/>
                    <w:ind w:left="0" w:leftChars="0" w:right="0" w:rightChars="0" w:firstLine="0" w:firstLineChars="0"/>
                    <w:jc w:val="center"/>
                    <w:rPr>
                      <w:rFonts w:hint="eastAsia" w:ascii="Times New Roman" w:hAnsi="Times New Roman" w:eastAsia="宋体" w:cs="Times New Roman"/>
                      <w:color w:val="auto"/>
                      <w:kern w:val="0"/>
                      <w:sz w:val="21"/>
                      <w:szCs w:val="20"/>
                      <w:lang w:val="en-US" w:eastAsia="zh-CN" w:bidi="ar-SA"/>
                    </w:rPr>
                  </w:pPr>
                  <w:r>
                    <w:rPr>
                      <w:color w:val="auto"/>
                      <w:sz w:val="21"/>
                    </w:rPr>
                    <w:t>设备清洗用水</w:t>
                  </w:r>
                </w:p>
              </w:tc>
              <w:tc>
                <w:tcPr>
                  <w:tcW w:w="989" w:type="pct"/>
                  <w:shd w:val="clear" w:color="auto" w:fill="auto"/>
                  <w:noWrap w:val="0"/>
                  <w:vAlign w:val="center"/>
                </w:tcPr>
                <w:p w14:paraId="73A25017">
                  <w:pPr>
                    <w:pStyle w:val="16"/>
                    <w:keepNext w:val="0"/>
                    <w:keepLines w:val="0"/>
                    <w:suppressLineNumbers w:val="0"/>
                    <w:spacing w:before="0" w:beforeAutospacing="0" w:after="0" w:line="240" w:lineRule="auto"/>
                    <w:ind w:left="0" w:leftChars="0" w:right="0" w:rightChars="0" w:firstLine="0" w:firstLineChars="0"/>
                    <w:jc w:val="center"/>
                    <w:rPr>
                      <w:rFonts w:hint="default" w:ascii="Times New Roman" w:hAnsi="Times New Roman" w:eastAsia="宋体" w:cs="Times New Roman"/>
                      <w:color w:val="auto"/>
                      <w:kern w:val="0"/>
                      <w:sz w:val="21"/>
                      <w:szCs w:val="20"/>
                      <w:lang w:val="en-US" w:eastAsia="zh-CN" w:bidi="ar-SA"/>
                    </w:rPr>
                  </w:pPr>
                  <w:r>
                    <w:rPr>
                      <w:color w:val="auto"/>
                      <w:sz w:val="21"/>
                    </w:rPr>
                    <w:t>产品转换</w:t>
                  </w:r>
                </w:p>
              </w:tc>
              <w:tc>
                <w:tcPr>
                  <w:tcW w:w="1328" w:type="pct"/>
                  <w:vMerge w:val="continue"/>
                  <w:shd w:val="clear" w:color="auto" w:fill="auto"/>
                  <w:noWrap w:val="0"/>
                  <w:vAlign w:val="center"/>
                </w:tcPr>
                <w:p w14:paraId="293E6F85">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kern w:val="0"/>
                      <w:sz w:val="21"/>
                      <w:szCs w:val="20"/>
                      <w:lang w:val="en-US" w:eastAsia="zh-CN" w:bidi="ar-SA"/>
                    </w:rPr>
                  </w:pPr>
                </w:p>
              </w:tc>
              <w:tc>
                <w:tcPr>
                  <w:tcW w:w="705" w:type="pct"/>
                  <w:shd w:val="clear" w:color="auto" w:fill="auto"/>
                  <w:noWrap w:val="0"/>
                  <w:vAlign w:val="center"/>
                </w:tcPr>
                <w:p w14:paraId="0B0A96D3">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kern w:val="0"/>
                      <w:sz w:val="21"/>
                      <w:szCs w:val="20"/>
                      <w:lang w:val="en-US" w:eastAsia="zh-CN" w:bidi="ar-SA"/>
                    </w:rPr>
                  </w:pPr>
                  <w:r>
                    <w:rPr>
                      <w:rFonts w:hint="eastAsia"/>
                      <w:color w:val="auto"/>
                      <w:sz w:val="21"/>
                    </w:rPr>
                    <w:t>W</w:t>
                  </w:r>
                  <w:r>
                    <w:rPr>
                      <w:rFonts w:hint="eastAsia"/>
                      <w:color w:val="auto"/>
                      <w:sz w:val="21"/>
                      <w:vertAlign w:val="subscript"/>
                      <w:lang w:val="en-US" w:eastAsia="zh-CN"/>
                    </w:rPr>
                    <w:t>7</w:t>
                  </w:r>
                </w:p>
              </w:tc>
            </w:tr>
            <w:tr w14:paraId="3A90AC0E">
              <w:trPr>
                <w:trHeight w:val="397" w:hRule="atLeast"/>
                <w:jc w:val="center"/>
              </w:trPr>
              <w:tc>
                <w:tcPr>
                  <w:tcW w:w="395" w:type="pct"/>
                  <w:vMerge w:val="continue"/>
                  <w:noWrap w:val="0"/>
                  <w:vAlign w:val="center"/>
                </w:tcPr>
                <w:p w14:paraId="774FF9A3">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rPr>
                  </w:pPr>
                </w:p>
              </w:tc>
              <w:tc>
                <w:tcPr>
                  <w:tcW w:w="576" w:type="pct"/>
                  <w:vMerge w:val="continue"/>
                  <w:noWrap w:val="0"/>
                  <w:vAlign w:val="center"/>
                </w:tcPr>
                <w:p w14:paraId="3C287DB3">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rPr>
                  </w:pPr>
                </w:p>
              </w:tc>
              <w:tc>
                <w:tcPr>
                  <w:tcW w:w="1006" w:type="pct"/>
                  <w:shd w:val="clear" w:color="auto" w:fill="auto"/>
                  <w:noWrap w:val="0"/>
                  <w:vAlign w:val="center"/>
                </w:tcPr>
                <w:p w14:paraId="69A4D9A9">
                  <w:pPr>
                    <w:pStyle w:val="16"/>
                    <w:keepNext w:val="0"/>
                    <w:keepLines w:val="0"/>
                    <w:suppressLineNumbers w:val="0"/>
                    <w:spacing w:before="0" w:beforeAutospacing="0" w:after="0" w:line="240" w:lineRule="auto"/>
                    <w:ind w:left="0" w:leftChars="0" w:right="0" w:rightChars="0" w:firstLine="0" w:firstLineChars="0"/>
                    <w:jc w:val="center"/>
                    <w:rPr>
                      <w:rFonts w:hint="eastAsia"/>
                      <w:color w:val="auto"/>
                      <w:sz w:val="21"/>
                    </w:rPr>
                  </w:pPr>
                  <w:r>
                    <w:rPr>
                      <w:color w:val="auto"/>
                      <w:sz w:val="21"/>
                    </w:rPr>
                    <w:t>地面冲洗废水</w:t>
                  </w:r>
                </w:p>
              </w:tc>
              <w:tc>
                <w:tcPr>
                  <w:tcW w:w="989" w:type="pct"/>
                  <w:shd w:val="clear" w:color="auto" w:fill="auto"/>
                  <w:noWrap w:val="0"/>
                  <w:vAlign w:val="center"/>
                </w:tcPr>
                <w:p w14:paraId="1A9E161A">
                  <w:pPr>
                    <w:pStyle w:val="16"/>
                    <w:keepNext w:val="0"/>
                    <w:keepLines w:val="0"/>
                    <w:suppressLineNumbers w:val="0"/>
                    <w:spacing w:before="0" w:beforeAutospacing="0" w:after="0" w:line="240" w:lineRule="auto"/>
                    <w:ind w:left="0" w:leftChars="0" w:right="0" w:rightChars="0" w:firstLine="0" w:firstLineChars="0"/>
                    <w:jc w:val="center"/>
                    <w:rPr>
                      <w:rFonts w:hint="eastAsia"/>
                      <w:color w:val="auto"/>
                      <w:sz w:val="21"/>
                    </w:rPr>
                  </w:pPr>
                  <w:r>
                    <w:rPr>
                      <w:color w:val="auto"/>
                      <w:sz w:val="21"/>
                    </w:rPr>
                    <w:t>地面清洁</w:t>
                  </w:r>
                </w:p>
              </w:tc>
              <w:tc>
                <w:tcPr>
                  <w:tcW w:w="1328" w:type="pct"/>
                  <w:vMerge w:val="continue"/>
                  <w:shd w:val="clear" w:color="auto" w:fill="auto"/>
                  <w:noWrap w:val="0"/>
                  <w:vAlign w:val="center"/>
                </w:tcPr>
                <w:p w14:paraId="010A375B">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rPr>
                  </w:pPr>
                </w:p>
              </w:tc>
              <w:tc>
                <w:tcPr>
                  <w:tcW w:w="705" w:type="pct"/>
                  <w:shd w:val="clear" w:color="auto" w:fill="auto"/>
                  <w:noWrap w:val="0"/>
                  <w:vAlign w:val="center"/>
                </w:tcPr>
                <w:p w14:paraId="2FCE2EF3">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rPr>
                  </w:pPr>
                  <w:r>
                    <w:rPr>
                      <w:rFonts w:hint="eastAsia"/>
                      <w:color w:val="auto"/>
                      <w:sz w:val="21"/>
                    </w:rPr>
                    <w:t>W</w:t>
                  </w:r>
                  <w:r>
                    <w:rPr>
                      <w:rFonts w:hint="eastAsia"/>
                      <w:color w:val="auto"/>
                      <w:sz w:val="21"/>
                      <w:vertAlign w:val="subscript"/>
                      <w:lang w:val="en-US" w:eastAsia="zh-CN"/>
                    </w:rPr>
                    <w:t>8</w:t>
                  </w:r>
                </w:p>
              </w:tc>
            </w:tr>
            <w:tr w14:paraId="738FA5DC">
              <w:trPr>
                <w:trHeight w:val="397" w:hRule="atLeast"/>
                <w:jc w:val="center"/>
              </w:trPr>
              <w:tc>
                <w:tcPr>
                  <w:tcW w:w="395" w:type="pct"/>
                  <w:vMerge w:val="continue"/>
                  <w:noWrap w:val="0"/>
                  <w:vAlign w:val="center"/>
                </w:tcPr>
                <w:p w14:paraId="666CBAD2">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rPr>
                  </w:pPr>
                </w:p>
              </w:tc>
              <w:tc>
                <w:tcPr>
                  <w:tcW w:w="576" w:type="pct"/>
                  <w:vMerge w:val="continue"/>
                  <w:noWrap w:val="0"/>
                  <w:vAlign w:val="center"/>
                </w:tcPr>
                <w:p w14:paraId="28F608E5">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rPr>
                  </w:pPr>
                </w:p>
              </w:tc>
              <w:tc>
                <w:tcPr>
                  <w:tcW w:w="1006" w:type="pct"/>
                  <w:shd w:val="clear" w:color="auto" w:fill="auto"/>
                  <w:noWrap w:val="0"/>
                  <w:vAlign w:val="center"/>
                </w:tcPr>
                <w:p w14:paraId="0FD54305">
                  <w:pPr>
                    <w:pStyle w:val="16"/>
                    <w:keepNext w:val="0"/>
                    <w:keepLines w:val="0"/>
                    <w:suppressLineNumbers w:val="0"/>
                    <w:spacing w:before="0" w:beforeAutospacing="0" w:after="0" w:line="240" w:lineRule="auto"/>
                    <w:ind w:left="0" w:leftChars="0" w:right="0" w:rightChars="0" w:firstLine="0" w:firstLineChars="0"/>
                    <w:jc w:val="center"/>
                    <w:rPr>
                      <w:color w:val="auto"/>
                      <w:sz w:val="21"/>
                    </w:rPr>
                  </w:pPr>
                  <w:r>
                    <w:rPr>
                      <w:color w:val="auto"/>
                      <w:sz w:val="21"/>
                    </w:rPr>
                    <w:t>乙酸雾吸收废水</w:t>
                  </w:r>
                </w:p>
              </w:tc>
              <w:tc>
                <w:tcPr>
                  <w:tcW w:w="989" w:type="pct"/>
                  <w:shd w:val="clear" w:color="auto" w:fill="auto"/>
                  <w:noWrap w:val="0"/>
                  <w:vAlign w:val="center"/>
                </w:tcPr>
                <w:p w14:paraId="597667F6">
                  <w:pPr>
                    <w:pStyle w:val="16"/>
                    <w:keepNext w:val="0"/>
                    <w:keepLines w:val="0"/>
                    <w:suppressLineNumbers w:val="0"/>
                    <w:spacing w:before="0" w:beforeAutospacing="0" w:after="0" w:line="240" w:lineRule="auto"/>
                    <w:ind w:left="0" w:leftChars="0" w:right="0" w:rightChars="0" w:firstLine="0" w:firstLineChars="0"/>
                    <w:jc w:val="center"/>
                    <w:rPr>
                      <w:color w:val="auto"/>
                      <w:sz w:val="21"/>
                    </w:rPr>
                  </w:pPr>
                  <w:r>
                    <w:rPr>
                      <w:color w:val="auto"/>
                      <w:sz w:val="21"/>
                    </w:rPr>
                    <w:t>废气处理</w:t>
                  </w:r>
                </w:p>
              </w:tc>
              <w:tc>
                <w:tcPr>
                  <w:tcW w:w="1328" w:type="pct"/>
                  <w:vMerge w:val="continue"/>
                  <w:shd w:val="clear" w:color="auto" w:fill="auto"/>
                  <w:noWrap w:val="0"/>
                  <w:vAlign w:val="center"/>
                </w:tcPr>
                <w:p w14:paraId="07297B85">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rPr>
                  </w:pPr>
                </w:p>
              </w:tc>
              <w:tc>
                <w:tcPr>
                  <w:tcW w:w="705" w:type="pct"/>
                  <w:shd w:val="clear" w:color="auto" w:fill="auto"/>
                  <w:noWrap w:val="0"/>
                  <w:vAlign w:val="center"/>
                </w:tcPr>
                <w:p w14:paraId="26475F0A">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rPr>
                  </w:pPr>
                  <w:r>
                    <w:rPr>
                      <w:rFonts w:hint="eastAsia"/>
                      <w:color w:val="auto"/>
                      <w:sz w:val="21"/>
                    </w:rPr>
                    <w:t>W</w:t>
                  </w:r>
                  <w:r>
                    <w:rPr>
                      <w:rFonts w:hint="eastAsia"/>
                      <w:color w:val="auto"/>
                      <w:sz w:val="21"/>
                      <w:vertAlign w:val="subscript"/>
                      <w:lang w:val="en-US" w:eastAsia="zh-CN"/>
                    </w:rPr>
                    <w:t>9</w:t>
                  </w:r>
                </w:p>
              </w:tc>
            </w:tr>
            <w:tr w14:paraId="43565D87">
              <w:trPr>
                <w:trHeight w:val="397" w:hRule="atLeast"/>
                <w:jc w:val="center"/>
              </w:trPr>
              <w:tc>
                <w:tcPr>
                  <w:tcW w:w="395" w:type="pct"/>
                  <w:vMerge w:val="continue"/>
                  <w:noWrap w:val="0"/>
                  <w:vAlign w:val="center"/>
                </w:tcPr>
                <w:p w14:paraId="3D4CCCBE">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rPr>
                  </w:pPr>
                </w:p>
              </w:tc>
              <w:tc>
                <w:tcPr>
                  <w:tcW w:w="576" w:type="pct"/>
                  <w:vMerge w:val="continue"/>
                  <w:noWrap w:val="0"/>
                  <w:vAlign w:val="center"/>
                </w:tcPr>
                <w:p w14:paraId="55BD7987">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rPr>
                  </w:pPr>
                </w:p>
              </w:tc>
              <w:tc>
                <w:tcPr>
                  <w:tcW w:w="1006" w:type="pct"/>
                  <w:shd w:val="clear" w:color="auto" w:fill="auto"/>
                  <w:noWrap w:val="0"/>
                  <w:vAlign w:val="center"/>
                </w:tcPr>
                <w:p w14:paraId="78E863F9">
                  <w:pPr>
                    <w:pStyle w:val="16"/>
                    <w:keepNext w:val="0"/>
                    <w:keepLines w:val="0"/>
                    <w:suppressLineNumbers w:val="0"/>
                    <w:spacing w:before="0" w:beforeAutospacing="0" w:after="0" w:line="240" w:lineRule="auto"/>
                    <w:ind w:left="0" w:leftChars="0" w:right="0" w:rightChars="0" w:firstLine="0" w:firstLineChars="0"/>
                    <w:jc w:val="center"/>
                    <w:rPr>
                      <w:rFonts w:hint="eastAsia"/>
                      <w:color w:val="auto"/>
                      <w:sz w:val="21"/>
                    </w:rPr>
                  </w:pPr>
                  <w:r>
                    <w:rPr>
                      <w:color w:val="auto"/>
                      <w:sz w:val="21"/>
                    </w:rPr>
                    <w:t>纯水制备</w:t>
                  </w:r>
                  <w:r>
                    <w:rPr>
                      <w:rFonts w:hint="eastAsia"/>
                      <w:color w:val="auto"/>
                      <w:sz w:val="21"/>
                      <w:lang w:val="en-US" w:eastAsia="zh-CN"/>
                    </w:rPr>
                    <w:t>废</w:t>
                  </w:r>
                  <w:r>
                    <w:rPr>
                      <w:color w:val="auto"/>
                      <w:sz w:val="21"/>
                    </w:rPr>
                    <w:t>水</w:t>
                  </w:r>
                </w:p>
              </w:tc>
              <w:tc>
                <w:tcPr>
                  <w:tcW w:w="989" w:type="pct"/>
                  <w:shd w:val="clear" w:color="auto" w:fill="auto"/>
                  <w:noWrap w:val="0"/>
                  <w:vAlign w:val="center"/>
                </w:tcPr>
                <w:p w14:paraId="72171B25">
                  <w:pPr>
                    <w:pStyle w:val="16"/>
                    <w:keepNext w:val="0"/>
                    <w:keepLines w:val="0"/>
                    <w:suppressLineNumbers w:val="0"/>
                    <w:spacing w:before="0" w:beforeAutospacing="0" w:after="0" w:line="240" w:lineRule="auto"/>
                    <w:ind w:left="0" w:leftChars="0" w:right="0" w:rightChars="0" w:firstLine="0" w:firstLineChars="0"/>
                    <w:jc w:val="center"/>
                    <w:rPr>
                      <w:rFonts w:hint="eastAsia"/>
                      <w:color w:val="auto"/>
                      <w:sz w:val="21"/>
                    </w:rPr>
                  </w:pPr>
                  <w:r>
                    <w:rPr>
                      <w:color w:val="auto"/>
                      <w:sz w:val="21"/>
                    </w:rPr>
                    <w:t>纯水制备</w:t>
                  </w:r>
                </w:p>
              </w:tc>
              <w:tc>
                <w:tcPr>
                  <w:tcW w:w="1328" w:type="pct"/>
                  <w:shd w:val="clear" w:color="auto" w:fill="auto"/>
                  <w:noWrap w:val="0"/>
                  <w:vAlign w:val="center"/>
                </w:tcPr>
                <w:p w14:paraId="54315C8D">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rPr>
                  </w:pPr>
                  <w:r>
                    <w:rPr>
                      <w:color w:val="auto"/>
                      <w:sz w:val="21"/>
                    </w:rPr>
                    <w:t>接管至涟水经济开发区西区污水处理厂</w:t>
                  </w:r>
                </w:p>
              </w:tc>
              <w:tc>
                <w:tcPr>
                  <w:tcW w:w="705" w:type="pct"/>
                  <w:shd w:val="clear" w:color="auto" w:fill="auto"/>
                  <w:noWrap w:val="0"/>
                  <w:vAlign w:val="center"/>
                </w:tcPr>
                <w:p w14:paraId="2004DE31">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rPr>
                  </w:pPr>
                  <w:r>
                    <w:rPr>
                      <w:rFonts w:hint="eastAsia"/>
                      <w:color w:val="auto"/>
                      <w:sz w:val="21"/>
                    </w:rPr>
                    <w:t>W</w:t>
                  </w:r>
                  <w:r>
                    <w:rPr>
                      <w:rFonts w:hint="eastAsia"/>
                      <w:color w:val="auto"/>
                      <w:sz w:val="21"/>
                      <w:vertAlign w:val="subscript"/>
                      <w:lang w:val="en-US" w:eastAsia="zh-CN"/>
                    </w:rPr>
                    <w:t>10</w:t>
                  </w:r>
                </w:p>
              </w:tc>
            </w:tr>
            <w:tr w14:paraId="697D38AB">
              <w:trPr>
                <w:trHeight w:val="639" w:hRule="atLeast"/>
                <w:jc w:val="center"/>
              </w:trPr>
              <w:tc>
                <w:tcPr>
                  <w:tcW w:w="395" w:type="pct"/>
                  <w:vMerge w:val="continue"/>
                  <w:noWrap w:val="0"/>
                  <w:vAlign w:val="center"/>
                </w:tcPr>
                <w:p w14:paraId="3A78CE16">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rPr>
                  </w:pPr>
                </w:p>
              </w:tc>
              <w:tc>
                <w:tcPr>
                  <w:tcW w:w="576" w:type="pct"/>
                  <w:vMerge w:val="continue"/>
                  <w:noWrap w:val="0"/>
                  <w:vAlign w:val="center"/>
                </w:tcPr>
                <w:p w14:paraId="0913F1B8">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rPr>
                  </w:pPr>
                </w:p>
              </w:tc>
              <w:tc>
                <w:tcPr>
                  <w:tcW w:w="1006" w:type="pct"/>
                  <w:shd w:val="clear" w:color="auto" w:fill="auto"/>
                  <w:noWrap w:val="0"/>
                  <w:vAlign w:val="center"/>
                </w:tcPr>
                <w:p w14:paraId="4C6C4EE4">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color w:val="auto"/>
                      <w:kern w:val="0"/>
                      <w:sz w:val="21"/>
                      <w:szCs w:val="20"/>
                      <w:lang w:val="en-US" w:eastAsia="zh-CN" w:bidi="ar-SA"/>
                    </w:rPr>
                  </w:pPr>
                  <w:r>
                    <w:rPr>
                      <w:rFonts w:hint="eastAsia"/>
                      <w:color w:val="auto"/>
                      <w:sz w:val="21"/>
                    </w:rPr>
                    <w:t>生活污水</w:t>
                  </w:r>
                </w:p>
              </w:tc>
              <w:tc>
                <w:tcPr>
                  <w:tcW w:w="989" w:type="pct"/>
                  <w:shd w:val="clear" w:color="auto" w:fill="auto"/>
                  <w:noWrap w:val="0"/>
                  <w:vAlign w:val="center"/>
                </w:tcPr>
                <w:p w14:paraId="059831A7">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color w:val="auto"/>
                      <w:kern w:val="0"/>
                      <w:sz w:val="21"/>
                      <w:szCs w:val="20"/>
                      <w:lang w:val="en-US" w:eastAsia="zh-CN" w:bidi="ar-SA"/>
                    </w:rPr>
                  </w:pPr>
                  <w:r>
                    <w:rPr>
                      <w:rFonts w:hint="eastAsia"/>
                      <w:color w:val="auto"/>
                      <w:sz w:val="21"/>
                    </w:rPr>
                    <w:t>员工日常生活工作</w:t>
                  </w:r>
                </w:p>
              </w:tc>
              <w:tc>
                <w:tcPr>
                  <w:tcW w:w="1328" w:type="pct"/>
                  <w:vMerge w:val="restart"/>
                  <w:shd w:val="clear" w:color="auto" w:fill="auto"/>
                  <w:noWrap w:val="0"/>
                  <w:vAlign w:val="center"/>
                </w:tcPr>
                <w:p w14:paraId="08C2B9E2">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rPr>
                  </w:pPr>
                  <w:r>
                    <w:rPr>
                      <w:rFonts w:hint="eastAsia"/>
                      <w:color w:val="auto"/>
                      <w:sz w:val="21"/>
                      <w:lang w:val="en-US" w:eastAsia="zh-CN"/>
                    </w:rPr>
                    <w:t>隔油池+化粪池</w:t>
                  </w:r>
                  <w:r>
                    <w:rPr>
                      <w:color w:val="auto"/>
                      <w:sz w:val="21"/>
                    </w:rPr>
                    <w:t>预处理</w:t>
                  </w:r>
                  <w:r>
                    <w:rPr>
                      <w:rFonts w:hint="eastAsia"/>
                      <w:color w:val="auto"/>
                      <w:sz w:val="21"/>
                      <w:lang w:val="en-US" w:eastAsia="zh-CN"/>
                    </w:rPr>
                    <w:t>后</w:t>
                  </w:r>
                  <w:r>
                    <w:rPr>
                      <w:color w:val="auto"/>
                      <w:sz w:val="21"/>
                    </w:rPr>
                    <w:t>接管至涟水经济开发区西区污水处理厂</w:t>
                  </w:r>
                </w:p>
              </w:tc>
              <w:tc>
                <w:tcPr>
                  <w:tcW w:w="705" w:type="pct"/>
                  <w:shd w:val="clear" w:color="auto" w:fill="auto"/>
                  <w:noWrap w:val="0"/>
                  <w:vAlign w:val="center"/>
                </w:tcPr>
                <w:p w14:paraId="3F351F44">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auto"/>
                      <w:sz w:val="21"/>
                      <w:lang w:val="en-US"/>
                    </w:rPr>
                  </w:pPr>
                  <w:r>
                    <w:rPr>
                      <w:rFonts w:hint="eastAsia"/>
                      <w:color w:val="auto"/>
                      <w:sz w:val="21"/>
                    </w:rPr>
                    <w:t>W</w:t>
                  </w:r>
                  <w:r>
                    <w:rPr>
                      <w:rFonts w:hint="eastAsia"/>
                      <w:color w:val="auto"/>
                      <w:sz w:val="21"/>
                      <w:vertAlign w:val="subscript"/>
                      <w:lang w:val="en-US" w:eastAsia="zh-CN"/>
                    </w:rPr>
                    <w:t>11</w:t>
                  </w:r>
                </w:p>
              </w:tc>
            </w:tr>
            <w:tr w14:paraId="4CBA20A3">
              <w:trPr>
                <w:trHeight w:val="507" w:hRule="atLeast"/>
                <w:jc w:val="center"/>
              </w:trPr>
              <w:tc>
                <w:tcPr>
                  <w:tcW w:w="395" w:type="pct"/>
                  <w:vMerge w:val="continue"/>
                  <w:noWrap w:val="0"/>
                  <w:vAlign w:val="center"/>
                </w:tcPr>
                <w:p w14:paraId="70672DDD">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rPr>
                  </w:pPr>
                </w:p>
              </w:tc>
              <w:tc>
                <w:tcPr>
                  <w:tcW w:w="576" w:type="pct"/>
                  <w:vMerge w:val="continue"/>
                  <w:noWrap w:val="0"/>
                  <w:vAlign w:val="center"/>
                </w:tcPr>
                <w:p w14:paraId="67FC82FB">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rPr>
                  </w:pPr>
                </w:p>
              </w:tc>
              <w:tc>
                <w:tcPr>
                  <w:tcW w:w="1006" w:type="pct"/>
                  <w:shd w:val="clear" w:color="auto" w:fill="auto"/>
                  <w:noWrap w:val="0"/>
                  <w:vAlign w:val="center"/>
                </w:tcPr>
                <w:p w14:paraId="381DD71D">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食堂废水</w:t>
                  </w:r>
                </w:p>
              </w:tc>
              <w:tc>
                <w:tcPr>
                  <w:tcW w:w="989" w:type="pct"/>
                  <w:shd w:val="clear" w:color="auto" w:fill="auto"/>
                  <w:noWrap w:val="0"/>
                  <w:vAlign w:val="center"/>
                </w:tcPr>
                <w:p w14:paraId="21302523">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食堂</w:t>
                  </w:r>
                </w:p>
              </w:tc>
              <w:tc>
                <w:tcPr>
                  <w:tcW w:w="1328" w:type="pct"/>
                  <w:vMerge w:val="continue"/>
                  <w:shd w:val="clear" w:color="auto" w:fill="auto"/>
                  <w:noWrap w:val="0"/>
                  <w:vAlign w:val="center"/>
                </w:tcPr>
                <w:p w14:paraId="05B642A4">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rPr>
                  </w:pPr>
                </w:p>
              </w:tc>
              <w:tc>
                <w:tcPr>
                  <w:tcW w:w="705" w:type="pct"/>
                  <w:shd w:val="clear" w:color="auto" w:fill="auto"/>
                  <w:noWrap w:val="0"/>
                  <w:vAlign w:val="center"/>
                </w:tcPr>
                <w:p w14:paraId="78D0E7B6">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auto"/>
                      <w:sz w:val="21"/>
                      <w:lang w:val="en-US"/>
                    </w:rPr>
                  </w:pPr>
                  <w:r>
                    <w:rPr>
                      <w:rFonts w:hint="eastAsia"/>
                      <w:color w:val="auto"/>
                      <w:sz w:val="21"/>
                    </w:rPr>
                    <w:t>W</w:t>
                  </w:r>
                  <w:r>
                    <w:rPr>
                      <w:rFonts w:hint="eastAsia"/>
                      <w:color w:val="auto"/>
                      <w:sz w:val="21"/>
                      <w:vertAlign w:val="subscript"/>
                      <w:lang w:val="en-US" w:eastAsia="zh-CN"/>
                    </w:rPr>
                    <w:t>12</w:t>
                  </w:r>
                </w:p>
              </w:tc>
            </w:tr>
            <w:tr w14:paraId="5A9FC8D2">
              <w:trPr>
                <w:trHeight w:val="397" w:hRule="atLeast"/>
                <w:jc w:val="center"/>
              </w:trPr>
              <w:tc>
                <w:tcPr>
                  <w:tcW w:w="395" w:type="pct"/>
                  <w:noWrap w:val="0"/>
                  <w:vAlign w:val="center"/>
                </w:tcPr>
                <w:p w14:paraId="3A21091B">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 w:val="21"/>
                    </w:rPr>
                  </w:pPr>
                  <w:r>
                    <w:rPr>
                      <w:rFonts w:hint="eastAsia"/>
                      <w:color w:val="auto"/>
                      <w:sz w:val="21"/>
                    </w:rPr>
                    <w:t>3</w:t>
                  </w:r>
                </w:p>
              </w:tc>
              <w:tc>
                <w:tcPr>
                  <w:tcW w:w="576" w:type="pct"/>
                  <w:noWrap w:val="0"/>
                  <w:vAlign w:val="center"/>
                </w:tcPr>
                <w:p w14:paraId="1470F062">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 w:val="21"/>
                    </w:rPr>
                  </w:pPr>
                  <w:r>
                    <w:rPr>
                      <w:rFonts w:hint="eastAsia"/>
                      <w:color w:val="auto"/>
                      <w:sz w:val="21"/>
                    </w:rPr>
                    <w:t>噪声</w:t>
                  </w:r>
                </w:p>
              </w:tc>
              <w:tc>
                <w:tcPr>
                  <w:tcW w:w="1006" w:type="pct"/>
                  <w:noWrap w:val="0"/>
                  <w:vAlign w:val="center"/>
                </w:tcPr>
                <w:p w14:paraId="5389B18D">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 w:val="21"/>
                    </w:rPr>
                  </w:pPr>
                  <w:r>
                    <w:rPr>
                      <w:rFonts w:hint="eastAsia"/>
                      <w:color w:val="auto"/>
                      <w:sz w:val="21"/>
                    </w:rPr>
                    <w:t>设备噪声</w:t>
                  </w:r>
                </w:p>
              </w:tc>
              <w:tc>
                <w:tcPr>
                  <w:tcW w:w="989" w:type="pct"/>
                  <w:noWrap w:val="0"/>
                  <w:vAlign w:val="center"/>
                </w:tcPr>
                <w:p w14:paraId="18D6A151">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 w:val="21"/>
                    </w:rPr>
                  </w:pPr>
                  <w:r>
                    <w:rPr>
                      <w:rFonts w:hint="eastAsia"/>
                      <w:color w:val="auto"/>
                      <w:sz w:val="21"/>
                    </w:rPr>
                    <w:t>生产设备运行过程</w:t>
                  </w:r>
                </w:p>
              </w:tc>
              <w:tc>
                <w:tcPr>
                  <w:tcW w:w="1328" w:type="pct"/>
                  <w:noWrap w:val="0"/>
                  <w:vAlign w:val="center"/>
                </w:tcPr>
                <w:p w14:paraId="465BEF5B">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 w:val="21"/>
                    </w:rPr>
                  </w:pPr>
                  <w:r>
                    <w:rPr>
                      <w:rFonts w:hint="eastAsia"/>
                      <w:color w:val="auto"/>
                      <w:sz w:val="21"/>
                    </w:rPr>
                    <w:t>低噪声设备、厂房隔声、距离衰减、合理布局</w:t>
                  </w:r>
                </w:p>
              </w:tc>
              <w:tc>
                <w:tcPr>
                  <w:tcW w:w="705" w:type="pct"/>
                  <w:noWrap w:val="0"/>
                  <w:vAlign w:val="center"/>
                </w:tcPr>
                <w:p w14:paraId="28AB26A4">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 w:val="21"/>
                    </w:rPr>
                  </w:pPr>
                  <w:r>
                    <w:rPr>
                      <w:rFonts w:hint="eastAsia"/>
                      <w:color w:val="auto"/>
                      <w:sz w:val="21"/>
                    </w:rPr>
                    <w:t>N</w:t>
                  </w:r>
                </w:p>
              </w:tc>
            </w:tr>
            <w:tr w14:paraId="609528E7">
              <w:trPr>
                <w:trHeight w:val="972" w:hRule="exact"/>
                <w:jc w:val="center"/>
              </w:trPr>
              <w:tc>
                <w:tcPr>
                  <w:tcW w:w="395" w:type="pct"/>
                  <w:vMerge w:val="restart"/>
                  <w:noWrap w:val="0"/>
                  <w:vAlign w:val="center"/>
                </w:tcPr>
                <w:p w14:paraId="32365AF8">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 w:val="21"/>
                    </w:rPr>
                  </w:pPr>
                  <w:r>
                    <w:rPr>
                      <w:rFonts w:hint="eastAsia"/>
                      <w:color w:val="auto"/>
                      <w:sz w:val="21"/>
                    </w:rPr>
                    <w:t>4</w:t>
                  </w:r>
                </w:p>
              </w:tc>
              <w:tc>
                <w:tcPr>
                  <w:tcW w:w="576" w:type="pct"/>
                  <w:vMerge w:val="restart"/>
                  <w:noWrap w:val="0"/>
                  <w:vAlign w:val="center"/>
                </w:tcPr>
                <w:p w14:paraId="4C1642CB">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 w:val="21"/>
                    </w:rPr>
                  </w:pPr>
                  <w:r>
                    <w:rPr>
                      <w:rFonts w:hint="eastAsia"/>
                      <w:color w:val="auto"/>
                      <w:sz w:val="21"/>
                    </w:rPr>
                    <w:t>固废</w:t>
                  </w:r>
                </w:p>
              </w:tc>
              <w:tc>
                <w:tcPr>
                  <w:tcW w:w="1006" w:type="pct"/>
                  <w:noWrap w:val="0"/>
                  <w:vAlign w:val="center"/>
                </w:tcPr>
                <w:p w14:paraId="5E5A1870">
                  <w:pPr>
                    <w:pStyle w:val="17"/>
                    <w:spacing w:line="240" w:lineRule="auto"/>
                    <w:ind w:left="0" w:leftChars="0" w:firstLine="0" w:firstLineChars="0"/>
                    <w:jc w:val="center"/>
                    <w:rPr>
                      <w:rFonts w:hint="eastAsia" w:ascii="Times New Roman" w:hAnsi="Times New Roman" w:eastAsia="宋体" w:cs="Times New Roman"/>
                      <w:b w:val="0"/>
                      <w:color w:val="auto"/>
                      <w:kern w:val="2"/>
                      <w:sz w:val="21"/>
                      <w:szCs w:val="18"/>
                      <w:lang w:val="en-US" w:eastAsia="zh-CN" w:bidi="ar-SA"/>
                    </w:rPr>
                  </w:pPr>
                  <w:r>
                    <w:rPr>
                      <w:rFonts w:hint="eastAsia" w:ascii="Times New Roman" w:hAnsi="Times New Roman" w:cs="Times New Roman"/>
                      <w:b w:val="0"/>
                      <w:color w:val="auto"/>
                      <w:sz w:val="21"/>
                      <w:szCs w:val="18"/>
                      <w:lang w:val="en-US" w:eastAsia="zh-CN"/>
                    </w:rPr>
                    <w:t>废滤渣</w:t>
                  </w:r>
                </w:p>
              </w:tc>
              <w:tc>
                <w:tcPr>
                  <w:tcW w:w="989" w:type="pct"/>
                  <w:noWrap w:val="0"/>
                  <w:vAlign w:val="center"/>
                </w:tcPr>
                <w:p w14:paraId="5E31A938">
                  <w:pPr>
                    <w:adjustRightInd w:val="0"/>
                    <w:snapToGrid w:val="0"/>
                    <w:jc w:val="center"/>
                    <w:rPr>
                      <w:rFonts w:hint="default" w:ascii="Times New Roman" w:hAnsi="Times New Roman" w:eastAsia="宋体"/>
                      <w:color w:val="auto"/>
                      <w:kern w:val="2"/>
                      <w:sz w:val="21"/>
                      <w:szCs w:val="18"/>
                      <w:lang w:val="en-US" w:eastAsia="zh-CN" w:bidi="ar-SA"/>
                    </w:rPr>
                  </w:pPr>
                  <w:r>
                    <w:rPr>
                      <w:rFonts w:hint="eastAsia"/>
                      <w:color w:val="auto"/>
                      <w:kern w:val="2"/>
                      <w:sz w:val="21"/>
                      <w:szCs w:val="18"/>
                      <w:lang w:val="en-US" w:eastAsia="zh-CN" w:bidi="ar-SA"/>
                    </w:rPr>
                    <w:t>过滤</w:t>
                  </w:r>
                </w:p>
              </w:tc>
              <w:tc>
                <w:tcPr>
                  <w:tcW w:w="1328" w:type="pct"/>
                  <w:vMerge w:val="restart"/>
                  <w:noWrap w:val="0"/>
                  <w:vAlign w:val="center"/>
                </w:tcPr>
                <w:p w14:paraId="6A958978">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rPr>
                  </w:pPr>
                  <w:r>
                    <w:rPr>
                      <w:rFonts w:hint="eastAsia"/>
                      <w:color w:val="auto"/>
                      <w:sz w:val="21"/>
                    </w:rPr>
                    <w:t>统一收集后外售给废旧资源回收公司利用</w:t>
                  </w:r>
                </w:p>
              </w:tc>
              <w:tc>
                <w:tcPr>
                  <w:tcW w:w="705" w:type="pct"/>
                  <w:noWrap w:val="0"/>
                  <w:vAlign w:val="center"/>
                </w:tcPr>
                <w:p w14:paraId="7E3C5F31">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eastAsia="宋体"/>
                      <w:color w:val="auto"/>
                      <w:kern w:val="0"/>
                      <w:sz w:val="21"/>
                      <w:szCs w:val="20"/>
                      <w:lang w:val="en-US" w:eastAsia="zh-CN" w:bidi="ar-SA"/>
                    </w:rPr>
                  </w:pPr>
                  <w:r>
                    <w:rPr>
                      <w:rFonts w:hint="eastAsia"/>
                      <w:color w:val="auto"/>
                      <w:sz w:val="21"/>
                    </w:rPr>
                    <w:t>S</w:t>
                  </w:r>
                  <w:r>
                    <w:rPr>
                      <w:rFonts w:hint="eastAsia"/>
                      <w:color w:val="auto"/>
                      <w:sz w:val="21"/>
                      <w:vertAlign w:val="subscript"/>
                      <w:lang w:val="en-US" w:eastAsia="zh-CN"/>
                    </w:rPr>
                    <w:t>1-1</w:t>
                  </w:r>
                  <w:r>
                    <w:rPr>
                      <w:rFonts w:hint="eastAsia"/>
                      <w:color w:val="auto"/>
                      <w:sz w:val="21"/>
                      <w:lang w:val="en-US" w:eastAsia="zh-CN"/>
                    </w:rPr>
                    <w:t>、</w:t>
                  </w:r>
                  <w:r>
                    <w:rPr>
                      <w:rFonts w:hint="eastAsia"/>
                      <w:color w:val="auto"/>
                      <w:sz w:val="21"/>
                    </w:rPr>
                    <w:t>S</w:t>
                  </w:r>
                  <w:r>
                    <w:rPr>
                      <w:rFonts w:hint="eastAsia"/>
                      <w:color w:val="auto"/>
                      <w:sz w:val="21"/>
                      <w:vertAlign w:val="subscript"/>
                      <w:lang w:val="en-US" w:eastAsia="zh-CN"/>
                    </w:rPr>
                    <w:t>1-2</w:t>
                  </w:r>
                  <w:r>
                    <w:rPr>
                      <w:rFonts w:hint="eastAsia"/>
                      <w:color w:val="auto"/>
                      <w:sz w:val="21"/>
                      <w:lang w:val="en-US" w:eastAsia="zh-CN"/>
                    </w:rPr>
                    <w:t>、</w:t>
                  </w:r>
                  <w:r>
                    <w:rPr>
                      <w:rFonts w:hint="eastAsia"/>
                      <w:color w:val="auto"/>
                      <w:sz w:val="21"/>
                    </w:rPr>
                    <w:t>S</w:t>
                  </w:r>
                  <w:r>
                    <w:rPr>
                      <w:rFonts w:hint="eastAsia"/>
                      <w:color w:val="auto"/>
                      <w:sz w:val="21"/>
                      <w:vertAlign w:val="subscript"/>
                      <w:lang w:val="en-US" w:eastAsia="zh-CN"/>
                    </w:rPr>
                    <w:t>1-3</w:t>
                  </w:r>
                  <w:r>
                    <w:rPr>
                      <w:rFonts w:hint="eastAsia"/>
                      <w:color w:val="auto"/>
                      <w:sz w:val="21"/>
                      <w:lang w:val="en-US" w:eastAsia="zh-CN"/>
                    </w:rPr>
                    <w:t>、</w:t>
                  </w:r>
                  <w:r>
                    <w:rPr>
                      <w:rFonts w:hint="eastAsia"/>
                      <w:color w:val="auto"/>
                      <w:sz w:val="21"/>
                    </w:rPr>
                    <w:t>S</w:t>
                  </w:r>
                  <w:r>
                    <w:rPr>
                      <w:rFonts w:hint="eastAsia"/>
                      <w:color w:val="auto"/>
                      <w:sz w:val="21"/>
                      <w:vertAlign w:val="subscript"/>
                      <w:lang w:val="en-US" w:eastAsia="zh-CN"/>
                    </w:rPr>
                    <w:t>3-1</w:t>
                  </w:r>
                  <w:r>
                    <w:rPr>
                      <w:rFonts w:hint="eastAsia"/>
                      <w:color w:val="auto"/>
                      <w:sz w:val="21"/>
                      <w:lang w:val="en-US" w:eastAsia="zh-CN"/>
                    </w:rPr>
                    <w:t>、</w:t>
                  </w:r>
                  <w:r>
                    <w:rPr>
                      <w:rFonts w:hint="eastAsia"/>
                      <w:color w:val="auto"/>
                      <w:sz w:val="21"/>
                    </w:rPr>
                    <w:t>S</w:t>
                  </w:r>
                  <w:r>
                    <w:rPr>
                      <w:rFonts w:hint="eastAsia"/>
                      <w:color w:val="auto"/>
                      <w:sz w:val="21"/>
                      <w:vertAlign w:val="subscript"/>
                      <w:lang w:val="en-US" w:eastAsia="zh-CN"/>
                    </w:rPr>
                    <w:t>3-2</w:t>
                  </w:r>
                  <w:r>
                    <w:rPr>
                      <w:rFonts w:hint="eastAsia"/>
                      <w:color w:val="auto"/>
                      <w:sz w:val="21"/>
                      <w:vertAlign w:val="baseline"/>
                      <w:lang w:val="en-US" w:eastAsia="zh-CN"/>
                    </w:rPr>
                    <w:t>、</w:t>
                  </w:r>
                  <w:r>
                    <w:rPr>
                      <w:rFonts w:hint="eastAsia"/>
                      <w:color w:val="auto"/>
                      <w:sz w:val="21"/>
                    </w:rPr>
                    <w:t>S</w:t>
                  </w:r>
                  <w:r>
                    <w:rPr>
                      <w:rFonts w:hint="eastAsia"/>
                      <w:color w:val="auto"/>
                      <w:sz w:val="21"/>
                      <w:vertAlign w:val="subscript"/>
                      <w:lang w:val="en-US" w:eastAsia="zh-CN"/>
                    </w:rPr>
                    <w:t>5-1</w:t>
                  </w:r>
                </w:p>
              </w:tc>
            </w:tr>
            <w:tr w14:paraId="43118692">
              <w:trPr>
                <w:trHeight w:val="512" w:hRule="exact"/>
                <w:jc w:val="center"/>
              </w:trPr>
              <w:tc>
                <w:tcPr>
                  <w:tcW w:w="395" w:type="pct"/>
                  <w:vMerge w:val="continue"/>
                  <w:noWrap w:val="0"/>
                  <w:vAlign w:val="center"/>
                </w:tcPr>
                <w:p w14:paraId="256C3DED">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rPr>
                  </w:pPr>
                </w:p>
              </w:tc>
              <w:tc>
                <w:tcPr>
                  <w:tcW w:w="576" w:type="pct"/>
                  <w:vMerge w:val="continue"/>
                  <w:noWrap w:val="0"/>
                  <w:vAlign w:val="center"/>
                </w:tcPr>
                <w:p w14:paraId="4C08A963">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rPr>
                  </w:pPr>
                </w:p>
              </w:tc>
              <w:tc>
                <w:tcPr>
                  <w:tcW w:w="1006" w:type="pct"/>
                  <w:noWrap w:val="0"/>
                  <w:vAlign w:val="center"/>
                </w:tcPr>
                <w:p w14:paraId="1488917B">
                  <w:pPr>
                    <w:pStyle w:val="17"/>
                    <w:spacing w:line="240" w:lineRule="auto"/>
                    <w:ind w:left="0" w:leftChars="0" w:firstLine="0" w:firstLineChars="0"/>
                    <w:jc w:val="center"/>
                    <w:rPr>
                      <w:rFonts w:hint="eastAsia" w:ascii="Times New Roman" w:hAnsi="Times New Roman" w:eastAsia="宋体" w:cs="Times New Roman"/>
                      <w:b w:val="0"/>
                      <w:color w:val="auto"/>
                      <w:sz w:val="21"/>
                      <w:szCs w:val="18"/>
                    </w:rPr>
                  </w:pPr>
                  <w:r>
                    <w:rPr>
                      <w:rFonts w:hint="eastAsia" w:ascii="Times New Roman" w:hAnsi="Times New Roman" w:cs="Times New Roman"/>
                      <w:b w:val="0"/>
                      <w:color w:val="auto"/>
                      <w:sz w:val="21"/>
                      <w:szCs w:val="18"/>
                      <w:lang w:val="en-US" w:eastAsia="zh-CN"/>
                    </w:rPr>
                    <w:t>茶叶渣</w:t>
                  </w:r>
                </w:p>
              </w:tc>
              <w:tc>
                <w:tcPr>
                  <w:tcW w:w="989" w:type="pct"/>
                  <w:noWrap w:val="0"/>
                  <w:vAlign w:val="center"/>
                </w:tcPr>
                <w:p w14:paraId="1E0644A7">
                  <w:pPr>
                    <w:pStyle w:val="16"/>
                    <w:keepNext w:val="0"/>
                    <w:keepLines w:val="0"/>
                    <w:suppressLineNumbers w:val="0"/>
                    <w:spacing w:before="0" w:beforeAutospacing="0" w:after="0" w:line="240" w:lineRule="auto"/>
                    <w:ind w:left="0" w:leftChars="0" w:right="0" w:rightChars="0" w:firstLine="0" w:firstLineChars="0"/>
                    <w:jc w:val="center"/>
                    <w:rPr>
                      <w:rFonts w:hint="eastAsia" w:ascii="Times New Roman" w:hAnsi="Times New Roman" w:eastAsia="宋体"/>
                      <w:color w:val="auto"/>
                      <w:kern w:val="2"/>
                      <w:sz w:val="21"/>
                      <w:szCs w:val="18"/>
                      <w:lang w:val="en-US" w:eastAsia="zh-CN" w:bidi="ar-SA"/>
                    </w:rPr>
                  </w:pPr>
                  <w:r>
                    <w:rPr>
                      <w:color w:val="auto"/>
                      <w:sz w:val="21"/>
                    </w:rPr>
                    <w:t>过滤</w:t>
                  </w:r>
                </w:p>
              </w:tc>
              <w:tc>
                <w:tcPr>
                  <w:tcW w:w="1328" w:type="pct"/>
                  <w:vMerge w:val="continue"/>
                  <w:noWrap w:val="0"/>
                  <w:vAlign w:val="center"/>
                </w:tcPr>
                <w:p w14:paraId="030E928C">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rPr>
                  </w:pPr>
                </w:p>
              </w:tc>
              <w:tc>
                <w:tcPr>
                  <w:tcW w:w="705" w:type="pct"/>
                  <w:noWrap w:val="0"/>
                  <w:vAlign w:val="center"/>
                </w:tcPr>
                <w:p w14:paraId="4877AB18">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rPr>
                  </w:pPr>
                  <w:r>
                    <w:rPr>
                      <w:rFonts w:hint="eastAsia"/>
                      <w:color w:val="auto"/>
                      <w:sz w:val="21"/>
                      <w:lang w:eastAsia="zh-CN"/>
                    </w:rPr>
                    <w:t>S</w:t>
                  </w:r>
                  <w:r>
                    <w:rPr>
                      <w:rFonts w:hint="eastAsia"/>
                      <w:color w:val="auto"/>
                      <w:sz w:val="21"/>
                      <w:vertAlign w:val="subscript"/>
                      <w:lang w:val="en-US" w:eastAsia="zh-CN"/>
                    </w:rPr>
                    <w:t>6</w:t>
                  </w:r>
                </w:p>
              </w:tc>
            </w:tr>
            <w:tr w14:paraId="080479EC">
              <w:trPr>
                <w:trHeight w:val="527" w:hRule="exact"/>
                <w:jc w:val="center"/>
              </w:trPr>
              <w:tc>
                <w:tcPr>
                  <w:tcW w:w="395" w:type="pct"/>
                  <w:vMerge w:val="continue"/>
                  <w:noWrap w:val="0"/>
                  <w:vAlign w:val="center"/>
                </w:tcPr>
                <w:p w14:paraId="20B285A8">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rPr>
                  </w:pPr>
                </w:p>
              </w:tc>
              <w:tc>
                <w:tcPr>
                  <w:tcW w:w="576" w:type="pct"/>
                  <w:vMerge w:val="continue"/>
                  <w:noWrap w:val="0"/>
                  <w:vAlign w:val="center"/>
                </w:tcPr>
                <w:p w14:paraId="7D187CB8">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rPr>
                  </w:pPr>
                </w:p>
              </w:tc>
              <w:tc>
                <w:tcPr>
                  <w:tcW w:w="1006" w:type="pct"/>
                  <w:noWrap w:val="0"/>
                  <w:vAlign w:val="center"/>
                </w:tcPr>
                <w:p w14:paraId="32FE9C4F">
                  <w:pPr>
                    <w:pStyle w:val="16"/>
                    <w:keepNext w:val="0"/>
                    <w:keepLines w:val="0"/>
                    <w:suppressLineNumbers w:val="0"/>
                    <w:spacing w:before="0" w:beforeAutospacing="0" w:after="0" w:line="240" w:lineRule="auto"/>
                    <w:ind w:left="0" w:leftChars="0" w:right="0" w:rightChars="0" w:firstLine="0" w:firstLineChars="0"/>
                    <w:jc w:val="center"/>
                    <w:rPr>
                      <w:rFonts w:hint="eastAsia" w:ascii="Times New Roman" w:hAnsi="Times New Roman" w:eastAsia="宋体" w:cs="Times New Roman"/>
                      <w:b w:val="0"/>
                      <w:color w:val="auto"/>
                      <w:kern w:val="2"/>
                      <w:sz w:val="21"/>
                      <w:szCs w:val="18"/>
                      <w:lang w:val="en-US" w:eastAsia="zh-CN" w:bidi="ar-SA"/>
                    </w:rPr>
                  </w:pPr>
                  <w:r>
                    <w:rPr>
                      <w:color w:val="auto"/>
                      <w:sz w:val="21"/>
                    </w:rPr>
                    <w:t>一般包装材料</w:t>
                  </w:r>
                </w:p>
              </w:tc>
              <w:tc>
                <w:tcPr>
                  <w:tcW w:w="989" w:type="pct"/>
                  <w:noWrap w:val="0"/>
                  <w:vAlign w:val="center"/>
                </w:tcPr>
                <w:p w14:paraId="6999AA10">
                  <w:pPr>
                    <w:pStyle w:val="16"/>
                    <w:keepNext w:val="0"/>
                    <w:keepLines w:val="0"/>
                    <w:suppressLineNumbers w:val="0"/>
                    <w:spacing w:before="0" w:beforeAutospacing="0" w:after="0" w:line="240" w:lineRule="auto"/>
                    <w:ind w:left="0" w:leftChars="0" w:right="0" w:rightChars="0" w:firstLine="0" w:firstLineChars="0"/>
                    <w:jc w:val="center"/>
                    <w:rPr>
                      <w:rFonts w:hint="eastAsia" w:ascii="Times New Roman" w:hAnsi="Times New Roman" w:eastAsia="宋体"/>
                      <w:color w:val="auto"/>
                      <w:kern w:val="2"/>
                      <w:sz w:val="21"/>
                      <w:szCs w:val="18"/>
                      <w:lang w:val="en-US" w:eastAsia="zh-CN" w:bidi="ar-SA"/>
                    </w:rPr>
                  </w:pPr>
                  <w:r>
                    <w:rPr>
                      <w:color w:val="auto"/>
                      <w:sz w:val="21"/>
                    </w:rPr>
                    <w:t>原料包装、产品包装</w:t>
                  </w:r>
                </w:p>
              </w:tc>
              <w:tc>
                <w:tcPr>
                  <w:tcW w:w="1328" w:type="pct"/>
                  <w:vMerge w:val="continue"/>
                  <w:noWrap w:val="0"/>
                  <w:vAlign w:val="center"/>
                </w:tcPr>
                <w:p w14:paraId="0317075D">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kern w:val="0"/>
                      <w:sz w:val="21"/>
                      <w:szCs w:val="20"/>
                      <w:lang w:val="en-US" w:eastAsia="zh-CN" w:bidi="ar-SA"/>
                    </w:rPr>
                  </w:pPr>
                </w:p>
              </w:tc>
              <w:tc>
                <w:tcPr>
                  <w:tcW w:w="705" w:type="pct"/>
                  <w:noWrap w:val="0"/>
                  <w:vAlign w:val="center"/>
                </w:tcPr>
                <w:p w14:paraId="71D3FE34">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color w:val="auto"/>
                      <w:kern w:val="0"/>
                      <w:sz w:val="21"/>
                      <w:szCs w:val="20"/>
                      <w:lang w:val="en-US" w:eastAsia="zh-CN" w:bidi="ar-SA"/>
                    </w:rPr>
                  </w:pPr>
                  <w:r>
                    <w:rPr>
                      <w:rFonts w:hint="eastAsia"/>
                      <w:color w:val="auto"/>
                      <w:sz w:val="21"/>
                      <w:lang w:eastAsia="zh-CN"/>
                    </w:rPr>
                    <w:t>S</w:t>
                  </w:r>
                  <w:r>
                    <w:rPr>
                      <w:rFonts w:hint="eastAsia"/>
                      <w:color w:val="auto"/>
                      <w:sz w:val="21"/>
                      <w:vertAlign w:val="subscript"/>
                      <w:lang w:val="en-US" w:eastAsia="zh-CN"/>
                    </w:rPr>
                    <w:t>7</w:t>
                  </w:r>
                </w:p>
              </w:tc>
            </w:tr>
            <w:tr w14:paraId="59B0E6BF">
              <w:trPr>
                <w:trHeight w:val="527" w:hRule="exact"/>
                <w:jc w:val="center"/>
              </w:trPr>
              <w:tc>
                <w:tcPr>
                  <w:tcW w:w="395" w:type="pct"/>
                  <w:vMerge w:val="continue"/>
                  <w:noWrap w:val="0"/>
                  <w:vAlign w:val="center"/>
                </w:tcPr>
                <w:p w14:paraId="7F3761AC">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rPr>
                  </w:pPr>
                </w:p>
              </w:tc>
              <w:tc>
                <w:tcPr>
                  <w:tcW w:w="576" w:type="pct"/>
                  <w:vMerge w:val="continue"/>
                  <w:noWrap w:val="0"/>
                  <w:vAlign w:val="center"/>
                </w:tcPr>
                <w:p w14:paraId="09E753EE">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rPr>
                  </w:pPr>
                </w:p>
              </w:tc>
              <w:tc>
                <w:tcPr>
                  <w:tcW w:w="1006" w:type="pct"/>
                  <w:noWrap w:val="0"/>
                  <w:vAlign w:val="center"/>
                </w:tcPr>
                <w:p w14:paraId="1DE761EC">
                  <w:pPr>
                    <w:pStyle w:val="16"/>
                    <w:keepNext w:val="0"/>
                    <w:keepLines w:val="0"/>
                    <w:suppressLineNumbers w:val="0"/>
                    <w:spacing w:before="0" w:beforeAutospacing="0" w:after="0" w:line="240" w:lineRule="auto"/>
                    <w:ind w:left="0" w:leftChars="0" w:right="0" w:rightChars="0" w:firstLine="0" w:firstLineChars="0"/>
                    <w:jc w:val="center"/>
                    <w:rPr>
                      <w:rFonts w:hint="eastAsia" w:ascii="Times New Roman" w:hAnsi="Times New Roman" w:cs="Times New Roman"/>
                      <w:b w:val="0"/>
                      <w:color w:val="auto"/>
                      <w:sz w:val="21"/>
                      <w:szCs w:val="18"/>
                      <w:lang w:val="en-US" w:eastAsia="zh-CN"/>
                    </w:rPr>
                  </w:pPr>
                  <w:r>
                    <w:rPr>
                      <w:color w:val="auto"/>
                      <w:sz w:val="21"/>
                    </w:rPr>
                    <w:t>废石英砂、</w:t>
                  </w:r>
                  <w:r>
                    <w:rPr>
                      <w:rFonts w:hint="eastAsia"/>
                      <w:color w:val="auto"/>
                      <w:sz w:val="21"/>
                      <w:lang w:val="en-US" w:eastAsia="zh-CN"/>
                    </w:rPr>
                    <w:t>活性炭和</w:t>
                  </w:r>
                  <w:r>
                    <w:rPr>
                      <w:color w:val="auto"/>
                      <w:sz w:val="21"/>
                    </w:rPr>
                    <w:t>滤膜</w:t>
                  </w:r>
                </w:p>
              </w:tc>
              <w:tc>
                <w:tcPr>
                  <w:tcW w:w="989" w:type="pct"/>
                  <w:noWrap w:val="0"/>
                  <w:vAlign w:val="center"/>
                </w:tcPr>
                <w:p w14:paraId="499FC4B8">
                  <w:pPr>
                    <w:pStyle w:val="16"/>
                    <w:keepNext w:val="0"/>
                    <w:keepLines w:val="0"/>
                    <w:suppressLineNumbers w:val="0"/>
                    <w:spacing w:before="0" w:beforeAutospacing="0" w:after="0" w:line="240" w:lineRule="auto"/>
                    <w:ind w:left="0" w:leftChars="0" w:right="0" w:rightChars="0" w:firstLine="0" w:firstLineChars="0"/>
                    <w:jc w:val="center"/>
                    <w:rPr>
                      <w:rFonts w:hint="eastAsia" w:ascii="Times New Roman" w:hAnsi="Times New Roman" w:eastAsia="宋体"/>
                      <w:color w:val="auto"/>
                      <w:sz w:val="21"/>
                      <w:szCs w:val="18"/>
                      <w:lang w:val="en-US" w:eastAsia="zh-CN"/>
                    </w:rPr>
                  </w:pPr>
                  <w:r>
                    <w:rPr>
                      <w:color w:val="auto"/>
                      <w:sz w:val="21"/>
                    </w:rPr>
                    <w:t>纯水制备</w:t>
                  </w:r>
                </w:p>
              </w:tc>
              <w:tc>
                <w:tcPr>
                  <w:tcW w:w="1328" w:type="pct"/>
                  <w:noWrap w:val="0"/>
                  <w:vAlign w:val="center"/>
                </w:tcPr>
                <w:p w14:paraId="13128D59">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auto"/>
                      <w:kern w:val="0"/>
                      <w:sz w:val="21"/>
                      <w:szCs w:val="20"/>
                      <w:lang w:val="en-US" w:eastAsia="zh-CN" w:bidi="ar-SA"/>
                    </w:rPr>
                  </w:pPr>
                  <w:r>
                    <w:rPr>
                      <w:rFonts w:hint="eastAsia"/>
                      <w:color w:val="auto"/>
                      <w:kern w:val="0"/>
                      <w:sz w:val="21"/>
                      <w:szCs w:val="20"/>
                      <w:lang w:val="en-US" w:eastAsia="zh-CN" w:bidi="ar-SA"/>
                    </w:rPr>
                    <w:t>厂家回收</w:t>
                  </w:r>
                </w:p>
              </w:tc>
              <w:tc>
                <w:tcPr>
                  <w:tcW w:w="705" w:type="pct"/>
                  <w:noWrap w:val="0"/>
                  <w:vAlign w:val="center"/>
                </w:tcPr>
                <w:p w14:paraId="0056DFE6">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lang w:eastAsia="zh-CN"/>
                    </w:rPr>
                  </w:pPr>
                  <w:r>
                    <w:rPr>
                      <w:rFonts w:hint="eastAsia"/>
                      <w:color w:val="auto"/>
                      <w:sz w:val="21"/>
                      <w:lang w:eastAsia="zh-CN"/>
                    </w:rPr>
                    <w:t>S</w:t>
                  </w:r>
                  <w:r>
                    <w:rPr>
                      <w:rFonts w:hint="eastAsia"/>
                      <w:color w:val="auto"/>
                      <w:sz w:val="21"/>
                      <w:vertAlign w:val="subscript"/>
                      <w:lang w:val="en-US" w:eastAsia="zh-CN"/>
                    </w:rPr>
                    <w:t>8</w:t>
                  </w:r>
                </w:p>
              </w:tc>
            </w:tr>
            <w:tr w14:paraId="5DA64B18">
              <w:trPr>
                <w:trHeight w:val="527" w:hRule="exact"/>
                <w:jc w:val="center"/>
              </w:trPr>
              <w:tc>
                <w:tcPr>
                  <w:tcW w:w="395" w:type="pct"/>
                  <w:vMerge w:val="continue"/>
                  <w:noWrap w:val="0"/>
                  <w:vAlign w:val="center"/>
                </w:tcPr>
                <w:p w14:paraId="46D10E5B">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rPr>
                  </w:pPr>
                </w:p>
              </w:tc>
              <w:tc>
                <w:tcPr>
                  <w:tcW w:w="576" w:type="pct"/>
                  <w:vMerge w:val="continue"/>
                  <w:noWrap w:val="0"/>
                  <w:vAlign w:val="center"/>
                </w:tcPr>
                <w:p w14:paraId="33222074">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rPr>
                  </w:pPr>
                </w:p>
              </w:tc>
              <w:tc>
                <w:tcPr>
                  <w:tcW w:w="1006" w:type="pct"/>
                  <w:noWrap w:val="0"/>
                  <w:vAlign w:val="center"/>
                </w:tcPr>
                <w:p w14:paraId="27D396E4">
                  <w:pPr>
                    <w:pStyle w:val="16"/>
                    <w:keepNext w:val="0"/>
                    <w:keepLines w:val="0"/>
                    <w:suppressLineNumbers w:val="0"/>
                    <w:spacing w:before="0" w:beforeAutospacing="0" w:after="0" w:line="240" w:lineRule="auto"/>
                    <w:ind w:left="0" w:leftChars="0" w:right="0" w:rightChars="0" w:firstLine="0" w:firstLineChars="0"/>
                    <w:jc w:val="center"/>
                    <w:rPr>
                      <w:rFonts w:hint="eastAsia" w:ascii="Times New Roman" w:hAnsi="Times New Roman" w:cs="Times New Roman"/>
                      <w:b w:val="0"/>
                      <w:color w:val="auto"/>
                      <w:sz w:val="21"/>
                      <w:szCs w:val="18"/>
                      <w:lang w:val="en-US" w:eastAsia="zh-CN"/>
                    </w:rPr>
                  </w:pPr>
                  <w:r>
                    <w:rPr>
                      <w:rFonts w:hint="eastAsia"/>
                      <w:color w:val="auto"/>
                      <w:sz w:val="21"/>
                      <w:szCs w:val="18"/>
                    </w:rPr>
                    <w:t>污水处理站污泥</w:t>
                  </w:r>
                </w:p>
              </w:tc>
              <w:tc>
                <w:tcPr>
                  <w:tcW w:w="989" w:type="pct"/>
                  <w:noWrap w:val="0"/>
                  <w:vAlign w:val="center"/>
                </w:tcPr>
                <w:p w14:paraId="64DECDA4">
                  <w:pPr>
                    <w:pStyle w:val="16"/>
                    <w:keepNext w:val="0"/>
                    <w:keepLines w:val="0"/>
                    <w:suppressLineNumbers w:val="0"/>
                    <w:spacing w:before="0" w:beforeAutospacing="0" w:after="0" w:line="240" w:lineRule="auto"/>
                    <w:ind w:left="0" w:leftChars="0" w:right="0" w:rightChars="0" w:firstLine="0" w:firstLineChars="0"/>
                    <w:jc w:val="center"/>
                    <w:rPr>
                      <w:rFonts w:hint="eastAsia" w:ascii="Times New Roman" w:hAnsi="Times New Roman" w:eastAsia="宋体"/>
                      <w:color w:val="auto"/>
                      <w:sz w:val="21"/>
                      <w:szCs w:val="18"/>
                      <w:lang w:val="en-US" w:eastAsia="zh-CN"/>
                    </w:rPr>
                  </w:pPr>
                  <w:r>
                    <w:rPr>
                      <w:rFonts w:hint="eastAsia"/>
                      <w:color w:val="auto"/>
                      <w:sz w:val="21"/>
                    </w:rPr>
                    <w:t>废水处理</w:t>
                  </w:r>
                </w:p>
              </w:tc>
              <w:tc>
                <w:tcPr>
                  <w:tcW w:w="1328" w:type="pct"/>
                  <w:noWrap w:val="0"/>
                  <w:vAlign w:val="center"/>
                </w:tcPr>
                <w:p w14:paraId="461CC8F0">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kern w:val="0"/>
                      <w:sz w:val="21"/>
                      <w:szCs w:val="20"/>
                      <w:lang w:val="en-US" w:eastAsia="zh-CN" w:bidi="ar-SA"/>
                    </w:rPr>
                  </w:pPr>
                  <w:r>
                    <w:rPr>
                      <w:rFonts w:hint="eastAsia"/>
                      <w:color w:val="auto"/>
                      <w:kern w:val="0"/>
                      <w:sz w:val="21"/>
                      <w:szCs w:val="20"/>
                      <w:lang w:val="en-US" w:eastAsia="zh-CN" w:bidi="ar-SA"/>
                    </w:rPr>
                    <w:t>委托一般污泥处置单位进行利用处置</w:t>
                  </w:r>
                </w:p>
              </w:tc>
              <w:tc>
                <w:tcPr>
                  <w:tcW w:w="705" w:type="pct"/>
                  <w:noWrap w:val="0"/>
                  <w:vAlign w:val="center"/>
                </w:tcPr>
                <w:p w14:paraId="7C765577">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lang w:eastAsia="zh-CN"/>
                    </w:rPr>
                  </w:pPr>
                  <w:r>
                    <w:rPr>
                      <w:rFonts w:hint="eastAsia"/>
                      <w:color w:val="auto"/>
                      <w:sz w:val="21"/>
                      <w:lang w:eastAsia="zh-CN"/>
                    </w:rPr>
                    <w:t>S</w:t>
                  </w:r>
                  <w:r>
                    <w:rPr>
                      <w:rFonts w:hint="eastAsia"/>
                      <w:color w:val="auto"/>
                      <w:sz w:val="21"/>
                      <w:vertAlign w:val="subscript"/>
                      <w:lang w:val="en-US" w:eastAsia="zh-CN"/>
                    </w:rPr>
                    <w:t>9</w:t>
                  </w:r>
                </w:p>
              </w:tc>
            </w:tr>
            <w:tr w14:paraId="35AF5B0F">
              <w:trPr>
                <w:trHeight w:val="497" w:hRule="exact"/>
                <w:jc w:val="center"/>
              </w:trPr>
              <w:tc>
                <w:tcPr>
                  <w:tcW w:w="395" w:type="pct"/>
                  <w:vMerge w:val="continue"/>
                  <w:noWrap w:val="0"/>
                  <w:vAlign w:val="center"/>
                </w:tcPr>
                <w:p w14:paraId="75B50D2D">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rPr>
                  </w:pPr>
                </w:p>
              </w:tc>
              <w:tc>
                <w:tcPr>
                  <w:tcW w:w="576" w:type="pct"/>
                  <w:vMerge w:val="continue"/>
                  <w:noWrap w:val="0"/>
                  <w:vAlign w:val="center"/>
                </w:tcPr>
                <w:p w14:paraId="61C7EFD4">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rPr>
                  </w:pPr>
                </w:p>
              </w:tc>
              <w:tc>
                <w:tcPr>
                  <w:tcW w:w="1006" w:type="pct"/>
                  <w:noWrap w:val="0"/>
                  <w:vAlign w:val="center"/>
                </w:tcPr>
                <w:p w14:paraId="51B0648D">
                  <w:pPr>
                    <w:pStyle w:val="17"/>
                    <w:spacing w:line="240" w:lineRule="auto"/>
                    <w:ind w:left="0" w:leftChars="0" w:firstLine="0" w:firstLineChars="0"/>
                    <w:jc w:val="center"/>
                    <w:rPr>
                      <w:rFonts w:ascii="Times New Roman" w:hAnsi="Times New Roman" w:eastAsia="宋体" w:cs="Times New Roman"/>
                      <w:b w:val="0"/>
                      <w:color w:val="auto"/>
                      <w:kern w:val="2"/>
                      <w:sz w:val="21"/>
                      <w:szCs w:val="18"/>
                      <w:lang w:val="en-US" w:eastAsia="zh-CN" w:bidi="ar-SA"/>
                    </w:rPr>
                  </w:pPr>
                  <w:r>
                    <w:rPr>
                      <w:rFonts w:hint="eastAsia" w:ascii="Times New Roman" w:hAnsi="Times New Roman" w:eastAsia="宋体" w:cs="Times New Roman"/>
                      <w:b w:val="0"/>
                      <w:color w:val="auto"/>
                      <w:sz w:val="21"/>
                      <w:szCs w:val="18"/>
                    </w:rPr>
                    <w:t>废活性炭</w:t>
                  </w:r>
                </w:p>
              </w:tc>
              <w:tc>
                <w:tcPr>
                  <w:tcW w:w="989" w:type="pct"/>
                  <w:noWrap w:val="0"/>
                  <w:vAlign w:val="center"/>
                </w:tcPr>
                <w:p w14:paraId="17EA017E">
                  <w:pPr>
                    <w:adjustRightInd w:val="0"/>
                    <w:snapToGrid w:val="0"/>
                    <w:jc w:val="center"/>
                    <w:rPr>
                      <w:rFonts w:hint="eastAsia" w:ascii="Times New Roman" w:hAnsi="Times New Roman" w:eastAsia="宋体"/>
                      <w:color w:val="auto"/>
                      <w:kern w:val="2"/>
                      <w:sz w:val="21"/>
                      <w:szCs w:val="18"/>
                      <w:lang w:val="en-US" w:eastAsia="zh-CN" w:bidi="ar-SA"/>
                    </w:rPr>
                  </w:pPr>
                  <w:r>
                    <w:rPr>
                      <w:rFonts w:hint="eastAsia" w:ascii="Times New Roman" w:hAnsi="Times New Roman" w:eastAsia="宋体"/>
                      <w:color w:val="auto"/>
                      <w:sz w:val="21"/>
                      <w:szCs w:val="18"/>
                    </w:rPr>
                    <w:t>有机废气治理</w:t>
                  </w:r>
                </w:p>
              </w:tc>
              <w:tc>
                <w:tcPr>
                  <w:tcW w:w="1328" w:type="pct"/>
                  <w:vMerge w:val="restart"/>
                  <w:noWrap w:val="0"/>
                  <w:vAlign w:val="center"/>
                </w:tcPr>
                <w:p w14:paraId="7BB1F9E9">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 w:val="21"/>
                    </w:rPr>
                  </w:pPr>
                  <w:r>
                    <w:rPr>
                      <w:rFonts w:hint="eastAsia"/>
                      <w:color w:val="auto"/>
                      <w:sz w:val="21"/>
                    </w:rPr>
                    <w:t>委托有危废处置资质单位处置</w:t>
                  </w:r>
                </w:p>
              </w:tc>
              <w:tc>
                <w:tcPr>
                  <w:tcW w:w="705" w:type="pct"/>
                  <w:noWrap w:val="0"/>
                  <w:vAlign w:val="center"/>
                </w:tcPr>
                <w:p w14:paraId="0D1F6107">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color w:val="auto"/>
                      <w:kern w:val="0"/>
                      <w:sz w:val="21"/>
                      <w:szCs w:val="20"/>
                      <w:lang w:val="en-US" w:eastAsia="zh-CN" w:bidi="ar-SA"/>
                    </w:rPr>
                  </w:pPr>
                  <w:r>
                    <w:rPr>
                      <w:rFonts w:hint="eastAsia"/>
                      <w:color w:val="auto"/>
                      <w:sz w:val="21"/>
                      <w:lang w:eastAsia="zh-CN"/>
                    </w:rPr>
                    <w:t>S</w:t>
                  </w:r>
                  <w:r>
                    <w:rPr>
                      <w:rFonts w:hint="eastAsia"/>
                      <w:color w:val="auto"/>
                      <w:sz w:val="21"/>
                      <w:vertAlign w:val="subscript"/>
                      <w:lang w:val="en-US" w:eastAsia="zh-CN"/>
                    </w:rPr>
                    <w:t>10</w:t>
                  </w:r>
                </w:p>
              </w:tc>
            </w:tr>
            <w:tr w14:paraId="65DBEA7E">
              <w:trPr>
                <w:trHeight w:val="627" w:hRule="exact"/>
                <w:jc w:val="center"/>
              </w:trPr>
              <w:tc>
                <w:tcPr>
                  <w:tcW w:w="395" w:type="pct"/>
                  <w:vMerge w:val="continue"/>
                  <w:noWrap w:val="0"/>
                  <w:vAlign w:val="center"/>
                </w:tcPr>
                <w:p w14:paraId="3648422E">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rPr>
                  </w:pPr>
                </w:p>
              </w:tc>
              <w:tc>
                <w:tcPr>
                  <w:tcW w:w="576" w:type="pct"/>
                  <w:vMerge w:val="continue"/>
                  <w:noWrap w:val="0"/>
                  <w:vAlign w:val="center"/>
                </w:tcPr>
                <w:p w14:paraId="7307DEF5">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rPr>
                  </w:pPr>
                </w:p>
              </w:tc>
              <w:tc>
                <w:tcPr>
                  <w:tcW w:w="1006" w:type="pct"/>
                  <w:noWrap w:val="0"/>
                  <w:vAlign w:val="center"/>
                </w:tcPr>
                <w:p w14:paraId="28838488">
                  <w:pPr>
                    <w:pStyle w:val="17"/>
                    <w:spacing w:line="240" w:lineRule="auto"/>
                    <w:ind w:left="0" w:leftChars="0" w:firstLine="0" w:firstLineChars="0"/>
                    <w:jc w:val="center"/>
                    <w:rPr>
                      <w:rFonts w:hint="eastAsia" w:ascii="Times New Roman" w:hAnsi="Times New Roman" w:eastAsia="宋体" w:cs="Times New Roman"/>
                      <w:b w:val="0"/>
                      <w:color w:val="auto"/>
                      <w:kern w:val="2"/>
                      <w:sz w:val="21"/>
                      <w:szCs w:val="18"/>
                      <w:lang w:val="en-US" w:eastAsia="zh-CN" w:bidi="ar-SA"/>
                    </w:rPr>
                  </w:pPr>
                  <w:r>
                    <w:rPr>
                      <w:rFonts w:hint="eastAsia" w:ascii="Times New Roman" w:hAnsi="Times New Roman" w:cs="Times New Roman"/>
                      <w:b w:val="0"/>
                      <w:color w:val="auto"/>
                      <w:sz w:val="21"/>
                      <w:szCs w:val="18"/>
                      <w:lang w:val="en-US" w:eastAsia="zh-CN"/>
                    </w:rPr>
                    <w:t>废包装桶</w:t>
                  </w:r>
                </w:p>
              </w:tc>
              <w:tc>
                <w:tcPr>
                  <w:tcW w:w="989" w:type="pct"/>
                  <w:noWrap w:val="0"/>
                  <w:vAlign w:val="center"/>
                </w:tcPr>
                <w:p w14:paraId="7825C9A0">
                  <w:pPr>
                    <w:keepNext w:val="0"/>
                    <w:keepLines w:val="0"/>
                    <w:suppressLineNumbers w:val="0"/>
                    <w:adjustRightInd w:val="0"/>
                    <w:snapToGrid w:val="0"/>
                    <w:spacing w:before="0" w:beforeAutospacing="0" w:after="0" w:afterAutospacing="0"/>
                    <w:ind w:left="0" w:leftChars="0" w:right="0" w:rightChars="0"/>
                    <w:jc w:val="center"/>
                    <w:rPr>
                      <w:rFonts w:hint="eastAsia" w:eastAsia="宋体"/>
                      <w:color w:val="auto"/>
                      <w:kern w:val="2"/>
                      <w:sz w:val="21"/>
                      <w:szCs w:val="18"/>
                      <w:lang w:val="en-US" w:eastAsia="zh-CN" w:bidi="ar-SA"/>
                    </w:rPr>
                  </w:pPr>
                  <w:r>
                    <w:rPr>
                      <w:rFonts w:hint="eastAsia"/>
                      <w:color w:val="auto"/>
                      <w:szCs w:val="18"/>
                      <w:lang w:val="en-US" w:eastAsia="zh-CN"/>
                    </w:rPr>
                    <w:t>润滑油包装</w:t>
                  </w:r>
                </w:p>
              </w:tc>
              <w:tc>
                <w:tcPr>
                  <w:tcW w:w="1328" w:type="pct"/>
                  <w:vMerge w:val="continue"/>
                  <w:noWrap w:val="0"/>
                  <w:vAlign w:val="center"/>
                </w:tcPr>
                <w:p w14:paraId="47EAFF39">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rPr>
                  </w:pPr>
                </w:p>
              </w:tc>
              <w:tc>
                <w:tcPr>
                  <w:tcW w:w="705" w:type="pct"/>
                  <w:noWrap w:val="0"/>
                  <w:vAlign w:val="center"/>
                </w:tcPr>
                <w:p w14:paraId="4377DBEE">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color w:val="auto"/>
                      <w:kern w:val="0"/>
                      <w:sz w:val="21"/>
                      <w:szCs w:val="20"/>
                      <w:lang w:val="en-US" w:eastAsia="zh-CN" w:bidi="ar-SA"/>
                    </w:rPr>
                  </w:pPr>
                  <w:r>
                    <w:rPr>
                      <w:rFonts w:hint="eastAsia"/>
                      <w:color w:val="auto"/>
                      <w:sz w:val="21"/>
                      <w:lang w:eastAsia="zh-CN"/>
                    </w:rPr>
                    <w:t>S</w:t>
                  </w:r>
                  <w:r>
                    <w:rPr>
                      <w:rFonts w:hint="eastAsia"/>
                      <w:color w:val="auto"/>
                      <w:sz w:val="21"/>
                      <w:vertAlign w:val="subscript"/>
                      <w:lang w:val="en-US" w:eastAsia="zh-CN"/>
                    </w:rPr>
                    <w:t>11</w:t>
                  </w:r>
                </w:p>
              </w:tc>
            </w:tr>
            <w:tr w14:paraId="4CA521D4">
              <w:trPr>
                <w:trHeight w:val="452" w:hRule="exact"/>
                <w:jc w:val="center"/>
              </w:trPr>
              <w:tc>
                <w:tcPr>
                  <w:tcW w:w="395" w:type="pct"/>
                  <w:vMerge w:val="continue"/>
                  <w:noWrap w:val="0"/>
                  <w:vAlign w:val="center"/>
                </w:tcPr>
                <w:p w14:paraId="1F14C973">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rPr>
                  </w:pPr>
                </w:p>
              </w:tc>
              <w:tc>
                <w:tcPr>
                  <w:tcW w:w="576" w:type="pct"/>
                  <w:vMerge w:val="continue"/>
                  <w:noWrap w:val="0"/>
                  <w:vAlign w:val="center"/>
                </w:tcPr>
                <w:p w14:paraId="61268669">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rPr>
                  </w:pPr>
                </w:p>
              </w:tc>
              <w:tc>
                <w:tcPr>
                  <w:tcW w:w="1006" w:type="pct"/>
                  <w:noWrap w:val="0"/>
                  <w:vAlign w:val="center"/>
                </w:tcPr>
                <w:p w14:paraId="097FEF72">
                  <w:pPr>
                    <w:pStyle w:val="17"/>
                    <w:spacing w:line="240" w:lineRule="auto"/>
                    <w:ind w:left="0" w:leftChars="0" w:firstLine="0" w:firstLineChars="0"/>
                    <w:jc w:val="center"/>
                    <w:rPr>
                      <w:rFonts w:hint="default"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废润滑油</w:t>
                  </w:r>
                </w:p>
              </w:tc>
              <w:tc>
                <w:tcPr>
                  <w:tcW w:w="989" w:type="pct"/>
                  <w:noWrap w:val="0"/>
                  <w:vAlign w:val="center"/>
                </w:tcPr>
                <w:p w14:paraId="7D1D1C88">
                  <w:pPr>
                    <w:keepNext w:val="0"/>
                    <w:keepLines w:val="0"/>
                    <w:suppressLineNumbers w:val="0"/>
                    <w:adjustRightInd w:val="0"/>
                    <w:snapToGrid w:val="0"/>
                    <w:spacing w:before="0" w:beforeAutospacing="0" w:after="0" w:afterAutospacing="0"/>
                    <w:ind w:left="0" w:leftChars="0" w:right="0" w:rightChars="0"/>
                    <w:jc w:val="center"/>
                    <w:rPr>
                      <w:rFonts w:hint="default"/>
                      <w:color w:val="auto"/>
                      <w:szCs w:val="18"/>
                      <w:lang w:val="en-US" w:eastAsia="zh-CN"/>
                    </w:rPr>
                  </w:pPr>
                  <w:r>
                    <w:rPr>
                      <w:rFonts w:hint="eastAsia"/>
                      <w:color w:val="auto"/>
                      <w:szCs w:val="18"/>
                      <w:lang w:val="en-US" w:eastAsia="zh-CN"/>
                    </w:rPr>
                    <w:t>设备保养</w:t>
                  </w:r>
                </w:p>
              </w:tc>
              <w:tc>
                <w:tcPr>
                  <w:tcW w:w="1328" w:type="pct"/>
                  <w:vMerge w:val="continue"/>
                  <w:noWrap w:val="0"/>
                  <w:vAlign w:val="center"/>
                </w:tcPr>
                <w:p w14:paraId="78B9B1B2">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rPr>
                  </w:pPr>
                </w:p>
              </w:tc>
              <w:tc>
                <w:tcPr>
                  <w:tcW w:w="705" w:type="pct"/>
                  <w:noWrap w:val="0"/>
                  <w:vAlign w:val="center"/>
                </w:tcPr>
                <w:p w14:paraId="59C6DF99">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color w:val="auto"/>
                      <w:kern w:val="0"/>
                      <w:sz w:val="21"/>
                      <w:szCs w:val="20"/>
                      <w:lang w:val="en-US" w:eastAsia="zh-CN" w:bidi="ar-SA"/>
                    </w:rPr>
                  </w:pPr>
                  <w:r>
                    <w:rPr>
                      <w:rFonts w:hint="eastAsia"/>
                      <w:color w:val="auto"/>
                      <w:sz w:val="21"/>
                      <w:lang w:eastAsia="zh-CN"/>
                    </w:rPr>
                    <w:t>S</w:t>
                  </w:r>
                  <w:r>
                    <w:rPr>
                      <w:rFonts w:hint="eastAsia"/>
                      <w:color w:val="auto"/>
                      <w:sz w:val="21"/>
                      <w:vertAlign w:val="subscript"/>
                      <w:lang w:val="en-US" w:eastAsia="zh-CN"/>
                    </w:rPr>
                    <w:t>12</w:t>
                  </w:r>
                </w:p>
              </w:tc>
            </w:tr>
            <w:tr w14:paraId="0A41723E">
              <w:trPr>
                <w:trHeight w:val="452" w:hRule="exact"/>
                <w:jc w:val="center"/>
              </w:trPr>
              <w:tc>
                <w:tcPr>
                  <w:tcW w:w="395" w:type="pct"/>
                  <w:vMerge w:val="continue"/>
                  <w:noWrap w:val="0"/>
                  <w:vAlign w:val="center"/>
                </w:tcPr>
                <w:p w14:paraId="38CB9AF6">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rPr>
                  </w:pPr>
                </w:p>
              </w:tc>
              <w:tc>
                <w:tcPr>
                  <w:tcW w:w="576" w:type="pct"/>
                  <w:vMerge w:val="continue"/>
                  <w:noWrap w:val="0"/>
                  <w:vAlign w:val="center"/>
                </w:tcPr>
                <w:p w14:paraId="1F1E4F6B">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rPr>
                  </w:pPr>
                </w:p>
              </w:tc>
              <w:tc>
                <w:tcPr>
                  <w:tcW w:w="1006" w:type="pct"/>
                  <w:noWrap w:val="0"/>
                  <w:vAlign w:val="center"/>
                </w:tcPr>
                <w:p w14:paraId="7E687BDA">
                  <w:pPr>
                    <w:pStyle w:val="17"/>
                    <w:spacing w:line="240" w:lineRule="auto"/>
                    <w:ind w:left="0" w:leftChars="0" w:firstLine="0" w:firstLineChars="0"/>
                    <w:jc w:val="center"/>
                    <w:rPr>
                      <w:rFonts w:hint="default"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化学品包装材料</w:t>
                  </w:r>
                </w:p>
              </w:tc>
              <w:tc>
                <w:tcPr>
                  <w:tcW w:w="989" w:type="pct"/>
                  <w:noWrap w:val="0"/>
                  <w:vAlign w:val="center"/>
                </w:tcPr>
                <w:p w14:paraId="16885A68">
                  <w:pPr>
                    <w:keepNext w:val="0"/>
                    <w:keepLines w:val="0"/>
                    <w:suppressLineNumbers w:val="0"/>
                    <w:adjustRightInd w:val="0"/>
                    <w:snapToGrid w:val="0"/>
                    <w:spacing w:before="0" w:beforeAutospacing="0" w:after="0" w:afterAutospacing="0"/>
                    <w:ind w:left="0" w:leftChars="0" w:right="0" w:rightChars="0"/>
                    <w:jc w:val="center"/>
                    <w:rPr>
                      <w:rFonts w:hint="default"/>
                      <w:color w:val="auto"/>
                      <w:szCs w:val="18"/>
                      <w:lang w:val="en-US" w:eastAsia="zh-CN"/>
                    </w:rPr>
                  </w:pPr>
                  <w:r>
                    <w:rPr>
                      <w:rFonts w:hint="eastAsia"/>
                      <w:color w:val="auto"/>
                      <w:szCs w:val="18"/>
                      <w:lang w:val="en-US" w:eastAsia="zh-CN"/>
                    </w:rPr>
                    <w:t>化学品包装</w:t>
                  </w:r>
                </w:p>
              </w:tc>
              <w:tc>
                <w:tcPr>
                  <w:tcW w:w="1328" w:type="pct"/>
                  <w:vMerge w:val="continue"/>
                  <w:noWrap w:val="0"/>
                  <w:vAlign w:val="center"/>
                </w:tcPr>
                <w:p w14:paraId="7EE3659B">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rPr>
                  </w:pPr>
                </w:p>
              </w:tc>
              <w:tc>
                <w:tcPr>
                  <w:tcW w:w="705" w:type="pct"/>
                  <w:noWrap w:val="0"/>
                  <w:vAlign w:val="center"/>
                </w:tcPr>
                <w:p w14:paraId="5C2156BF">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auto"/>
                      <w:sz w:val="21"/>
                      <w:lang w:val="en-US" w:eastAsia="zh-CN"/>
                    </w:rPr>
                  </w:pPr>
                  <w:r>
                    <w:rPr>
                      <w:rFonts w:hint="eastAsia"/>
                      <w:color w:val="auto"/>
                      <w:sz w:val="21"/>
                      <w:lang w:eastAsia="zh-CN"/>
                    </w:rPr>
                    <w:t>S</w:t>
                  </w:r>
                  <w:r>
                    <w:rPr>
                      <w:rFonts w:hint="eastAsia"/>
                      <w:color w:val="auto"/>
                      <w:sz w:val="21"/>
                      <w:vertAlign w:val="subscript"/>
                      <w:lang w:val="en-US" w:eastAsia="zh-CN"/>
                    </w:rPr>
                    <w:t>13</w:t>
                  </w:r>
                </w:p>
              </w:tc>
            </w:tr>
            <w:tr w14:paraId="713F63B3">
              <w:trPr>
                <w:trHeight w:val="677" w:hRule="exact"/>
                <w:jc w:val="center"/>
              </w:trPr>
              <w:tc>
                <w:tcPr>
                  <w:tcW w:w="395" w:type="pct"/>
                  <w:vMerge w:val="continue"/>
                  <w:noWrap w:val="0"/>
                  <w:vAlign w:val="center"/>
                </w:tcPr>
                <w:p w14:paraId="36EBD692">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rPr>
                  </w:pPr>
                </w:p>
              </w:tc>
              <w:tc>
                <w:tcPr>
                  <w:tcW w:w="576" w:type="pct"/>
                  <w:vMerge w:val="continue"/>
                  <w:noWrap w:val="0"/>
                  <w:vAlign w:val="center"/>
                </w:tcPr>
                <w:p w14:paraId="03FA3ED9">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rPr>
                  </w:pPr>
                </w:p>
              </w:tc>
              <w:tc>
                <w:tcPr>
                  <w:tcW w:w="1006" w:type="pct"/>
                  <w:noWrap w:val="0"/>
                  <w:vAlign w:val="center"/>
                </w:tcPr>
                <w:p w14:paraId="5008BE07">
                  <w:pPr>
                    <w:pStyle w:val="17"/>
                    <w:spacing w:line="240" w:lineRule="auto"/>
                    <w:ind w:left="0" w:leftChars="0" w:firstLine="0" w:firstLineChars="0"/>
                    <w:jc w:val="center"/>
                    <w:rPr>
                      <w:rFonts w:hint="eastAsia" w:ascii="Times New Roman" w:hAnsi="Times New Roman" w:eastAsia="宋体" w:cs="Times New Roman"/>
                      <w:b w:val="0"/>
                      <w:color w:val="auto"/>
                      <w:kern w:val="2"/>
                      <w:sz w:val="21"/>
                      <w:szCs w:val="18"/>
                      <w:lang w:val="en-US" w:eastAsia="zh-CN" w:bidi="ar-SA"/>
                    </w:rPr>
                  </w:pPr>
                  <w:r>
                    <w:rPr>
                      <w:rFonts w:hint="eastAsia" w:ascii="Times New Roman" w:hAnsi="Times New Roman" w:eastAsia="宋体" w:cs="Times New Roman"/>
                      <w:b w:val="0"/>
                      <w:color w:val="auto"/>
                      <w:sz w:val="21"/>
                      <w:szCs w:val="18"/>
                      <w:lang w:val="en-US" w:eastAsia="zh-CN"/>
                    </w:rPr>
                    <w:t>废弃的含油抹布、劳保用品</w:t>
                  </w:r>
                </w:p>
              </w:tc>
              <w:tc>
                <w:tcPr>
                  <w:tcW w:w="989" w:type="pct"/>
                  <w:noWrap w:val="0"/>
                  <w:vAlign w:val="center"/>
                </w:tcPr>
                <w:p w14:paraId="4F29217F">
                  <w:pPr>
                    <w:adjustRightInd w:val="0"/>
                    <w:snapToGrid w:val="0"/>
                    <w:jc w:val="center"/>
                    <w:rPr>
                      <w:rFonts w:hint="default" w:ascii="Times New Roman" w:hAnsi="Times New Roman" w:eastAsia="宋体"/>
                      <w:color w:val="auto"/>
                      <w:kern w:val="2"/>
                      <w:sz w:val="21"/>
                      <w:szCs w:val="18"/>
                      <w:lang w:val="en-US" w:eastAsia="zh-CN" w:bidi="ar-SA"/>
                    </w:rPr>
                  </w:pPr>
                  <w:r>
                    <w:rPr>
                      <w:rFonts w:hint="eastAsia" w:ascii="Times New Roman" w:hAnsi="Times New Roman" w:eastAsia="宋体"/>
                      <w:color w:val="auto"/>
                      <w:sz w:val="21"/>
                      <w:szCs w:val="18"/>
                      <w:lang w:val="en-US" w:eastAsia="zh-CN"/>
                    </w:rPr>
                    <w:t>设备维修保养</w:t>
                  </w:r>
                </w:p>
              </w:tc>
              <w:tc>
                <w:tcPr>
                  <w:tcW w:w="1328" w:type="pct"/>
                  <w:vMerge w:val="continue"/>
                  <w:noWrap w:val="0"/>
                  <w:vAlign w:val="center"/>
                </w:tcPr>
                <w:p w14:paraId="31B1C833">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kern w:val="0"/>
                      <w:sz w:val="21"/>
                      <w:szCs w:val="20"/>
                      <w:lang w:val="en-US" w:eastAsia="zh-CN" w:bidi="ar-SA"/>
                    </w:rPr>
                  </w:pPr>
                </w:p>
              </w:tc>
              <w:tc>
                <w:tcPr>
                  <w:tcW w:w="705" w:type="pct"/>
                  <w:noWrap w:val="0"/>
                  <w:vAlign w:val="center"/>
                </w:tcPr>
                <w:p w14:paraId="36049DE1">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color w:val="auto"/>
                      <w:kern w:val="0"/>
                      <w:sz w:val="21"/>
                      <w:szCs w:val="20"/>
                      <w:lang w:val="en-US" w:eastAsia="zh-CN" w:bidi="ar-SA"/>
                    </w:rPr>
                  </w:pPr>
                  <w:r>
                    <w:rPr>
                      <w:rFonts w:hint="eastAsia"/>
                      <w:color w:val="auto"/>
                      <w:sz w:val="21"/>
                      <w:lang w:eastAsia="zh-CN"/>
                    </w:rPr>
                    <w:t>S</w:t>
                  </w:r>
                  <w:r>
                    <w:rPr>
                      <w:rFonts w:hint="eastAsia"/>
                      <w:color w:val="auto"/>
                      <w:sz w:val="21"/>
                      <w:vertAlign w:val="subscript"/>
                      <w:lang w:val="en-US" w:eastAsia="zh-CN"/>
                    </w:rPr>
                    <w:t>14</w:t>
                  </w:r>
                </w:p>
              </w:tc>
            </w:tr>
            <w:tr w14:paraId="39D4BF58">
              <w:trPr>
                <w:trHeight w:val="397" w:hRule="exact"/>
                <w:jc w:val="center"/>
              </w:trPr>
              <w:tc>
                <w:tcPr>
                  <w:tcW w:w="395" w:type="pct"/>
                  <w:vMerge w:val="continue"/>
                  <w:noWrap w:val="0"/>
                  <w:vAlign w:val="center"/>
                </w:tcPr>
                <w:p w14:paraId="0A0B7862">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rPr>
                  </w:pPr>
                </w:p>
              </w:tc>
              <w:tc>
                <w:tcPr>
                  <w:tcW w:w="576" w:type="pct"/>
                  <w:vMerge w:val="continue"/>
                  <w:noWrap w:val="0"/>
                  <w:vAlign w:val="center"/>
                </w:tcPr>
                <w:p w14:paraId="2E20864F">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rPr>
                  </w:pPr>
                </w:p>
              </w:tc>
              <w:tc>
                <w:tcPr>
                  <w:tcW w:w="1006" w:type="pct"/>
                  <w:noWrap w:val="0"/>
                  <w:vAlign w:val="center"/>
                </w:tcPr>
                <w:p w14:paraId="045CE0A0">
                  <w:pPr>
                    <w:pStyle w:val="17"/>
                    <w:spacing w:line="240" w:lineRule="auto"/>
                    <w:ind w:left="0" w:leftChars="0" w:firstLine="0" w:firstLineChars="0"/>
                    <w:jc w:val="center"/>
                    <w:rPr>
                      <w:rFonts w:hint="default" w:ascii="Times New Roman" w:hAnsi="Times New Roman" w:eastAsia="宋体" w:cs="Times New Roman"/>
                      <w:b w:val="0"/>
                      <w:color w:val="auto"/>
                      <w:kern w:val="2"/>
                      <w:sz w:val="21"/>
                      <w:szCs w:val="18"/>
                      <w:lang w:val="en-US" w:eastAsia="zh-CN" w:bidi="ar-SA"/>
                    </w:rPr>
                  </w:pPr>
                  <w:r>
                    <w:rPr>
                      <w:rFonts w:hint="eastAsia" w:ascii="Times New Roman" w:hAnsi="Times New Roman" w:eastAsia="宋体" w:cs="Times New Roman"/>
                      <w:b w:val="0"/>
                      <w:color w:val="auto"/>
                      <w:sz w:val="21"/>
                      <w:szCs w:val="18"/>
                    </w:rPr>
                    <w:t>生活垃圾</w:t>
                  </w:r>
                </w:p>
              </w:tc>
              <w:tc>
                <w:tcPr>
                  <w:tcW w:w="989" w:type="pct"/>
                  <w:noWrap w:val="0"/>
                  <w:vAlign w:val="center"/>
                </w:tcPr>
                <w:p w14:paraId="44A4236A">
                  <w:pPr>
                    <w:adjustRightInd w:val="0"/>
                    <w:snapToGrid w:val="0"/>
                    <w:jc w:val="center"/>
                    <w:rPr>
                      <w:rFonts w:hint="default" w:ascii="Times New Roman" w:hAnsi="Times New Roman" w:eastAsia="宋体"/>
                      <w:color w:val="auto"/>
                      <w:kern w:val="2"/>
                      <w:sz w:val="21"/>
                      <w:szCs w:val="18"/>
                      <w:lang w:val="en-US" w:eastAsia="zh-CN" w:bidi="ar-SA"/>
                    </w:rPr>
                  </w:pPr>
                  <w:r>
                    <w:rPr>
                      <w:rFonts w:hint="eastAsia" w:ascii="Times New Roman" w:hAnsi="Times New Roman" w:eastAsia="宋体"/>
                      <w:color w:val="auto"/>
                      <w:sz w:val="21"/>
                      <w:szCs w:val="18"/>
                    </w:rPr>
                    <w:t>员工工作生活</w:t>
                  </w:r>
                </w:p>
              </w:tc>
              <w:tc>
                <w:tcPr>
                  <w:tcW w:w="1328" w:type="pct"/>
                  <w:noWrap w:val="0"/>
                  <w:vAlign w:val="center"/>
                </w:tcPr>
                <w:p w14:paraId="646B222F">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 w:val="21"/>
                    </w:rPr>
                  </w:pPr>
                  <w:r>
                    <w:rPr>
                      <w:rFonts w:hint="eastAsia"/>
                      <w:color w:val="auto"/>
                      <w:sz w:val="21"/>
                    </w:rPr>
                    <w:t>环卫部门统一清运</w:t>
                  </w:r>
                </w:p>
              </w:tc>
              <w:tc>
                <w:tcPr>
                  <w:tcW w:w="705" w:type="pct"/>
                  <w:noWrap w:val="0"/>
                  <w:vAlign w:val="center"/>
                </w:tcPr>
                <w:p w14:paraId="1114DB14">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color w:val="auto"/>
                      <w:kern w:val="0"/>
                      <w:sz w:val="21"/>
                      <w:szCs w:val="20"/>
                      <w:lang w:val="en-US" w:eastAsia="zh-CN" w:bidi="ar-SA"/>
                    </w:rPr>
                  </w:pPr>
                  <w:r>
                    <w:rPr>
                      <w:rFonts w:hint="eastAsia"/>
                      <w:color w:val="auto"/>
                      <w:sz w:val="21"/>
                      <w:lang w:eastAsia="zh-CN"/>
                    </w:rPr>
                    <w:t>S</w:t>
                  </w:r>
                  <w:r>
                    <w:rPr>
                      <w:rFonts w:hint="eastAsia"/>
                      <w:color w:val="auto"/>
                      <w:sz w:val="21"/>
                      <w:vertAlign w:val="subscript"/>
                      <w:lang w:val="en-US" w:eastAsia="zh-CN"/>
                    </w:rPr>
                    <w:t>15</w:t>
                  </w:r>
                </w:p>
              </w:tc>
            </w:tr>
          </w:tbl>
          <w:p w14:paraId="1FC571D9">
            <w:pPr>
              <w:adjustRightInd w:val="0"/>
              <w:snapToGrid w:val="0"/>
              <w:rPr>
                <w:rFonts w:ascii="宋体" w:hAnsi="宋体"/>
                <w:bCs/>
                <w:color w:val="auto"/>
                <w:szCs w:val="21"/>
              </w:rPr>
            </w:pPr>
          </w:p>
        </w:tc>
      </w:tr>
      <w:tr w14:paraId="50CC49A4">
        <w:trPr>
          <w:trHeight w:val="13229" w:hRule="atLeast"/>
          <w:jc w:val="center"/>
        </w:trPr>
        <w:tc>
          <w:tcPr>
            <w:tcW w:w="823" w:type="dxa"/>
            <w:noWrap w:val="0"/>
            <w:vAlign w:val="center"/>
          </w:tcPr>
          <w:p w14:paraId="1B4620B9">
            <w:pPr>
              <w:pStyle w:val="14"/>
              <w:adjustRightInd w:val="0"/>
              <w:snapToGrid w:val="0"/>
              <w:spacing w:before="0" w:beforeAutospacing="0" w:after="0" w:afterAutospacing="0"/>
              <w:jc w:val="center"/>
              <w:rPr>
                <w:rFonts w:cs="宋体"/>
                <w:color w:val="auto"/>
                <w:sz w:val="21"/>
                <w:szCs w:val="21"/>
              </w:rPr>
            </w:pPr>
            <w:r>
              <w:rPr>
                <w:rFonts w:hint="eastAsia" w:cs="宋体"/>
                <w:bCs/>
                <w:color w:val="auto"/>
                <w:kern w:val="2"/>
                <w:sz w:val="21"/>
                <w:szCs w:val="21"/>
              </w:rPr>
              <w:t>与项目有关的原有环境污染问题</w:t>
            </w:r>
          </w:p>
        </w:tc>
        <w:tc>
          <w:tcPr>
            <w:tcW w:w="8161" w:type="dxa"/>
            <w:noWrap w:val="0"/>
            <w:vAlign w:val="top"/>
          </w:tcPr>
          <w:p w14:paraId="09BD627C">
            <w:pPr>
              <w:adjustRightInd w:val="0"/>
              <w:snapToGrid w:val="0"/>
              <w:spacing w:line="500" w:lineRule="exact"/>
              <w:ind w:firstLine="480" w:firstLineChars="200"/>
              <w:rPr>
                <w:rFonts w:ascii="宋体" w:hAnsi="宋体"/>
                <w:bCs/>
                <w:color w:val="auto"/>
                <w:szCs w:val="21"/>
              </w:rPr>
            </w:pPr>
            <w:r>
              <w:rPr>
                <w:rFonts w:hint="eastAsia"/>
                <w:color w:val="auto"/>
                <w:sz w:val="24"/>
                <w:lang w:val="en-US" w:eastAsia="zh-CN"/>
              </w:rPr>
              <w:t>本项目为新建项目，选址于江苏涟水经济开发区，购置涟水经济开发区兴旺路28号</w:t>
            </w:r>
            <w:r>
              <w:rPr>
                <w:rFonts w:hint="eastAsia" w:cs="Times New Roman"/>
                <w:color w:val="auto"/>
                <w:sz w:val="24"/>
                <w:szCs w:val="24"/>
                <w:lang w:val="en-US" w:eastAsia="zh-CN"/>
              </w:rPr>
              <w:t>（兴旺路北侧、高坚科技东侧）</w:t>
            </w:r>
            <w:r>
              <w:rPr>
                <w:rFonts w:hint="eastAsia"/>
                <w:color w:val="auto"/>
                <w:sz w:val="24"/>
                <w:lang w:val="en-US" w:eastAsia="zh-CN"/>
              </w:rPr>
              <w:t>工业用地</w:t>
            </w:r>
            <w:r>
              <w:rPr>
                <w:rFonts w:hint="eastAsia" w:cs="Times New Roman"/>
                <w:color w:val="auto"/>
                <w:sz w:val="24"/>
                <w:szCs w:val="24"/>
                <w:lang w:val="en-US" w:eastAsia="zh-CN"/>
              </w:rPr>
              <w:t>新建生产厂房及辅助用房用于淮安挑战者饮料有限公司饮料生产项目（不含碳酸饮料和酒）建设</w:t>
            </w:r>
            <w:r>
              <w:rPr>
                <w:rFonts w:hint="eastAsia" w:ascii="Times New Roman" w:hAnsi="Times New Roman" w:eastAsia="宋体" w:cs="Times New Roman"/>
                <w:color w:val="auto"/>
                <w:sz w:val="24"/>
                <w:szCs w:val="24"/>
                <w:lang w:eastAsia="zh-CN"/>
              </w:rPr>
              <w:t>，</w:t>
            </w:r>
            <w:r>
              <w:rPr>
                <w:rFonts w:hint="eastAsia" w:cs="Times New Roman"/>
                <w:color w:val="auto"/>
                <w:sz w:val="24"/>
                <w:szCs w:val="24"/>
                <w:lang w:val="en-US" w:eastAsia="zh-CN"/>
              </w:rPr>
              <w:t>厂房</w:t>
            </w:r>
            <w:r>
              <w:rPr>
                <w:rFonts w:hint="eastAsia"/>
                <w:color w:val="auto"/>
                <w:sz w:val="24"/>
              </w:rPr>
              <w:t>占地面积</w:t>
            </w:r>
            <w:r>
              <w:rPr>
                <w:rFonts w:hint="eastAsia"/>
                <w:color w:val="auto"/>
                <w:sz w:val="24"/>
                <w:lang w:val="en-US" w:eastAsia="zh-CN"/>
              </w:rPr>
              <w:t>19442</w:t>
            </w:r>
            <w:r>
              <w:rPr>
                <w:rFonts w:hint="eastAsia"/>
                <w:color w:val="auto"/>
                <w:sz w:val="24"/>
              </w:rPr>
              <w:t>m</w:t>
            </w:r>
            <w:r>
              <w:rPr>
                <w:rFonts w:hint="eastAsia"/>
                <w:color w:val="auto"/>
                <w:sz w:val="24"/>
                <w:vertAlign w:val="superscript"/>
              </w:rPr>
              <w:t>2</w:t>
            </w:r>
            <w:r>
              <w:rPr>
                <w:rFonts w:hint="eastAsia"/>
                <w:color w:val="auto"/>
                <w:sz w:val="24"/>
              </w:rPr>
              <w:t>，</w:t>
            </w:r>
            <w:r>
              <w:rPr>
                <w:rFonts w:hint="eastAsia"/>
                <w:color w:val="auto"/>
                <w:sz w:val="24"/>
                <w:lang w:val="en-US" w:eastAsia="zh-CN"/>
              </w:rPr>
              <w:t>建筑面积12000</w:t>
            </w:r>
            <w:r>
              <w:rPr>
                <w:rFonts w:hint="eastAsia"/>
                <w:color w:val="auto"/>
                <w:sz w:val="24"/>
              </w:rPr>
              <w:t>m</w:t>
            </w:r>
            <w:r>
              <w:rPr>
                <w:rFonts w:hint="eastAsia"/>
                <w:color w:val="auto"/>
                <w:sz w:val="24"/>
                <w:vertAlign w:val="superscript"/>
              </w:rPr>
              <w:t>2</w:t>
            </w:r>
            <w:r>
              <w:rPr>
                <w:rFonts w:hint="eastAsia" w:ascii="Times New Roman" w:hAnsi="Times New Roman" w:eastAsia="宋体" w:cs="Times New Roman"/>
                <w:color w:val="auto"/>
                <w:sz w:val="24"/>
                <w:szCs w:val="24"/>
                <w:lang w:val="en-US" w:eastAsia="zh-CN"/>
              </w:rPr>
              <w:t>，</w:t>
            </w:r>
            <w:r>
              <w:rPr>
                <w:rFonts w:hint="eastAsia"/>
                <w:color w:val="auto"/>
                <w:sz w:val="24"/>
              </w:rPr>
              <w:t>项目所在地无原有污染及遗留环境问题。</w:t>
            </w:r>
          </w:p>
        </w:tc>
      </w:tr>
    </w:tbl>
    <w:p w14:paraId="0B30F69C">
      <w:pPr>
        <w:pStyle w:val="14"/>
        <w:jc w:val="center"/>
        <w:rPr>
          <w:rFonts w:ascii="黑体" w:hAnsi="黑体" w:eastAsia="黑体"/>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2A06C265">
      <w:pPr>
        <w:pStyle w:val="14"/>
        <w:adjustRightInd w:val="0"/>
        <w:snapToGrid w:val="0"/>
        <w:spacing w:before="0" w:beforeAutospacing="0" w:after="0" w:afterAutospacing="0" w:line="14" w:lineRule="auto"/>
        <w:jc w:val="center"/>
        <w:outlineLvl w:val="0"/>
        <w:rPr>
          <w:rFonts w:hint="eastAsia" w:ascii="黑体" w:hAnsi="黑体" w:eastAsia="黑体"/>
          <w:snapToGrid w:val="0"/>
          <w:color w:val="auto"/>
          <w:sz w:val="30"/>
          <w:szCs w:val="30"/>
        </w:rPr>
      </w:pPr>
    </w:p>
    <w:p w14:paraId="692ECB49">
      <w:pPr>
        <w:pStyle w:val="14"/>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三、区域环境质量现状、环境保护目标及评价标准</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5"/>
        <w:gridCol w:w="8636"/>
      </w:tblGrid>
      <w:tr w14:paraId="5C61D360">
        <w:trPr>
          <w:trHeight w:val="1106" w:hRule="atLeast"/>
          <w:jc w:val="center"/>
        </w:trPr>
        <w:tc>
          <w:tcPr>
            <w:tcW w:w="800" w:type="dxa"/>
            <w:noWrap w:val="0"/>
            <w:vAlign w:val="center"/>
          </w:tcPr>
          <w:p w14:paraId="314013F0">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区域</w:t>
            </w:r>
          </w:p>
          <w:p w14:paraId="036A8846">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环境</w:t>
            </w:r>
          </w:p>
          <w:p w14:paraId="0C158A3B">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质量</w:t>
            </w:r>
          </w:p>
          <w:p w14:paraId="3265DC02">
            <w:pPr>
              <w:adjustRightInd w:val="0"/>
              <w:snapToGrid w:val="0"/>
              <w:jc w:val="center"/>
              <w:rPr>
                <w:rFonts w:ascii="宋体" w:hAnsi="宋体" w:cs="宋体"/>
                <w:color w:val="auto"/>
                <w:kern w:val="0"/>
                <w:szCs w:val="21"/>
              </w:rPr>
            </w:pPr>
            <w:r>
              <w:rPr>
                <w:rFonts w:hint="eastAsia" w:ascii="宋体" w:hAnsi="宋体" w:cs="宋体"/>
                <w:color w:val="auto"/>
                <w:kern w:val="0"/>
                <w:szCs w:val="21"/>
              </w:rPr>
              <w:t>现状</w:t>
            </w:r>
          </w:p>
        </w:tc>
        <w:tc>
          <w:tcPr>
            <w:tcW w:w="8190" w:type="dxa"/>
            <w:noWrap w:val="0"/>
            <w:vAlign w:val="center"/>
          </w:tcPr>
          <w:p w14:paraId="478A9A82">
            <w:pPr>
              <w:keepNext w:val="0"/>
              <w:keepLines w:val="0"/>
              <w:pageBreakBefore w:val="0"/>
              <w:numPr>
                <w:ilvl w:val="0"/>
                <w:numId w:val="19"/>
              </w:numPr>
              <w:kinsoku/>
              <w:wordWrap/>
              <w:overflowPunct/>
              <w:topLinePunct w:val="0"/>
              <w:bidi w:val="0"/>
              <w:spacing w:line="360" w:lineRule="auto"/>
              <w:ind w:firstLine="480" w:firstLineChars="200"/>
              <w:jc w:val="left"/>
              <w:textAlignment w:val="auto"/>
              <w:rPr>
                <w:rFonts w:ascii="Times New Roman" w:hAnsi="Times New Roman"/>
                <w:b w:val="0"/>
                <w:bCs w:val="0"/>
                <w:color w:val="auto"/>
                <w:sz w:val="24"/>
              </w:rPr>
            </w:pPr>
            <w:r>
              <w:rPr>
                <w:rFonts w:ascii="Times New Roman" w:hAnsi="Times New Roman"/>
                <w:b w:val="0"/>
                <w:bCs w:val="0"/>
                <w:color w:val="auto"/>
                <w:sz w:val="24"/>
              </w:rPr>
              <w:t>大气环境</w:t>
            </w:r>
            <w:r>
              <w:rPr>
                <w:rFonts w:hint="eastAsia" w:ascii="Times New Roman" w:hAnsi="Times New Roman"/>
                <w:b w:val="0"/>
                <w:bCs w:val="0"/>
                <w:color w:val="auto"/>
                <w:sz w:val="24"/>
              </w:rPr>
              <w:t>质量</w:t>
            </w:r>
            <w:r>
              <w:rPr>
                <w:rFonts w:ascii="Times New Roman" w:hAnsi="Times New Roman"/>
                <w:b w:val="0"/>
                <w:bCs w:val="0"/>
                <w:color w:val="auto"/>
                <w:sz w:val="24"/>
              </w:rPr>
              <w:t>现状</w:t>
            </w:r>
          </w:p>
          <w:p w14:paraId="04348FCC">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color w:val="auto"/>
                <w:sz w:val="24"/>
              </w:rPr>
              <w:t>本项目位于</w:t>
            </w:r>
            <w:r>
              <w:rPr>
                <w:rFonts w:hint="eastAsia"/>
                <w:color w:val="auto"/>
                <w:sz w:val="24"/>
              </w:rPr>
              <w:t>淮安市</w:t>
            </w:r>
            <w:r>
              <w:rPr>
                <w:rFonts w:hint="eastAsia"/>
                <w:color w:val="auto"/>
                <w:sz w:val="24"/>
                <w:lang w:eastAsia="zh-CN"/>
              </w:rPr>
              <w:t>涟水县</w:t>
            </w:r>
            <w:r>
              <w:rPr>
                <w:rFonts w:hint="eastAsia"/>
                <w:color w:val="auto"/>
                <w:sz w:val="24"/>
                <w:lang w:val="en-US" w:eastAsia="zh-CN"/>
              </w:rPr>
              <w:t>经济开发区</w:t>
            </w:r>
            <w:r>
              <w:rPr>
                <w:color w:val="auto"/>
                <w:sz w:val="24"/>
              </w:rPr>
              <w:t>，</w:t>
            </w:r>
            <w:r>
              <w:rPr>
                <w:rFonts w:hint="eastAsia"/>
                <w:color w:val="auto"/>
                <w:sz w:val="24"/>
              </w:rPr>
              <w:t>项目</w:t>
            </w:r>
            <w:r>
              <w:rPr>
                <w:rFonts w:hint="eastAsia"/>
                <w:color w:val="auto"/>
                <w:sz w:val="24"/>
                <w:lang w:eastAsia="zh-CN"/>
              </w:rPr>
              <w:t>所在</w:t>
            </w:r>
            <w:r>
              <w:rPr>
                <w:rFonts w:hint="eastAsia"/>
                <w:color w:val="auto"/>
                <w:sz w:val="24"/>
              </w:rPr>
              <w:t>区域为环境空气二类功能区，执行《环境空气质量标准》（</w:t>
            </w:r>
            <w:r>
              <w:rPr>
                <w:color w:val="auto"/>
                <w:sz w:val="24"/>
              </w:rPr>
              <w:t>GB3095-2012</w:t>
            </w:r>
            <w:r>
              <w:rPr>
                <w:rFonts w:hint="eastAsia"/>
                <w:color w:val="auto"/>
                <w:sz w:val="24"/>
              </w:rPr>
              <w:t>）及其修改单中二级标准。</w:t>
            </w:r>
            <w:r>
              <w:rPr>
                <w:rFonts w:hint="default" w:ascii="Times New Roman" w:hAnsi="Times New Roman" w:cs="Times New Roman"/>
                <w:color w:val="auto"/>
                <w:sz w:val="24"/>
              </w:rPr>
              <w:t>根据《</w:t>
            </w:r>
            <w:r>
              <w:rPr>
                <w:rFonts w:hint="eastAsia" w:cs="Times New Roman"/>
                <w:color w:val="auto"/>
                <w:sz w:val="24"/>
                <w:lang w:val="en-US" w:eastAsia="zh-CN"/>
              </w:rPr>
              <w:t>涟水县</w:t>
            </w:r>
            <w:r>
              <w:rPr>
                <w:rFonts w:hint="default" w:ascii="Times New Roman" w:hAnsi="Times New Roman" w:cs="Times New Roman"/>
                <w:color w:val="auto"/>
                <w:sz w:val="24"/>
              </w:rPr>
              <w:t>202</w:t>
            </w:r>
            <w:r>
              <w:rPr>
                <w:rFonts w:hint="eastAsia" w:cs="Times New Roman"/>
                <w:color w:val="auto"/>
                <w:sz w:val="24"/>
                <w:lang w:val="en-US" w:eastAsia="zh-CN"/>
              </w:rPr>
              <w:t>4年度环境质量公告</w:t>
            </w:r>
            <w:r>
              <w:rPr>
                <w:rFonts w:hint="default" w:ascii="Times New Roman" w:hAnsi="Times New Roman" w:cs="Times New Roman"/>
                <w:color w:val="auto"/>
                <w:sz w:val="24"/>
              </w:rPr>
              <w:t>》</w:t>
            </w:r>
            <w:r>
              <w:rPr>
                <w:rFonts w:hint="eastAsia" w:cs="Times New Roman"/>
                <w:color w:val="auto"/>
                <w:sz w:val="24"/>
                <w:lang w:eastAsia="zh-CN"/>
              </w:rPr>
              <w:t>：</w:t>
            </w:r>
            <w:r>
              <w:rPr>
                <w:rFonts w:hint="eastAsia" w:cs="Times New Roman"/>
                <w:color w:val="auto"/>
                <w:sz w:val="24"/>
                <w:lang w:val="en-US" w:eastAsia="zh-CN"/>
              </w:rPr>
              <w:t>2024年</w:t>
            </w:r>
            <w:r>
              <w:rPr>
                <w:rFonts w:hint="eastAsia" w:cs="Times New Roman"/>
                <w:color w:val="auto"/>
                <w:sz w:val="24"/>
                <w:lang w:eastAsia="zh-CN"/>
              </w:rPr>
              <w:t>全</w:t>
            </w:r>
            <w:r>
              <w:rPr>
                <w:rFonts w:hint="eastAsia" w:cs="Times New Roman"/>
                <w:color w:val="auto"/>
                <w:sz w:val="24"/>
                <w:lang w:val="en-US" w:eastAsia="zh-CN"/>
              </w:rPr>
              <w:t>县</w:t>
            </w:r>
            <w:r>
              <w:rPr>
                <w:rFonts w:hint="eastAsia" w:cs="Times New Roman"/>
                <w:color w:val="auto"/>
                <w:sz w:val="24"/>
                <w:lang w:eastAsia="zh-CN"/>
              </w:rPr>
              <w:t>细颗粒物（PM</w:t>
            </w:r>
            <w:r>
              <w:rPr>
                <w:rFonts w:hint="eastAsia" w:cs="Times New Roman"/>
                <w:color w:val="auto"/>
                <w:sz w:val="24"/>
                <w:vertAlign w:val="subscript"/>
                <w:lang w:eastAsia="zh-CN"/>
              </w:rPr>
              <w:t>2.5）</w:t>
            </w:r>
            <w:r>
              <w:rPr>
                <w:rFonts w:hint="eastAsia" w:cs="Times New Roman"/>
                <w:color w:val="auto"/>
                <w:sz w:val="24"/>
                <w:lang w:eastAsia="zh-CN"/>
              </w:rPr>
              <w:t>可吸入颗粒物（PM</w:t>
            </w:r>
            <w:r>
              <w:rPr>
                <w:rFonts w:hint="eastAsia" w:cs="Times New Roman"/>
                <w:color w:val="auto"/>
                <w:sz w:val="24"/>
                <w:vertAlign w:val="subscript"/>
                <w:lang w:eastAsia="zh-CN"/>
              </w:rPr>
              <w:t>10</w:t>
            </w:r>
            <w:r>
              <w:rPr>
                <w:rFonts w:hint="eastAsia" w:cs="Times New Roman"/>
                <w:color w:val="auto"/>
                <w:sz w:val="24"/>
                <w:lang w:eastAsia="zh-CN"/>
              </w:rPr>
              <w:t>）、二氧化硫（SO</w:t>
            </w:r>
            <w:r>
              <w:rPr>
                <w:rFonts w:hint="eastAsia" w:cs="Times New Roman"/>
                <w:color w:val="auto"/>
                <w:sz w:val="24"/>
                <w:vertAlign w:val="subscript"/>
                <w:lang w:eastAsia="zh-CN"/>
              </w:rPr>
              <w:t>2</w:t>
            </w:r>
            <w:r>
              <w:rPr>
                <w:rFonts w:hint="eastAsia" w:cs="Times New Roman"/>
                <w:color w:val="auto"/>
                <w:sz w:val="24"/>
                <w:lang w:eastAsia="zh-CN"/>
              </w:rPr>
              <w:t>）、二氧化氮（NO</w:t>
            </w:r>
            <w:r>
              <w:rPr>
                <w:rFonts w:hint="eastAsia" w:cs="Times New Roman"/>
                <w:color w:val="auto"/>
                <w:sz w:val="24"/>
                <w:vertAlign w:val="subscript"/>
                <w:lang w:eastAsia="zh-CN"/>
              </w:rPr>
              <w:t>2</w:t>
            </w:r>
            <w:r>
              <w:rPr>
                <w:rFonts w:hint="eastAsia" w:cs="Times New Roman"/>
                <w:color w:val="auto"/>
                <w:sz w:val="24"/>
                <w:lang w:eastAsia="zh-CN"/>
              </w:rPr>
              <w:t>）、一氧化碳（CO）和臭氧（O</w:t>
            </w:r>
            <w:r>
              <w:rPr>
                <w:rFonts w:hint="eastAsia" w:cs="Times New Roman"/>
                <w:color w:val="auto"/>
                <w:sz w:val="24"/>
                <w:vertAlign w:val="subscript"/>
                <w:lang w:eastAsia="zh-CN"/>
              </w:rPr>
              <w:t>3</w:t>
            </w:r>
            <w:r>
              <w:rPr>
                <w:rFonts w:hint="eastAsia" w:cs="Times New Roman"/>
                <w:color w:val="auto"/>
                <w:sz w:val="24"/>
                <w:lang w:eastAsia="zh-CN"/>
              </w:rPr>
              <w:t>）浓度年均浓度分别为3</w:t>
            </w:r>
            <w:r>
              <w:rPr>
                <w:rFonts w:hint="eastAsia" w:cs="Times New Roman"/>
                <w:color w:val="auto"/>
                <w:sz w:val="24"/>
                <w:lang w:val="en-US" w:eastAsia="zh-CN"/>
              </w:rPr>
              <w:t>4.8</w:t>
            </w:r>
            <w:r>
              <w:rPr>
                <w:rFonts w:hint="eastAsia" w:cs="Times New Roman"/>
                <w:color w:val="auto"/>
                <w:sz w:val="24"/>
                <w:lang w:eastAsia="zh-CN"/>
              </w:rPr>
              <w:t>微克/立方米、5</w:t>
            </w:r>
            <w:r>
              <w:rPr>
                <w:rFonts w:hint="eastAsia" w:cs="Times New Roman"/>
                <w:color w:val="auto"/>
                <w:sz w:val="24"/>
                <w:lang w:val="en-US" w:eastAsia="zh-CN"/>
              </w:rPr>
              <w:t>8</w:t>
            </w:r>
            <w:r>
              <w:rPr>
                <w:rFonts w:hint="eastAsia" w:cs="Times New Roman"/>
                <w:color w:val="auto"/>
                <w:sz w:val="24"/>
                <w:lang w:eastAsia="zh-CN"/>
              </w:rPr>
              <w:t>微克/立方米、</w:t>
            </w:r>
            <w:r>
              <w:rPr>
                <w:rFonts w:hint="eastAsia" w:cs="Times New Roman"/>
                <w:color w:val="auto"/>
                <w:sz w:val="24"/>
                <w:lang w:val="en-US" w:eastAsia="zh-CN"/>
              </w:rPr>
              <w:t>18</w:t>
            </w:r>
            <w:r>
              <w:rPr>
                <w:rFonts w:hint="eastAsia" w:cs="Times New Roman"/>
                <w:color w:val="auto"/>
                <w:sz w:val="24"/>
                <w:lang w:eastAsia="zh-CN"/>
              </w:rPr>
              <w:t>微克/立方米、25微克/立方米、0.</w:t>
            </w:r>
            <w:r>
              <w:rPr>
                <w:rFonts w:hint="eastAsia" w:cs="Times New Roman"/>
                <w:color w:val="auto"/>
                <w:sz w:val="24"/>
                <w:lang w:val="en-US" w:eastAsia="zh-CN"/>
              </w:rPr>
              <w:t>7</w:t>
            </w:r>
            <w:r>
              <w:rPr>
                <w:rFonts w:hint="eastAsia" w:cs="Times New Roman"/>
                <w:color w:val="auto"/>
                <w:sz w:val="24"/>
                <w:lang w:eastAsia="zh-CN"/>
              </w:rPr>
              <w:t>毫克/立方米、1</w:t>
            </w:r>
            <w:r>
              <w:rPr>
                <w:rFonts w:hint="eastAsia" w:cs="Times New Roman"/>
                <w:color w:val="auto"/>
                <w:sz w:val="24"/>
                <w:lang w:val="en-US" w:eastAsia="zh-CN"/>
              </w:rPr>
              <w:t>05</w:t>
            </w:r>
            <w:r>
              <w:rPr>
                <w:rFonts w:hint="eastAsia" w:cs="Times New Roman"/>
                <w:color w:val="auto"/>
                <w:sz w:val="24"/>
                <w:lang w:eastAsia="zh-CN"/>
              </w:rPr>
              <w:t>微克/立方米。PM</w:t>
            </w:r>
            <w:r>
              <w:rPr>
                <w:rFonts w:hint="eastAsia" w:cs="Times New Roman"/>
                <w:color w:val="auto"/>
                <w:sz w:val="24"/>
                <w:vertAlign w:val="subscript"/>
                <w:lang w:eastAsia="zh-CN"/>
              </w:rPr>
              <w:t>10</w:t>
            </w:r>
            <w:r>
              <w:rPr>
                <w:rFonts w:hint="eastAsia" w:cs="Times New Roman"/>
                <w:color w:val="auto"/>
                <w:sz w:val="24"/>
                <w:lang w:eastAsia="zh-CN"/>
              </w:rPr>
              <w:t>、SO</w:t>
            </w:r>
            <w:r>
              <w:rPr>
                <w:rFonts w:hint="eastAsia" w:cs="Times New Roman"/>
                <w:color w:val="auto"/>
                <w:sz w:val="24"/>
                <w:vertAlign w:val="subscript"/>
                <w:lang w:eastAsia="zh-CN"/>
              </w:rPr>
              <w:t>2</w:t>
            </w:r>
            <w:r>
              <w:rPr>
                <w:rFonts w:hint="eastAsia" w:cs="Times New Roman"/>
                <w:color w:val="auto"/>
                <w:sz w:val="24"/>
                <w:lang w:eastAsia="zh-CN"/>
              </w:rPr>
              <w:t>、CO、O</w:t>
            </w:r>
            <w:r>
              <w:rPr>
                <w:rFonts w:hint="eastAsia" w:cs="Times New Roman"/>
                <w:color w:val="auto"/>
                <w:sz w:val="24"/>
                <w:vertAlign w:val="subscript"/>
                <w:lang w:eastAsia="zh-CN"/>
              </w:rPr>
              <w:t>3</w:t>
            </w:r>
            <w:r>
              <w:rPr>
                <w:rFonts w:hint="eastAsia" w:cs="Times New Roman"/>
                <w:color w:val="auto"/>
                <w:sz w:val="24"/>
                <w:lang w:eastAsia="zh-CN"/>
              </w:rPr>
              <w:t>降幅分别为6.9%、12.5%、10%、3.8%。</w:t>
            </w:r>
            <w:r>
              <w:rPr>
                <w:rFonts w:hint="default" w:ascii="Times New Roman" w:hAnsi="Times New Roman" w:cs="Times New Roman"/>
                <w:color w:val="auto"/>
                <w:sz w:val="24"/>
              </w:rPr>
              <w:t>可吸入颗粒物（PM</w:t>
            </w:r>
            <w:r>
              <w:rPr>
                <w:rFonts w:hint="default" w:ascii="Times New Roman" w:hAnsi="Times New Roman" w:cs="Times New Roman"/>
                <w:color w:val="auto"/>
                <w:sz w:val="24"/>
                <w:vertAlign w:val="subscript"/>
              </w:rPr>
              <w:t>10</w:t>
            </w:r>
            <w:r>
              <w:rPr>
                <w:rFonts w:hint="default" w:ascii="Times New Roman" w:hAnsi="Times New Roman" w:cs="Times New Roman"/>
                <w:color w:val="auto"/>
                <w:sz w:val="24"/>
              </w:rPr>
              <w:t>）、二氧化硫（SO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）、二氧化氮（NO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）、一氧化碳（CO）和臭氧（O</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）浓度均达到国家二级标准限值。因此，202</w:t>
            </w:r>
            <w:r>
              <w:rPr>
                <w:rFonts w:hint="eastAsia" w:cs="Times New Roman"/>
                <w:color w:val="auto"/>
                <w:sz w:val="24"/>
                <w:lang w:val="en-US" w:eastAsia="zh-CN"/>
              </w:rPr>
              <w:t>4</w:t>
            </w:r>
            <w:r>
              <w:rPr>
                <w:rFonts w:hint="default" w:ascii="Times New Roman" w:hAnsi="Times New Roman" w:cs="Times New Roman"/>
                <w:color w:val="auto"/>
                <w:sz w:val="24"/>
              </w:rPr>
              <w:t>年</w:t>
            </w:r>
            <w:r>
              <w:rPr>
                <w:rFonts w:hint="eastAsia" w:cs="Times New Roman"/>
                <w:color w:val="auto"/>
                <w:sz w:val="24"/>
                <w:lang w:val="en-US" w:eastAsia="zh-CN"/>
              </w:rPr>
              <w:t>涟水县</w:t>
            </w:r>
            <w:r>
              <w:rPr>
                <w:rFonts w:hint="default" w:ascii="Times New Roman" w:hAnsi="Times New Roman" w:cs="Times New Roman"/>
                <w:color w:val="auto"/>
                <w:sz w:val="24"/>
              </w:rPr>
              <w:t>环境空气质量为达标区。</w:t>
            </w:r>
          </w:p>
          <w:p w14:paraId="6F1B568A">
            <w:pPr>
              <w:keepNext w:val="0"/>
              <w:keepLines w:val="0"/>
              <w:pageBreakBefore w:val="0"/>
              <w:kinsoku/>
              <w:wordWrap/>
              <w:overflowPunct/>
              <w:topLinePunct w:val="0"/>
              <w:bidi w:val="0"/>
              <w:adjustRightInd w:val="0"/>
              <w:spacing w:line="360" w:lineRule="auto"/>
              <w:ind w:firstLine="480" w:firstLineChars="200"/>
              <w:textAlignment w:val="auto"/>
              <w:rPr>
                <w:b w:val="0"/>
                <w:bCs w:val="0"/>
                <w:color w:val="auto"/>
                <w:sz w:val="24"/>
              </w:rPr>
            </w:pPr>
            <w:r>
              <w:rPr>
                <w:rFonts w:hint="eastAsia"/>
                <w:b w:val="0"/>
                <w:bCs w:val="0"/>
                <w:color w:val="auto"/>
                <w:sz w:val="24"/>
                <w:lang w:eastAsia="zh-CN"/>
              </w:rPr>
              <w:t>2.</w:t>
            </w:r>
            <w:r>
              <w:rPr>
                <w:b w:val="0"/>
                <w:bCs w:val="0"/>
                <w:color w:val="auto"/>
                <w:sz w:val="24"/>
              </w:rPr>
              <w:t>地表水环境质量现状</w:t>
            </w:r>
          </w:p>
          <w:p w14:paraId="538F2344">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本项目废水最终纳污水体为公兴河，公兴河监测断面为头圩渡口，为“十四五”新增省考断面，考核标准为</w:t>
            </w:r>
            <w:r>
              <w:rPr>
                <w:rFonts w:hint="default" w:ascii="Times New Roman" w:hAnsi="Times New Roman" w:cs="Times New Roman"/>
                <w:color w:val="auto"/>
                <w:sz w:val="24"/>
                <w:lang w:val="en-US" w:eastAsia="zh-CN"/>
              </w:rPr>
              <w:t>Ⅳ</w:t>
            </w:r>
            <w:r>
              <w:rPr>
                <w:rFonts w:hint="eastAsia" w:ascii="Times New Roman" w:hAnsi="Times New Roman" w:cs="Times New Roman"/>
                <w:color w:val="auto"/>
                <w:sz w:val="24"/>
                <w:lang w:val="en-US" w:eastAsia="zh-CN"/>
              </w:rPr>
              <w:t>类水。</w:t>
            </w:r>
            <w:r>
              <w:rPr>
                <w:rFonts w:hint="default" w:ascii="Times New Roman" w:hAnsi="Times New Roman" w:cs="Times New Roman"/>
                <w:color w:val="auto"/>
                <w:sz w:val="24"/>
              </w:rPr>
              <w:t>根据《</w:t>
            </w:r>
            <w:r>
              <w:rPr>
                <w:rFonts w:hint="eastAsia" w:ascii="Times New Roman" w:hAnsi="Times New Roman" w:cs="Times New Roman"/>
                <w:color w:val="auto"/>
                <w:sz w:val="24"/>
                <w:lang w:val="en-US" w:eastAsia="zh-CN"/>
              </w:rPr>
              <w:t>涟水县</w:t>
            </w:r>
            <w:r>
              <w:rPr>
                <w:rFonts w:hint="default" w:ascii="Times New Roman" w:hAnsi="Times New Roman" w:cs="Times New Roman"/>
                <w:color w:val="auto"/>
                <w:sz w:val="24"/>
              </w:rPr>
              <w:t>202</w:t>
            </w:r>
            <w:r>
              <w:rPr>
                <w:rFonts w:hint="eastAsia" w:ascii="Times New Roman" w:hAnsi="Times New Roman" w:cs="Times New Roman"/>
                <w:color w:val="auto"/>
                <w:sz w:val="24"/>
                <w:lang w:val="en-US" w:eastAsia="zh-CN"/>
              </w:rPr>
              <w:t>4年度环境质量公告</w:t>
            </w:r>
            <w:r>
              <w:rPr>
                <w:rFonts w:hint="default" w:ascii="Times New Roman" w:hAnsi="Times New Roman" w:cs="Times New Roman"/>
                <w:color w:val="auto"/>
                <w:sz w:val="24"/>
              </w:rPr>
              <w:t>》</w:t>
            </w:r>
            <w:r>
              <w:rPr>
                <w:rFonts w:hint="eastAsia" w:ascii="Times New Roman" w:hAnsi="Times New Roman" w:cs="Times New Roman"/>
                <w:color w:val="auto"/>
                <w:sz w:val="24"/>
                <w:lang w:eastAsia="zh-CN"/>
              </w:rPr>
              <w:t>：2024年监测结果均值显示水质达到</w:t>
            </w:r>
            <w:r>
              <w:rPr>
                <w:rFonts w:hint="default" w:ascii="Times New Roman" w:hAnsi="Times New Roman" w:cs="Times New Roman"/>
                <w:color w:val="auto"/>
                <w:sz w:val="24"/>
                <w:lang w:eastAsia="zh-CN"/>
              </w:rPr>
              <w:t>Ⅳ</w:t>
            </w:r>
            <w:r>
              <w:rPr>
                <w:rFonts w:hint="eastAsia" w:ascii="Times New Roman" w:hAnsi="Times New Roman" w:cs="Times New Roman"/>
                <w:color w:val="auto"/>
                <w:sz w:val="24"/>
                <w:lang w:eastAsia="zh-CN"/>
              </w:rPr>
              <w:t>类水标准。</w:t>
            </w:r>
          </w:p>
          <w:p w14:paraId="24892A88">
            <w:pPr>
              <w:keepNext w:val="0"/>
              <w:keepLines w:val="0"/>
              <w:pageBreakBefore w:val="0"/>
              <w:kinsoku/>
              <w:wordWrap/>
              <w:overflowPunct/>
              <w:topLinePunct w:val="0"/>
              <w:bidi w:val="0"/>
              <w:adjustRightInd w:val="0"/>
              <w:snapToGrid w:val="0"/>
              <w:spacing w:line="360" w:lineRule="auto"/>
              <w:ind w:firstLine="480" w:firstLineChars="200"/>
              <w:textAlignment w:val="auto"/>
              <w:rPr>
                <w:b w:val="0"/>
                <w:bCs w:val="0"/>
                <w:color w:val="auto"/>
                <w:sz w:val="24"/>
              </w:rPr>
            </w:pPr>
            <w:r>
              <w:rPr>
                <w:rFonts w:hint="eastAsia"/>
                <w:b w:val="0"/>
                <w:bCs w:val="0"/>
                <w:color w:val="auto"/>
                <w:sz w:val="24"/>
                <w:lang w:eastAsia="zh-CN"/>
              </w:rPr>
              <w:t>3.</w:t>
            </w:r>
            <w:r>
              <w:rPr>
                <w:rFonts w:hint="eastAsia"/>
                <w:b w:val="0"/>
                <w:bCs w:val="0"/>
                <w:color w:val="auto"/>
                <w:sz w:val="24"/>
              </w:rPr>
              <w:t>声环境质量现状</w:t>
            </w:r>
          </w:p>
          <w:p w14:paraId="471DD118">
            <w:pPr>
              <w:pStyle w:val="16"/>
              <w:keepNext w:val="0"/>
              <w:keepLines w:val="0"/>
              <w:pageBreakBefore w:val="0"/>
              <w:kinsoku/>
              <w:wordWrap/>
              <w:overflowPunct/>
              <w:topLinePunct w:val="0"/>
              <w:bidi w:val="0"/>
              <w:spacing w:after="0" w:line="360" w:lineRule="auto"/>
              <w:ind w:left="0" w:leftChars="0" w:firstLine="480"/>
              <w:textAlignment w:val="auto"/>
              <w:rPr>
                <w:rFonts w:hint="eastAsia" w:cs="Times New Roman"/>
                <w:color w:val="auto"/>
                <w:sz w:val="24"/>
                <w:lang w:val="en-US" w:eastAsia="zh-CN"/>
              </w:rPr>
            </w:pPr>
            <w:r>
              <w:rPr>
                <w:rFonts w:hint="default" w:ascii="Times New Roman" w:hAnsi="Times New Roman" w:eastAsia="宋体" w:cs="Times New Roman"/>
                <w:color w:val="auto"/>
                <w:sz w:val="24"/>
              </w:rPr>
              <w:t>本项目位于</w:t>
            </w:r>
            <w:r>
              <w:rPr>
                <w:rFonts w:hint="eastAsia" w:cs="Times New Roman"/>
                <w:color w:val="auto"/>
                <w:sz w:val="24"/>
                <w:lang w:val="en-US" w:eastAsia="zh-CN"/>
              </w:rPr>
              <w:t>江苏涟水经济开发区</w:t>
            </w:r>
            <w:r>
              <w:rPr>
                <w:rFonts w:hint="default" w:ascii="Times New Roman" w:hAnsi="Times New Roman" w:eastAsia="宋体" w:cs="Times New Roman"/>
                <w:color w:val="auto"/>
                <w:sz w:val="24"/>
              </w:rPr>
              <w:t>，</w:t>
            </w:r>
            <w:r>
              <w:rPr>
                <w:rFonts w:hint="eastAsia" w:cs="Times New Roman"/>
                <w:color w:val="auto"/>
                <w:sz w:val="24"/>
                <w:lang w:val="en-US" w:eastAsia="zh-CN"/>
              </w:rPr>
              <w:t>属于</w:t>
            </w:r>
            <w:r>
              <w:rPr>
                <w:rFonts w:hint="default" w:ascii="Times New Roman" w:hAnsi="Times New Roman" w:eastAsia="宋体" w:cs="Times New Roman"/>
                <w:color w:val="auto"/>
                <w:sz w:val="24"/>
              </w:rPr>
              <w:t>3类功能区。根据《</w:t>
            </w:r>
            <w:r>
              <w:rPr>
                <w:rFonts w:hint="eastAsia" w:cs="Times New Roman"/>
                <w:color w:val="auto"/>
                <w:sz w:val="24"/>
                <w:lang w:val="en-US" w:eastAsia="zh-CN"/>
              </w:rPr>
              <w:t>涟水县</w:t>
            </w:r>
            <w:r>
              <w:rPr>
                <w:rFonts w:hint="default" w:ascii="Times New Roman" w:hAnsi="Times New Roman" w:cs="Times New Roman"/>
                <w:color w:val="auto"/>
                <w:sz w:val="24"/>
              </w:rPr>
              <w:t>202</w:t>
            </w:r>
            <w:r>
              <w:rPr>
                <w:rFonts w:hint="eastAsia" w:cs="Times New Roman"/>
                <w:color w:val="auto"/>
                <w:sz w:val="24"/>
                <w:lang w:val="en-US" w:eastAsia="zh-CN"/>
              </w:rPr>
              <w:t>4年度环境质量公告</w:t>
            </w:r>
            <w:r>
              <w:rPr>
                <w:rFonts w:hint="default" w:ascii="Times New Roman" w:hAnsi="Times New Roman" w:eastAsia="宋体" w:cs="Times New Roman"/>
                <w:color w:val="auto"/>
                <w:sz w:val="24"/>
              </w:rPr>
              <w:t>》</w:t>
            </w:r>
            <w:r>
              <w:rPr>
                <w:rFonts w:hint="eastAsia" w:cs="Times New Roman"/>
                <w:color w:val="auto"/>
                <w:sz w:val="24"/>
                <w:lang w:eastAsia="zh-CN"/>
              </w:rPr>
              <w:t>：</w:t>
            </w:r>
            <w:r>
              <w:rPr>
                <w:rFonts w:hint="default" w:ascii="Times New Roman" w:hAnsi="Times New Roman" w:eastAsia="宋体" w:cs="Times New Roman"/>
                <w:color w:val="auto"/>
                <w:sz w:val="24"/>
              </w:rPr>
              <w:t>2024年</w:t>
            </w:r>
            <w:r>
              <w:rPr>
                <w:rFonts w:hint="eastAsia" w:cs="Times New Roman"/>
                <w:color w:val="auto"/>
                <w:sz w:val="24"/>
                <w:lang w:eastAsia="zh-CN"/>
              </w:rPr>
              <w:t>，</w:t>
            </w:r>
            <w:r>
              <w:rPr>
                <w:rFonts w:hint="eastAsia" w:cs="Times New Roman"/>
                <w:color w:val="auto"/>
                <w:sz w:val="24"/>
                <w:lang w:val="en-US" w:eastAsia="zh-CN"/>
              </w:rPr>
              <w:t>全县</w:t>
            </w:r>
            <w:r>
              <w:rPr>
                <w:rFonts w:hint="default" w:ascii="Times New Roman" w:hAnsi="Times New Roman" w:eastAsia="宋体" w:cs="Times New Roman"/>
                <w:color w:val="auto"/>
                <w:sz w:val="24"/>
              </w:rPr>
              <w:t>声环境总体较好，各功能区昼、夜平均等效声级均达标，全县4个功能区噪声监测点的合计昼间达标率为99.1%，较去年上升1.5百分点，夜间达标率为82.4%，较去年下降4.6百分点。</w:t>
            </w:r>
            <w:r>
              <w:rPr>
                <w:rFonts w:hint="eastAsia" w:cs="Times New Roman"/>
                <w:color w:val="auto"/>
                <w:sz w:val="24"/>
                <w:lang w:val="en-US" w:eastAsia="zh-CN"/>
              </w:rPr>
              <w:t>具体监测结果见下表：</w:t>
            </w:r>
          </w:p>
          <w:p w14:paraId="2D9A12F0">
            <w:pPr>
              <w:pStyle w:val="17"/>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表3-1  2024年涟水县各功能区噪声监测结果统计表  单位：dB（A）</w:t>
            </w:r>
          </w:p>
          <w:tbl>
            <w:tblPr>
              <w:tblStyle w:val="21"/>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3"/>
              <w:gridCol w:w="934"/>
              <w:gridCol w:w="934"/>
              <w:gridCol w:w="934"/>
              <w:gridCol w:w="935"/>
              <w:gridCol w:w="935"/>
              <w:gridCol w:w="935"/>
              <w:gridCol w:w="935"/>
              <w:gridCol w:w="935"/>
            </w:tblGrid>
            <w:tr w14:paraId="104F21EF">
              <w:trPr>
                <w:trHeight w:val="397" w:hRule="atLeast"/>
              </w:trPr>
              <w:tc>
                <w:tcPr>
                  <w:tcW w:w="933" w:type="dxa"/>
                  <w:vMerge w:val="restart"/>
                  <w:tcBorders>
                    <w:tl2br w:val="nil"/>
                    <w:tr2bl w:val="nil"/>
                  </w:tcBorders>
                  <w:vAlign w:val="center"/>
                </w:tcPr>
                <w:p w14:paraId="5A7081A0">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vertAlign w:val="baseline"/>
                      <w:lang w:val="en-US" w:eastAsia="zh-CN"/>
                    </w:rPr>
                  </w:pPr>
                  <w:r>
                    <w:rPr>
                      <w:rFonts w:hint="eastAsia"/>
                      <w:color w:val="auto"/>
                      <w:sz w:val="21"/>
                      <w:vertAlign w:val="baseline"/>
                      <w:lang w:val="en-US" w:eastAsia="zh-CN"/>
                    </w:rPr>
                    <w:t>年度</w:t>
                  </w:r>
                </w:p>
              </w:tc>
              <w:tc>
                <w:tcPr>
                  <w:tcW w:w="1868" w:type="dxa"/>
                  <w:gridSpan w:val="2"/>
                  <w:tcBorders>
                    <w:tl2br w:val="nil"/>
                    <w:tr2bl w:val="nil"/>
                  </w:tcBorders>
                  <w:vAlign w:val="center"/>
                </w:tcPr>
                <w:p w14:paraId="60B0BCB4">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olor w:val="auto"/>
                      <w:sz w:val="21"/>
                      <w:vertAlign w:val="baseline"/>
                      <w:lang w:val="en-US" w:eastAsia="zh-CN"/>
                    </w:rPr>
                  </w:pPr>
                  <w:r>
                    <w:rPr>
                      <w:rFonts w:hint="eastAsia"/>
                      <w:color w:val="auto"/>
                      <w:sz w:val="21"/>
                      <w:vertAlign w:val="baseline"/>
                      <w:lang w:val="en-US" w:eastAsia="zh-CN"/>
                    </w:rPr>
                    <w:t>1类区</w:t>
                  </w:r>
                </w:p>
              </w:tc>
              <w:tc>
                <w:tcPr>
                  <w:tcW w:w="1869" w:type="dxa"/>
                  <w:gridSpan w:val="2"/>
                  <w:tcBorders>
                    <w:tl2br w:val="nil"/>
                    <w:tr2bl w:val="nil"/>
                  </w:tcBorders>
                  <w:vAlign w:val="center"/>
                </w:tcPr>
                <w:p w14:paraId="3098C905">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vertAlign w:val="baseline"/>
                    </w:rPr>
                  </w:pPr>
                  <w:r>
                    <w:rPr>
                      <w:rFonts w:hint="eastAsia"/>
                      <w:color w:val="auto"/>
                      <w:sz w:val="21"/>
                      <w:vertAlign w:val="baseline"/>
                      <w:lang w:val="en-US" w:eastAsia="zh-CN"/>
                    </w:rPr>
                    <w:t>2类区</w:t>
                  </w:r>
                </w:p>
              </w:tc>
              <w:tc>
                <w:tcPr>
                  <w:tcW w:w="1870" w:type="dxa"/>
                  <w:gridSpan w:val="2"/>
                  <w:tcBorders>
                    <w:tl2br w:val="nil"/>
                    <w:tr2bl w:val="nil"/>
                  </w:tcBorders>
                  <w:vAlign w:val="center"/>
                </w:tcPr>
                <w:p w14:paraId="03EB8B10">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vertAlign w:val="baseline"/>
                    </w:rPr>
                  </w:pPr>
                  <w:r>
                    <w:rPr>
                      <w:rFonts w:hint="eastAsia"/>
                      <w:color w:val="auto"/>
                      <w:sz w:val="21"/>
                      <w:vertAlign w:val="baseline"/>
                      <w:lang w:val="en-US" w:eastAsia="zh-CN"/>
                    </w:rPr>
                    <w:t>3类区</w:t>
                  </w:r>
                </w:p>
              </w:tc>
              <w:tc>
                <w:tcPr>
                  <w:tcW w:w="1870" w:type="dxa"/>
                  <w:gridSpan w:val="2"/>
                  <w:tcBorders>
                    <w:tl2br w:val="nil"/>
                    <w:tr2bl w:val="nil"/>
                  </w:tcBorders>
                  <w:vAlign w:val="center"/>
                </w:tcPr>
                <w:p w14:paraId="6EEA5C12">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vertAlign w:val="baseline"/>
                    </w:rPr>
                  </w:pPr>
                  <w:r>
                    <w:rPr>
                      <w:rFonts w:hint="eastAsia"/>
                      <w:color w:val="auto"/>
                      <w:sz w:val="21"/>
                      <w:vertAlign w:val="baseline"/>
                      <w:lang w:val="en-US" w:eastAsia="zh-CN"/>
                    </w:rPr>
                    <w:t>4类区</w:t>
                  </w:r>
                </w:p>
              </w:tc>
            </w:tr>
            <w:tr w14:paraId="5265EC44">
              <w:trPr>
                <w:trHeight w:val="397" w:hRule="atLeast"/>
              </w:trPr>
              <w:tc>
                <w:tcPr>
                  <w:tcW w:w="933" w:type="dxa"/>
                  <w:vMerge w:val="continue"/>
                  <w:tcBorders>
                    <w:tl2br w:val="nil"/>
                    <w:tr2bl w:val="nil"/>
                  </w:tcBorders>
                  <w:vAlign w:val="center"/>
                </w:tcPr>
                <w:p w14:paraId="7ACAC917">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vertAlign w:val="baseline"/>
                    </w:rPr>
                  </w:pPr>
                </w:p>
              </w:tc>
              <w:tc>
                <w:tcPr>
                  <w:tcW w:w="934" w:type="dxa"/>
                  <w:tcBorders>
                    <w:tl2br w:val="nil"/>
                    <w:tr2bl w:val="nil"/>
                  </w:tcBorders>
                  <w:vAlign w:val="center"/>
                </w:tcPr>
                <w:p w14:paraId="7E455032">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L</w:t>
                  </w:r>
                  <w:r>
                    <w:rPr>
                      <w:color w:val="auto"/>
                      <w:sz w:val="21"/>
                      <w:szCs w:val="21"/>
                    </w:rPr>
                    <w:t>d</w:t>
                  </w:r>
                </w:p>
              </w:tc>
              <w:tc>
                <w:tcPr>
                  <w:tcW w:w="934" w:type="dxa"/>
                  <w:tcBorders>
                    <w:tl2br w:val="nil"/>
                    <w:tr2bl w:val="nil"/>
                  </w:tcBorders>
                  <w:vAlign w:val="center"/>
                </w:tcPr>
                <w:p w14:paraId="50E1E5A3">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L</w:t>
                  </w:r>
                  <w:r>
                    <w:rPr>
                      <w:color w:val="auto"/>
                      <w:sz w:val="21"/>
                      <w:szCs w:val="21"/>
                    </w:rPr>
                    <w:t>n</w:t>
                  </w:r>
                </w:p>
              </w:tc>
              <w:tc>
                <w:tcPr>
                  <w:tcW w:w="934" w:type="dxa"/>
                  <w:tcBorders>
                    <w:tl2br w:val="nil"/>
                    <w:tr2bl w:val="nil"/>
                  </w:tcBorders>
                  <w:vAlign w:val="center"/>
                </w:tcPr>
                <w:p w14:paraId="70FCCC64">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L</w:t>
                  </w:r>
                  <w:r>
                    <w:rPr>
                      <w:color w:val="auto"/>
                      <w:sz w:val="21"/>
                      <w:szCs w:val="21"/>
                    </w:rPr>
                    <w:t>d</w:t>
                  </w:r>
                </w:p>
              </w:tc>
              <w:tc>
                <w:tcPr>
                  <w:tcW w:w="935" w:type="dxa"/>
                  <w:tcBorders>
                    <w:tl2br w:val="nil"/>
                    <w:tr2bl w:val="nil"/>
                  </w:tcBorders>
                  <w:vAlign w:val="center"/>
                </w:tcPr>
                <w:p w14:paraId="2848F540">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L</w:t>
                  </w:r>
                  <w:r>
                    <w:rPr>
                      <w:color w:val="auto"/>
                      <w:sz w:val="21"/>
                      <w:szCs w:val="21"/>
                    </w:rPr>
                    <w:t>n</w:t>
                  </w:r>
                </w:p>
              </w:tc>
              <w:tc>
                <w:tcPr>
                  <w:tcW w:w="935" w:type="dxa"/>
                  <w:tcBorders>
                    <w:tl2br w:val="nil"/>
                    <w:tr2bl w:val="nil"/>
                  </w:tcBorders>
                  <w:vAlign w:val="center"/>
                </w:tcPr>
                <w:p w14:paraId="1FEC26DA">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L</w:t>
                  </w:r>
                  <w:r>
                    <w:rPr>
                      <w:color w:val="auto"/>
                      <w:sz w:val="21"/>
                      <w:szCs w:val="21"/>
                    </w:rPr>
                    <w:t>d</w:t>
                  </w:r>
                </w:p>
              </w:tc>
              <w:tc>
                <w:tcPr>
                  <w:tcW w:w="935" w:type="dxa"/>
                  <w:tcBorders>
                    <w:tl2br w:val="nil"/>
                    <w:tr2bl w:val="nil"/>
                  </w:tcBorders>
                  <w:vAlign w:val="center"/>
                </w:tcPr>
                <w:p w14:paraId="27D7AA61">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L</w:t>
                  </w:r>
                  <w:r>
                    <w:rPr>
                      <w:color w:val="auto"/>
                      <w:sz w:val="21"/>
                      <w:szCs w:val="21"/>
                    </w:rPr>
                    <w:t>n</w:t>
                  </w:r>
                </w:p>
              </w:tc>
              <w:tc>
                <w:tcPr>
                  <w:tcW w:w="935" w:type="dxa"/>
                  <w:tcBorders>
                    <w:tl2br w:val="nil"/>
                    <w:tr2bl w:val="nil"/>
                  </w:tcBorders>
                  <w:vAlign w:val="center"/>
                </w:tcPr>
                <w:p w14:paraId="196B305E">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L</w:t>
                  </w:r>
                  <w:r>
                    <w:rPr>
                      <w:color w:val="auto"/>
                      <w:sz w:val="21"/>
                      <w:szCs w:val="21"/>
                    </w:rPr>
                    <w:t>d</w:t>
                  </w:r>
                </w:p>
              </w:tc>
              <w:tc>
                <w:tcPr>
                  <w:tcW w:w="935" w:type="dxa"/>
                  <w:tcBorders>
                    <w:tl2br w:val="nil"/>
                    <w:tr2bl w:val="nil"/>
                  </w:tcBorders>
                  <w:vAlign w:val="center"/>
                </w:tcPr>
                <w:p w14:paraId="421DCF4E">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L</w:t>
                  </w:r>
                  <w:r>
                    <w:rPr>
                      <w:color w:val="auto"/>
                      <w:sz w:val="21"/>
                      <w:szCs w:val="21"/>
                    </w:rPr>
                    <w:t>n</w:t>
                  </w:r>
                </w:p>
              </w:tc>
            </w:tr>
            <w:tr w14:paraId="0D1495BC">
              <w:trPr>
                <w:trHeight w:val="397" w:hRule="atLeast"/>
              </w:trPr>
              <w:tc>
                <w:tcPr>
                  <w:tcW w:w="933" w:type="dxa"/>
                  <w:tcBorders>
                    <w:tl2br w:val="nil"/>
                    <w:tr2bl w:val="nil"/>
                  </w:tcBorders>
                  <w:vAlign w:val="center"/>
                </w:tcPr>
                <w:p w14:paraId="6A4CFB54">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olor w:val="auto"/>
                      <w:sz w:val="21"/>
                      <w:vertAlign w:val="baseline"/>
                      <w:lang w:val="en-US" w:eastAsia="zh-CN"/>
                    </w:rPr>
                  </w:pPr>
                  <w:r>
                    <w:rPr>
                      <w:rFonts w:hint="eastAsia"/>
                      <w:color w:val="auto"/>
                      <w:sz w:val="21"/>
                      <w:vertAlign w:val="baseline"/>
                      <w:lang w:val="en-US" w:eastAsia="zh-CN"/>
                    </w:rPr>
                    <w:t>2024</w:t>
                  </w:r>
                </w:p>
              </w:tc>
              <w:tc>
                <w:tcPr>
                  <w:tcW w:w="934" w:type="dxa"/>
                  <w:tcBorders>
                    <w:tl2br w:val="nil"/>
                    <w:tr2bl w:val="nil"/>
                  </w:tcBorders>
                  <w:vAlign w:val="center"/>
                </w:tcPr>
                <w:p w14:paraId="311E4936">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48.3</w:t>
                  </w:r>
                </w:p>
              </w:tc>
              <w:tc>
                <w:tcPr>
                  <w:tcW w:w="934" w:type="dxa"/>
                  <w:tcBorders>
                    <w:tl2br w:val="nil"/>
                    <w:tr2bl w:val="nil"/>
                  </w:tcBorders>
                  <w:vAlign w:val="center"/>
                </w:tcPr>
                <w:p w14:paraId="7EC2343C">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41.7</w:t>
                  </w:r>
                </w:p>
              </w:tc>
              <w:tc>
                <w:tcPr>
                  <w:tcW w:w="934" w:type="dxa"/>
                  <w:tcBorders>
                    <w:tl2br w:val="nil"/>
                    <w:tr2bl w:val="nil"/>
                  </w:tcBorders>
                  <w:vAlign w:val="center"/>
                </w:tcPr>
                <w:p w14:paraId="05F2B33C">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54.8</w:t>
                  </w:r>
                </w:p>
              </w:tc>
              <w:tc>
                <w:tcPr>
                  <w:tcW w:w="935" w:type="dxa"/>
                  <w:tcBorders>
                    <w:tl2br w:val="nil"/>
                    <w:tr2bl w:val="nil"/>
                  </w:tcBorders>
                  <w:vAlign w:val="center"/>
                </w:tcPr>
                <w:p w14:paraId="4F429C01">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47.2</w:t>
                  </w:r>
                </w:p>
              </w:tc>
              <w:tc>
                <w:tcPr>
                  <w:tcW w:w="935" w:type="dxa"/>
                  <w:tcBorders>
                    <w:tl2br w:val="nil"/>
                    <w:tr2bl w:val="nil"/>
                  </w:tcBorders>
                  <w:vAlign w:val="center"/>
                </w:tcPr>
                <w:p w14:paraId="227B1901">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59.1</w:t>
                  </w:r>
                </w:p>
              </w:tc>
              <w:tc>
                <w:tcPr>
                  <w:tcW w:w="935" w:type="dxa"/>
                  <w:tcBorders>
                    <w:tl2br w:val="nil"/>
                    <w:tr2bl w:val="nil"/>
                  </w:tcBorders>
                  <w:vAlign w:val="center"/>
                </w:tcPr>
                <w:p w14:paraId="527F9522">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50.6</w:t>
                  </w:r>
                </w:p>
              </w:tc>
              <w:tc>
                <w:tcPr>
                  <w:tcW w:w="935" w:type="dxa"/>
                  <w:tcBorders>
                    <w:tl2br w:val="nil"/>
                    <w:tr2bl w:val="nil"/>
                  </w:tcBorders>
                  <w:vAlign w:val="center"/>
                </w:tcPr>
                <w:p w14:paraId="3F39E018">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59.5</w:t>
                  </w:r>
                </w:p>
              </w:tc>
              <w:tc>
                <w:tcPr>
                  <w:tcW w:w="935" w:type="dxa"/>
                  <w:tcBorders>
                    <w:tl2br w:val="nil"/>
                    <w:tr2bl w:val="nil"/>
                  </w:tcBorders>
                  <w:vAlign w:val="center"/>
                </w:tcPr>
                <w:p w14:paraId="1CA0AD3A">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52.4</w:t>
                  </w:r>
                </w:p>
              </w:tc>
            </w:tr>
            <w:tr w14:paraId="1A20E00C">
              <w:trPr>
                <w:trHeight w:val="397" w:hRule="atLeast"/>
              </w:trPr>
              <w:tc>
                <w:tcPr>
                  <w:tcW w:w="933" w:type="dxa"/>
                  <w:tcBorders>
                    <w:tl2br w:val="nil"/>
                    <w:tr2bl w:val="nil"/>
                  </w:tcBorders>
                  <w:vAlign w:val="center"/>
                </w:tcPr>
                <w:p w14:paraId="4937934B">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vertAlign w:val="baseline"/>
                      <w:lang w:val="en-US" w:eastAsia="zh-CN"/>
                    </w:rPr>
                  </w:pPr>
                  <w:r>
                    <w:rPr>
                      <w:rFonts w:hint="eastAsia"/>
                      <w:color w:val="auto"/>
                      <w:sz w:val="21"/>
                      <w:vertAlign w:val="baseline"/>
                      <w:lang w:val="en-US" w:eastAsia="zh-CN"/>
                    </w:rPr>
                    <w:t>标准</w:t>
                  </w:r>
                </w:p>
              </w:tc>
              <w:tc>
                <w:tcPr>
                  <w:tcW w:w="934" w:type="dxa"/>
                  <w:tcBorders>
                    <w:tl2br w:val="nil"/>
                    <w:tr2bl w:val="nil"/>
                  </w:tcBorders>
                  <w:vAlign w:val="center"/>
                </w:tcPr>
                <w:p w14:paraId="6F027FDE">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5</w:t>
                  </w:r>
                  <w:r>
                    <w:rPr>
                      <w:color w:val="auto"/>
                      <w:sz w:val="21"/>
                      <w:szCs w:val="21"/>
                    </w:rPr>
                    <w:t>5</w:t>
                  </w:r>
                </w:p>
              </w:tc>
              <w:tc>
                <w:tcPr>
                  <w:tcW w:w="934" w:type="dxa"/>
                  <w:tcBorders>
                    <w:tl2br w:val="nil"/>
                    <w:tr2bl w:val="nil"/>
                  </w:tcBorders>
                  <w:vAlign w:val="center"/>
                </w:tcPr>
                <w:p w14:paraId="45719F08">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4</w:t>
                  </w:r>
                  <w:r>
                    <w:rPr>
                      <w:color w:val="auto"/>
                      <w:sz w:val="21"/>
                      <w:szCs w:val="21"/>
                    </w:rPr>
                    <w:t>5</w:t>
                  </w:r>
                </w:p>
              </w:tc>
              <w:tc>
                <w:tcPr>
                  <w:tcW w:w="934" w:type="dxa"/>
                  <w:tcBorders>
                    <w:tl2br w:val="nil"/>
                    <w:tr2bl w:val="nil"/>
                  </w:tcBorders>
                  <w:vAlign w:val="center"/>
                </w:tcPr>
                <w:p w14:paraId="324A760D">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6</w:t>
                  </w:r>
                  <w:r>
                    <w:rPr>
                      <w:color w:val="auto"/>
                      <w:sz w:val="21"/>
                      <w:szCs w:val="21"/>
                    </w:rPr>
                    <w:t>0</w:t>
                  </w:r>
                </w:p>
              </w:tc>
              <w:tc>
                <w:tcPr>
                  <w:tcW w:w="935" w:type="dxa"/>
                  <w:tcBorders>
                    <w:tl2br w:val="nil"/>
                    <w:tr2bl w:val="nil"/>
                  </w:tcBorders>
                  <w:vAlign w:val="center"/>
                </w:tcPr>
                <w:p w14:paraId="0AD05F43">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5</w:t>
                  </w:r>
                  <w:r>
                    <w:rPr>
                      <w:color w:val="auto"/>
                      <w:sz w:val="21"/>
                      <w:szCs w:val="21"/>
                    </w:rPr>
                    <w:t>0</w:t>
                  </w:r>
                </w:p>
              </w:tc>
              <w:tc>
                <w:tcPr>
                  <w:tcW w:w="935" w:type="dxa"/>
                  <w:tcBorders>
                    <w:tl2br w:val="nil"/>
                    <w:tr2bl w:val="nil"/>
                  </w:tcBorders>
                  <w:vAlign w:val="center"/>
                </w:tcPr>
                <w:p w14:paraId="6A2EF5D7">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6</w:t>
                  </w:r>
                  <w:r>
                    <w:rPr>
                      <w:color w:val="auto"/>
                      <w:sz w:val="21"/>
                      <w:szCs w:val="21"/>
                    </w:rPr>
                    <w:t>5</w:t>
                  </w:r>
                </w:p>
              </w:tc>
              <w:tc>
                <w:tcPr>
                  <w:tcW w:w="935" w:type="dxa"/>
                  <w:tcBorders>
                    <w:tl2br w:val="nil"/>
                    <w:tr2bl w:val="nil"/>
                  </w:tcBorders>
                  <w:vAlign w:val="center"/>
                </w:tcPr>
                <w:p w14:paraId="179FA8C0">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5</w:t>
                  </w:r>
                  <w:r>
                    <w:rPr>
                      <w:color w:val="auto"/>
                      <w:sz w:val="21"/>
                      <w:szCs w:val="21"/>
                    </w:rPr>
                    <w:t>5</w:t>
                  </w:r>
                </w:p>
              </w:tc>
              <w:tc>
                <w:tcPr>
                  <w:tcW w:w="935" w:type="dxa"/>
                  <w:tcBorders>
                    <w:tl2br w:val="nil"/>
                    <w:tr2bl w:val="nil"/>
                  </w:tcBorders>
                  <w:vAlign w:val="center"/>
                </w:tcPr>
                <w:p w14:paraId="45CA4AB5">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7</w:t>
                  </w:r>
                  <w:r>
                    <w:rPr>
                      <w:color w:val="auto"/>
                      <w:sz w:val="21"/>
                      <w:szCs w:val="21"/>
                    </w:rPr>
                    <w:t>0</w:t>
                  </w:r>
                </w:p>
              </w:tc>
              <w:tc>
                <w:tcPr>
                  <w:tcW w:w="935" w:type="dxa"/>
                  <w:tcBorders>
                    <w:tl2br w:val="nil"/>
                    <w:tr2bl w:val="nil"/>
                  </w:tcBorders>
                  <w:vAlign w:val="center"/>
                </w:tcPr>
                <w:p w14:paraId="4E5FE4CD">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5</w:t>
                  </w:r>
                  <w:r>
                    <w:rPr>
                      <w:color w:val="auto"/>
                      <w:sz w:val="21"/>
                      <w:szCs w:val="21"/>
                    </w:rPr>
                    <w:t>5</w:t>
                  </w:r>
                </w:p>
              </w:tc>
            </w:tr>
            <w:tr w14:paraId="608DD07F">
              <w:trPr>
                <w:trHeight w:val="397" w:hRule="atLeast"/>
              </w:trPr>
              <w:tc>
                <w:tcPr>
                  <w:tcW w:w="933" w:type="dxa"/>
                  <w:tcBorders>
                    <w:tl2br w:val="nil"/>
                    <w:tr2bl w:val="nil"/>
                  </w:tcBorders>
                  <w:vAlign w:val="center"/>
                </w:tcPr>
                <w:p w14:paraId="19BD1241">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vertAlign w:val="baseline"/>
                      <w:lang w:val="en-US" w:eastAsia="zh-CN"/>
                    </w:rPr>
                  </w:pPr>
                  <w:r>
                    <w:rPr>
                      <w:rFonts w:hint="eastAsia"/>
                      <w:color w:val="auto"/>
                      <w:sz w:val="21"/>
                      <w:vertAlign w:val="baseline"/>
                      <w:lang w:val="en-US" w:eastAsia="zh-CN"/>
                    </w:rPr>
                    <w:t>是否达标</w:t>
                  </w:r>
                </w:p>
              </w:tc>
              <w:tc>
                <w:tcPr>
                  <w:tcW w:w="934" w:type="dxa"/>
                  <w:tcBorders>
                    <w:tl2br w:val="nil"/>
                    <w:tr2bl w:val="nil"/>
                  </w:tcBorders>
                  <w:vAlign w:val="center"/>
                </w:tcPr>
                <w:p w14:paraId="752B5EA7">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vertAlign w:val="baseline"/>
                      <w:lang w:val="en-US" w:eastAsia="zh-CN"/>
                    </w:rPr>
                  </w:pPr>
                  <w:r>
                    <w:rPr>
                      <w:rFonts w:hint="eastAsia"/>
                      <w:color w:val="auto"/>
                      <w:sz w:val="21"/>
                      <w:vertAlign w:val="baseline"/>
                      <w:lang w:val="en-US" w:eastAsia="zh-CN"/>
                    </w:rPr>
                    <w:t>达标</w:t>
                  </w:r>
                </w:p>
              </w:tc>
              <w:tc>
                <w:tcPr>
                  <w:tcW w:w="934" w:type="dxa"/>
                  <w:tcBorders>
                    <w:tl2br w:val="nil"/>
                    <w:tr2bl w:val="nil"/>
                  </w:tcBorders>
                  <w:vAlign w:val="center"/>
                </w:tcPr>
                <w:p w14:paraId="317A1E3A">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vertAlign w:val="baseline"/>
                    </w:rPr>
                  </w:pPr>
                  <w:r>
                    <w:rPr>
                      <w:rFonts w:hint="eastAsia"/>
                      <w:color w:val="auto"/>
                      <w:sz w:val="21"/>
                      <w:vertAlign w:val="baseline"/>
                      <w:lang w:val="en-US" w:eastAsia="zh-CN"/>
                    </w:rPr>
                    <w:t>达标</w:t>
                  </w:r>
                </w:p>
              </w:tc>
              <w:tc>
                <w:tcPr>
                  <w:tcW w:w="934" w:type="dxa"/>
                  <w:tcBorders>
                    <w:tl2br w:val="nil"/>
                    <w:tr2bl w:val="nil"/>
                  </w:tcBorders>
                  <w:vAlign w:val="center"/>
                </w:tcPr>
                <w:p w14:paraId="542DB8A6">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vertAlign w:val="baseline"/>
                    </w:rPr>
                  </w:pPr>
                  <w:r>
                    <w:rPr>
                      <w:rFonts w:hint="eastAsia"/>
                      <w:color w:val="auto"/>
                      <w:sz w:val="21"/>
                      <w:vertAlign w:val="baseline"/>
                      <w:lang w:val="en-US" w:eastAsia="zh-CN"/>
                    </w:rPr>
                    <w:t>达标</w:t>
                  </w:r>
                </w:p>
              </w:tc>
              <w:tc>
                <w:tcPr>
                  <w:tcW w:w="935" w:type="dxa"/>
                  <w:tcBorders>
                    <w:tl2br w:val="nil"/>
                    <w:tr2bl w:val="nil"/>
                  </w:tcBorders>
                  <w:vAlign w:val="center"/>
                </w:tcPr>
                <w:p w14:paraId="5E061D8C">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vertAlign w:val="baseline"/>
                    </w:rPr>
                  </w:pPr>
                  <w:r>
                    <w:rPr>
                      <w:rFonts w:hint="eastAsia"/>
                      <w:color w:val="auto"/>
                      <w:sz w:val="21"/>
                      <w:vertAlign w:val="baseline"/>
                      <w:lang w:val="en-US" w:eastAsia="zh-CN"/>
                    </w:rPr>
                    <w:t>达标</w:t>
                  </w:r>
                </w:p>
              </w:tc>
              <w:tc>
                <w:tcPr>
                  <w:tcW w:w="935" w:type="dxa"/>
                  <w:tcBorders>
                    <w:tl2br w:val="nil"/>
                    <w:tr2bl w:val="nil"/>
                  </w:tcBorders>
                  <w:vAlign w:val="center"/>
                </w:tcPr>
                <w:p w14:paraId="6DA0B8C2">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vertAlign w:val="baseline"/>
                    </w:rPr>
                  </w:pPr>
                  <w:r>
                    <w:rPr>
                      <w:rFonts w:hint="eastAsia"/>
                      <w:color w:val="auto"/>
                      <w:sz w:val="21"/>
                      <w:vertAlign w:val="baseline"/>
                      <w:lang w:val="en-US" w:eastAsia="zh-CN"/>
                    </w:rPr>
                    <w:t>达标</w:t>
                  </w:r>
                </w:p>
              </w:tc>
              <w:tc>
                <w:tcPr>
                  <w:tcW w:w="935" w:type="dxa"/>
                  <w:tcBorders>
                    <w:tl2br w:val="nil"/>
                    <w:tr2bl w:val="nil"/>
                  </w:tcBorders>
                  <w:vAlign w:val="center"/>
                </w:tcPr>
                <w:p w14:paraId="6EFFF91F">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vertAlign w:val="baseline"/>
                    </w:rPr>
                  </w:pPr>
                  <w:r>
                    <w:rPr>
                      <w:rFonts w:hint="eastAsia"/>
                      <w:color w:val="auto"/>
                      <w:sz w:val="21"/>
                      <w:vertAlign w:val="baseline"/>
                      <w:lang w:val="en-US" w:eastAsia="zh-CN"/>
                    </w:rPr>
                    <w:t>达标</w:t>
                  </w:r>
                </w:p>
              </w:tc>
              <w:tc>
                <w:tcPr>
                  <w:tcW w:w="935" w:type="dxa"/>
                  <w:tcBorders>
                    <w:tl2br w:val="nil"/>
                    <w:tr2bl w:val="nil"/>
                  </w:tcBorders>
                  <w:vAlign w:val="center"/>
                </w:tcPr>
                <w:p w14:paraId="2388F8EF">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vertAlign w:val="baseline"/>
                    </w:rPr>
                  </w:pPr>
                  <w:r>
                    <w:rPr>
                      <w:rFonts w:hint="eastAsia"/>
                      <w:color w:val="auto"/>
                      <w:sz w:val="21"/>
                      <w:vertAlign w:val="baseline"/>
                      <w:lang w:val="en-US" w:eastAsia="zh-CN"/>
                    </w:rPr>
                    <w:t>达标</w:t>
                  </w:r>
                </w:p>
              </w:tc>
              <w:tc>
                <w:tcPr>
                  <w:tcW w:w="935" w:type="dxa"/>
                  <w:tcBorders>
                    <w:tl2br w:val="nil"/>
                    <w:tr2bl w:val="nil"/>
                  </w:tcBorders>
                  <w:vAlign w:val="center"/>
                </w:tcPr>
                <w:p w14:paraId="14F288C1">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vertAlign w:val="baseline"/>
                    </w:rPr>
                  </w:pPr>
                  <w:r>
                    <w:rPr>
                      <w:rFonts w:hint="eastAsia"/>
                      <w:color w:val="auto"/>
                      <w:sz w:val="21"/>
                      <w:vertAlign w:val="baseline"/>
                      <w:lang w:val="en-US" w:eastAsia="zh-CN"/>
                    </w:rPr>
                    <w:t>达标</w:t>
                  </w:r>
                </w:p>
              </w:tc>
            </w:tr>
          </w:tbl>
          <w:p w14:paraId="23C30DAA">
            <w:pPr>
              <w:pStyle w:val="16"/>
              <w:keepNext w:val="0"/>
              <w:keepLines w:val="0"/>
              <w:pageBreakBefore w:val="0"/>
              <w:kinsoku/>
              <w:wordWrap/>
              <w:overflowPunct/>
              <w:topLinePunct w:val="0"/>
              <w:bidi w:val="0"/>
              <w:spacing w:after="0" w:line="360" w:lineRule="auto"/>
              <w:ind w:left="0" w:leftChars="0" w:firstLine="480"/>
              <w:textAlignment w:val="auto"/>
              <w:rPr>
                <w:rFonts w:hint="eastAsia"/>
                <w:color w:val="auto"/>
                <w:sz w:val="24"/>
              </w:rPr>
            </w:pPr>
          </w:p>
          <w:p w14:paraId="24465A73">
            <w:pPr>
              <w:pStyle w:val="16"/>
              <w:keepNext w:val="0"/>
              <w:keepLines w:val="0"/>
              <w:pageBreakBefore w:val="0"/>
              <w:kinsoku/>
              <w:wordWrap/>
              <w:overflowPunct/>
              <w:topLinePunct w:val="0"/>
              <w:bidi w:val="0"/>
              <w:spacing w:after="0" w:line="360" w:lineRule="auto"/>
              <w:ind w:left="0" w:leftChars="0" w:firstLine="480"/>
              <w:textAlignment w:val="auto"/>
              <w:rPr>
                <w:rFonts w:hint="eastAsia"/>
                <w:color w:val="auto"/>
                <w:sz w:val="24"/>
              </w:rPr>
            </w:pPr>
            <w:r>
              <w:rPr>
                <w:rFonts w:hint="eastAsia"/>
                <w:color w:val="auto"/>
                <w:sz w:val="24"/>
                <w:lang w:val="en-US" w:eastAsia="zh-CN"/>
              </w:rPr>
              <w:t>根据上表数据，2024年涟水县声环境质量为达标区。</w:t>
            </w:r>
          </w:p>
          <w:p w14:paraId="271CD36C">
            <w:pPr>
              <w:pStyle w:val="16"/>
              <w:keepNext w:val="0"/>
              <w:keepLines w:val="0"/>
              <w:pageBreakBefore w:val="0"/>
              <w:widowControl w:val="0"/>
              <w:kinsoku/>
              <w:wordWrap/>
              <w:overflowPunct/>
              <w:topLinePunct w:val="0"/>
              <w:bidi w:val="0"/>
              <w:spacing w:after="0" w:line="360" w:lineRule="auto"/>
              <w:ind w:left="0" w:leftChars="0" w:firstLine="480"/>
              <w:textAlignment w:val="auto"/>
              <w:rPr>
                <w:rFonts w:hint="eastAsia"/>
                <w:color w:val="auto"/>
              </w:rPr>
            </w:pPr>
            <w:r>
              <w:rPr>
                <w:rFonts w:hint="eastAsia"/>
                <w:color w:val="auto"/>
                <w:sz w:val="24"/>
              </w:rPr>
              <w:t>本项目厂界外50米范围内无声环境保护目标，无需开展声环境质量现状监测。</w:t>
            </w:r>
          </w:p>
          <w:p w14:paraId="2A85B3F6">
            <w:pPr>
              <w:pStyle w:val="16"/>
              <w:keepNext w:val="0"/>
              <w:keepLines w:val="0"/>
              <w:pageBreakBefore w:val="0"/>
              <w:kinsoku/>
              <w:wordWrap/>
              <w:overflowPunct/>
              <w:topLinePunct w:val="0"/>
              <w:bidi w:val="0"/>
              <w:spacing w:after="0" w:line="360" w:lineRule="auto"/>
              <w:ind w:left="0" w:leftChars="0" w:firstLine="480"/>
              <w:textAlignment w:val="auto"/>
              <w:rPr>
                <w:rFonts w:ascii="Times New Roman" w:hAnsi="Times New Roman"/>
                <w:b w:val="0"/>
                <w:bCs w:val="0"/>
                <w:color w:val="auto"/>
                <w:sz w:val="24"/>
                <w:szCs w:val="24"/>
              </w:rPr>
            </w:pPr>
            <w:r>
              <w:rPr>
                <w:rFonts w:hint="eastAsia"/>
                <w:b w:val="0"/>
                <w:bCs w:val="0"/>
                <w:color w:val="auto"/>
                <w:sz w:val="24"/>
                <w:szCs w:val="24"/>
                <w:lang w:eastAsia="zh-CN"/>
              </w:rPr>
              <w:t>4.</w:t>
            </w:r>
            <w:r>
              <w:rPr>
                <w:rFonts w:hint="eastAsia" w:ascii="Times New Roman" w:hAnsi="Times New Roman"/>
                <w:b w:val="0"/>
                <w:bCs w:val="0"/>
                <w:color w:val="auto"/>
                <w:sz w:val="24"/>
                <w:szCs w:val="24"/>
              </w:rPr>
              <w:t>生态环境</w:t>
            </w:r>
          </w:p>
          <w:p w14:paraId="452515D8">
            <w:pPr>
              <w:pStyle w:val="16"/>
              <w:keepNext w:val="0"/>
              <w:keepLines w:val="0"/>
              <w:pageBreakBefore w:val="0"/>
              <w:kinsoku/>
              <w:wordWrap/>
              <w:overflowPunct/>
              <w:topLinePunct w:val="0"/>
              <w:bidi w:val="0"/>
              <w:spacing w:after="0" w:line="360" w:lineRule="auto"/>
              <w:ind w:left="0" w:leftChars="0" w:firstLine="480"/>
              <w:textAlignment w:val="auto"/>
              <w:rPr>
                <w:rFonts w:hint="eastAsia" w:ascii="Times New Roman" w:hAnsi="Times New Roman"/>
                <w:b w:val="0"/>
                <w:bCs w:val="0"/>
                <w:color w:val="auto"/>
                <w:sz w:val="24"/>
                <w:szCs w:val="24"/>
              </w:rPr>
            </w:pPr>
            <w:r>
              <w:rPr>
                <w:rFonts w:hint="eastAsia" w:ascii="Times New Roman" w:hAnsi="Times New Roman"/>
                <w:b w:val="0"/>
                <w:bCs w:val="0"/>
                <w:color w:val="auto"/>
                <w:sz w:val="24"/>
                <w:szCs w:val="24"/>
              </w:rPr>
              <w:t>产业园区外建设项目新增用地且用地范围内含有生态环境保护目标时，应进行生态现状调查。</w:t>
            </w:r>
          </w:p>
          <w:p w14:paraId="4A75A89E">
            <w:pPr>
              <w:pStyle w:val="16"/>
              <w:keepNext w:val="0"/>
              <w:keepLines w:val="0"/>
              <w:pageBreakBefore w:val="0"/>
              <w:kinsoku/>
              <w:wordWrap/>
              <w:overflowPunct/>
              <w:topLinePunct w:val="0"/>
              <w:bidi w:val="0"/>
              <w:spacing w:after="0" w:line="360" w:lineRule="auto"/>
              <w:ind w:left="0" w:leftChars="0" w:firstLine="480"/>
              <w:textAlignment w:val="auto"/>
              <w:rPr>
                <w:rFonts w:ascii="Times New Roman" w:hAnsi="Times New Roman"/>
                <w:b w:val="0"/>
                <w:bCs w:val="0"/>
                <w:color w:val="auto"/>
                <w:sz w:val="24"/>
                <w:szCs w:val="24"/>
              </w:rPr>
            </w:pPr>
            <w:r>
              <w:rPr>
                <w:rFonts w:hint="eastAsia" w:ascii="Times New Roman" w:hAnsi="Times New Roman"/>
                <w:b w:val="0"/>
                <w:bCs w:val="0"/>
                <w:color w:val="auto"/>
                <w:sz w:val="24"/>
                <w:szCs w:val="24"/>
              </w:rPr>
              <w:t>本项目用地范围内不存在生态环境保护目标，因此不需要进行生态现状调查。</w:t>
            </w:r>
          </w:p>
          <w:p w14:paraId="21ACAEAC">
            <w:pPr>
              <w:pStyle w:val="16"/>
              <w:keepNext w:val="0"/>
              <w:keepLines w:val="0"/>
              <w:pageBreakBefore w:val="0"/>
              <w:widowControl w:val="0"/>
              <w:kinsoku/>
              <w:wordWrap/>
              <w:overflowPunct/>
              <w:topLinePunct w:val="0"/>
              <w:bidi w:val="0"/>
              <w:snapToGrid/>
              <w:spacing w:after="0" w:line="360" w:lineRule="auto"/>
              <w:ind w:left="0" w:leftChars="0" w:firstLine="482"/>
              <w:textAlignment w:val="auto"/>
              <w:rPr>
                <w:rFonts w:ascii="Times New Roman" w:hAnsi="Times New Roman"/>
                <w:b w:val="0"/>
                <w:bCs w:val="0"/>
                <w:color w:val="auto"/>
                <w:sz w:val="24"/>
                <w:szCs w:val="24"/>
              </w:rPr>
            </w:pPr>
            <w:r>
              <w:rPr>
                <w:rFonts w:hint="eastAsia"/>
                <w:b w:val="0"/>
                <w:bCs w:val="0"/>
                <w:color w:val="auto"/>
                <w:sz w:val="24"/>
                <w:szCs w:val="24"/>
                <w:lang w:eastAsia="zh-CN"/>
              </w:rPr>
              <w:t>5.</w:t>
            </w:r>
            <w:r>
              <w:rPr>
                <w:rFonts w:hint="eastAsia" w:ascii="Times New Roman" w:hAnsi="Times New Roman"/>
                <w:b w:val="0"/>
                <w:bCs w:val="0"/>
                <w:color w:val="auto"/>
                <w:sz w:val="24"/>
                <w:szCs w:val="24"/>
              </w:rPr>
              <w:t>电磁辐射</w:t>
            </w:r>
          </w:p>
          <w:p w14:paraId="59C00A7F">
            <w:pPr>
              <w:pStyle w:val="17"/>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ascii="Times New Roman" w:hAnsi="Times New Roman"/>
                <w:b w:val="0"/>
                <w:bCs w:val="0"/>
                <w:color w:val="auto"/>
                <w:sz w:val="24"/>
              </w:rPr>
            </w:pPr>
            <w:r>
              <w:rPr>
                <w:rFonts w:hint="eastAsia" w:ascii="Times New Roman" w:hAnsi="Times New Roman"/>
                <w:b w:val="0"/>
                <w:bCs w:val="0"/>
                <w:color w:val="auto"/>
                <w:sz w:val="24"/>
              </w:rPr>
              <w:t>新建或改建、扩建广播电台、差转台、电视塔台、卫星地球上行站、雷达等电磁辐射类项目，应根据相关技术导则对项目电磁辐射现状开展监测与评价。</w:t>
            </w:r>
          </w:p>
          <w:p w14:paraId="7769662E">
            <w:pPr>
              <w:pStyle w:val="17"/>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ascii="Times New Roman" w:hAnsi="Times New Roman"/>
                <w:b w:val="0"/>
                <w:bCs w:val="0"/>
                <w:color w:val="auto"/>
                <w:sz w:val="24"/>
              </w:rPr>
            </w:pPr>
            <w:r>
              <w:rPr>
                <w:rFonts w:hint="eastAsia" w:ascii="Times New Roman" w:hAnsi="Times New Roman"/>
                <w:b w:val="0"/>
                <w:bCs w:val="0"/>
                <w:color w:val="auto"/>
                <w:sz w:val="24"/>
              </w:rPr>
              <w:t>本项目</w:t>
            </w:r>
            <w:r>
              <w:rPr>
                <w:rFonts w:hint="eastAsia" w:ascii="Times New Roman" w:hAnsi="Times New Roman"/>
                <w:b w:val="0"/>
                <w:bCs w:val="0"/>
                <w:color w:val="auto"/>
                <w:sz w:val="24"/>
                <w:lang w:val="en-US" w:eastAsia="zh-CN"/>
              </w:rPr>
              <w:t>为淮安挑战者饮料有限公司饮料生产项目（不含碳酸饮料和酒）</w:t>
            </w:r>
            <w:r>
              <w:rPr>
                <w:rFonts w:hint="eastAsia" w:ascii="Times New Roman" w:hAnsi="Times New Roman"/>
                <w:b w:val="0"/>
                <w:bCs w:val="0"/>
                <w:color w:val="auto"/>
                <w:sz w:val="24"/>
              </w:rPr>
              <w:t>，不属于电磁辐射类项目，不需要开展电磁辐射现状监测和评价。</w:t>
            </w:r>
          </w:p>
          <w:p w14:paraId="1ED569D8">
            <w:pPr>
              <w:pStyle w:val="16"/>
              <w:keepNext w:val="0"/>
              <w:keepLines w:val="0"/>
              <w:pageBreakBefore w:val="0"/>
              <w:widowControl w:val="0"/>
              <w:kinsoku/>
              <w:wordWrap/>
              <w:overflowPunct/>
              <w:topLinePunct w:val="0"/>
              <w:bidi w:val="0"/>
              <w:snapToGrid/>
              <w:spacing w:after="0" w:line="360" w:lineRule="auto"/>
              <w:ind w:left="0" w:leftChars="0" w:firstLine="482"/>
              <w:textAlignment w:val="auto"/>
              <w:rPr>
                <w:rFonts w:hint="eastAsia" w:ascii="Times New Roman" w:hAnsi="Times New Roman"/>
                <w:b w:val="0"/>
                <w:bCs w:val="0"/>
                <w:color w:val="auto"/>
                <w:sz w:val="24"/>
                <w:szCs w:val="24"/>
              </w:rPr>
            </w:pPr>
            <w:r>
              <w:rPr>
                <w:rFonts w:hint="eastAsia"/>
                <w:b w:val="0"/>
                <w:bCs w:val="0"/>
                <w:color w:val="auto"/>
                <w:sz w:val="24"/>
                <w:szCs w:val="24"/>
                <w:lang w:eastAsia="zh-CN"/>
              </w:rPr>
              <w:t>6.</w:t>
            </w:r>
            <w:r>
              <w:rPr>
                <w:rFonts w:hint="eastAsia" w:ascii="Times New Roman" w:hAnsi="Times New Roman"/>
                <w:b w:val="0"/>
                <w:bCs w:val="0"/>
                <w:color w:val="auto"/>
                <w:sz w:val="24"/>
                <w:szCs w:val="24"/>
              </w:rPr>
              <w:t>地下水、土壤环境</w:t>
            </w:r>
          </w:p>
          <w:p w14:paraId="6472DC24">
            <w:pPr>
              <w:pStyle w:val="17"/>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ascii="Times New Roman" w:hAnsi="Times New Roman"/>
                <w:b w:val="0"/>
                <w:bCs w:val="0"/>
                <w:color w:val="auto"/>
                <w:sz w:val="24"/>
              </w:rPr>
            </w:pPr>
            <w:r>
              <w:rPr>
                <w:rFonts w:hint="eastAsia" w:ascii="Times New Roman" w:hAnsi="Times New Roman"/>
                <w:b w:val="0"/>
                <w:bCs w:val="0"/>
                <w:color w:val="auto"/>
                <w:sz w:val="24"/>
              </w:rPr>
              <w:t>原则上不开展环境质量现状调查。建设项目存在土壤、地下水环境污染途径的，应结合污染源、保护目标分布情况开展现状调查以留作背景值。</w:t>
            </w:r>
          </w:p>
          <w:p w14:paraId="31D90317">
            <w:pPr>
              <w:pStyle w:val="17"/>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ascii="Times New Roman" w:hAnsi="Times New Roman"/>
                <w:b w:val="0"/>
                <w:bCs w:val="0"/>
                <w:color w:val="auto"/>
                <w:sz w:val="24"/>
                <w:lang w:eastAsia="zh-CN"/>
              </w:rPr>
            </w:pPr>
            <w:r>
              <w:rPr>
                <w:rFonts w:hint="eastAsia" w:ascii="Times New Roman" w:hAnsi="Times New Roman"/>
                <w:b w:val="0"/>
                <w:bCs w:val="0"/>
                <w:color w:val="auto"/>
                <w:sz w:val="24"/>
              </w:rPr>
              <w:t>本项目不涉及地下水、土壤环境污染，因此不需要开展地下水、土壤环境现状监测和评价</w:t>
            </w:r>
            <w:r>
              <w:rPr>
                <w:rFonts w:hint="eastAsia" w:ascii="Times New Roman" w:hAnsi="Times New Roman"/>
                <w:b w:val="0"/>
                <w:bCs w:val="0"/>
                <w:color w:val="auto"/>
                <w:sz w:val="24"/>
                <w:lang w:eastAsia="zh-CN"/>
              </w:rPr>
              <w:t>。</w:t>
            </w:r>
          </w:p>
          <w:p w14:paraId="56DA288C">
            <w:pPr>
              <w:pStyle w:val="17"/>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ascii="Times New Roman" w:hAnsi="Times New Roman"/>
                <w:b w:val="0"/>
                <w:bCs w:val="0"/>
                <w:color w:val="auto"/>
                <w:sz w:val="24"/>
                <w:lang w:eastAsia="zh-CN"/>
              </w:rPr>
            </w:pPr>
          </w:p>
          <w:p w14:paraId="387A0C54">
            <w:pPr>
              <w:pStyle w:val="17"/>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ascii="Times New Roman" w:hAnsi="Times New Roman"/>
                <w:b w:val="0"/>
                <w:bCs w:val="0"/>
                <w:color w:val="auto"/>
                <w:sz w:val="24"/>
                <w:lang w:eastAsia="zh-CN"/>
              </w:rPr>
            </w:pPr>
          </w:p>
          <w:p w14:paraId="04BFC22D">
            <w:pPr>
              <w:pStyle w:val="17"/>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ascii="Times New Roman" w:hAnsi="Times New Roman"/>
                <w:b w:val="0"/>
                <w:bCs w:val="0"/>
                <w:color w:val="auto"/>
                <w:sz w:val="24"/>
                <w:lang w:eastAsia="zh-CN"/>
              </w:rPr>
            </w:pPr>
          </w:p>
          <w:p w14:paraId="72B555F5">
            <w:pPr>
              <w:pStyle w:val="17"/>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ascii="Times New Roman" w:hAnsi="Times New Roman"/>
                <w:b w:val="0"/>
                <w:bCs w:val="0"/>
                <w:color w:val="auto"/>
                <w:sz w:val="24"/>
                <w:lang w:eastAsia="zh-CN"/>
              </w:rPr>
            </w:pPr>
          </w:p>
          <w:p w14:paraId="3853A658">
            <w:pPr>
              <w:pStyle w:val="17"/>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ascii="Times New Roman" w:hAnsi="Times New Roman"/>
                <w:b w:val="0"/>
                <w:bCs w:val="0"/>
                <w:color w:val="auto"/>
                <w:sz w:val="24"/>
                <w:lang w:eastAsia="zh-CN"/>
              </w:rPr>
            </w:pPr>
          </w:p>
          <w:p w14:paraId="58A79779">
            <w:pPr>
              <w:pStyle w:val="17"/>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ascii="Times New Roman" w:hAnsi="Times New Roman"/>
                <w:b w:val="0"/>
                <w:bCs w:val="0"/>
                <w:color w:val="auto"/>
                <w:sz w:val="24"/>
                <w:lang w:eastAsia="zh-CN"/>
              </w:rPr>
            </w:pPr>
          </w:p>
          <w:p w14:paraId="57582D1C">
            <w:pPr>
              <w:pStyle w:val="17"/>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ascii="Times New Roman" w:hAnsi="Times New Roman"/>
                <w:b w:val="0"/>
                <w:bCs w:val="0"/>
                <w:color w:val="auto"/>
                <w:sz w:val="24"/>
                <w:lang w:eastAsia="zh-CN"/>
              </w:rPr>
            </w:pPr>
          </w:p>
          <w:p w14:paraId="4A83FE43">
            <w:pPr>
              <w:pStyle w:val="17"/>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ascii="Times New Roman" w:hAnsi="Times New Roman"/>
                <w:b w:val="0"/>
                <w:bCs w:val="0"/>
                <w:color w:val="auto"/>
                <w:sz w:val="24"/>
                <w:lang w:eastAsia="zh-CN"/>
              </w:rPr>
            </w:pPr>
          </w:p>
          <w:p w14:paraId="555F79A1">
            <w:pPr>
              <w:pStyle w:val="17"/>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ascii="Times New Roman" w:hAnsi="Times New Roman"/>
                <w:b w:val="0"/>
                <w:bCs w:val="0"/>
                <w:color w:val="auto"/>
                <w:sz w:val="24"/>
                <w:lang w:eastAsia="zh-CN"/>
              </w:rPr>
            </w:pPr>
          </w:p>
          <w:p w14:paraId="6C2870ED">
            <w:pPr>
              <w:pStyle w:val="17"/>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ascii="Times New Roman" w:hAnsi="Times New Roman"/>
                <w:b w:val="0"/>
                <w:bCs w:val="0"/>
                <w:color w:val="auto"/>
                <w:sz w:val="24"/>
                <w:lang w:eastAsia="zh-CN"/>
              </w:rPr>
            </w:pPr>
          </w:p>
          <w:p w14:paraId="3858FA08">
            <w:pPr>
              <w:pStyle w:val="17"/>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ascii="Times New Roman" w:hAnsi="Times New Roman"/>
                <w:b w:val="0"/>
                <w:bCs w:val="0"/>
                <w:color w:val="auto"/>
                <w:sz w:val="24"/>
                <w:lang w:eastAsia="zh-CN"/>
              </w:rPr>
            </w:pPr>
          </w:p>
          <w:p w14:paraId="554CB63A">
            <w:pPr>
              <w:pStyle w:val="17"/>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ascii="Times New Roman" w:hAnsi="Times New Roman"/>
                <w:b w:val="0"/>
                <w:bCs w:val="0"/>
                <w:color w:val="auto"/>
                <w:sz w:val="24"/>
                <w:lang w:eastAsia="zh-CN"/>
              </w:rPr>
            </w:pPr>
          </w:p>
        </w:tc>
      </w:tr>
      <w:tr w14:paraId="15350745">
        <w:trPr>
          <w:trHeight w:val="5404" w:hRule="atLeast"/>
          <w:jc w:val="center"/>
        </w:trPr>
        <w:tc>
          <w:tcPr>
            <w:tcW w:w="800" w:type="dxa"/>
            <w:noWrap w:val="0"/>
            <w:vAlign w:val="center"/>
          </w:tcPr>
          <w:p w14:paraId="72E55ADE">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环境</w:t>
            </w:r>
          </w:p>
          <w:p w14:paraId="235E1279">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保护</w:t>
            </w:r>
          </w:p>
          <w:p w14:paraId="27C6756A">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目标</w:t>
            </w:r>
          </w:p>
        </w:tc>
        <w:tc>
          <w:tcPr>
            <w:tcW w:w="8190" w:type="dxa"/>
            <w:noWrap w:val="0"/>
            <w:vAlign w:val="center"/>
          </w:tcPr>
          <w:p w14:paraId="43B00DE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szCs w:val="24"/>
              </w:rPr>
            </w:pPr>
            <w:r>
              <w:rPr>
                <w:rFonts w:hint="eastAsia"/>
                <w:color w:val="auto"/>
                <w:sz w:val="24"/>
                <w:szCs w:val="24"/>
              </w:rPr>
              <w:t>本项目为新建项目，选址于</w:t>
            </w:r>
            <w:r>
              <w:rPr>
                <w:rFonts w:hint="eastAsia"/>
                <w:color w:val="auto"/>
                <w:sz w:val="24"/>
                <w:szCs w:val="24"/>
                <w:lang w:val="en-US" w:eastAsia="zh-CN"/>
              </w:rPr>
              <w:t>涟水县经济开发区兴旺路28号（兴旺路北侧、高坚科技东侧）</w:t>
            </w:r>
            <w:r>
              <w:rPr>
                <w:rFonts w:hint="eastAsia"/>
                <w:color w:val="auto"/>
                <w:sz w:val="24"/>
                <w:szCs w:val="24"/>
              </w:rPr>
              <w:t>，根据本次环评现场踏勘可知，项目周围主要环境保护目标详情见下表。</w:t>
            </w:r>
          </w:p>
          <w:p w14:paraId="3259C4C9">
            <w:pPr>
              <w:pStyle w:val="17"/>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表3-</w:t>
            </w:r>
            <w:r>
              <w:rPr>
                <w:rFonts w:hint="eastAsia" w:ascii="Times New Roman" w:hAnsi="Times New Roman" w:cs="Times New Roman"/>
                <w:b/>
                <w:bCs/>
                <w:color w:val="auto"/>
                <w:sz w:val="21"/>
                <w:szCs w:val="21"/>
                <w:lang w:val="en-US" w:eastAsia="zh-CN"/>
              </w:rPr>
              <w:t xml:space="preserve">2  </w:t>
            </w:r>
            <w:r>
              <w:rPr>
                <w:rFonts w:hint="default" w:ascii="Times New Roman" w:hAnsi="Times New Roman" w:cs="Times New Roman"/>
                <w:b/>
                <w:bCs/>
                <w:color w:val="auto"/>
                <w:sz w:val="21"/>
                <w:szCs w:val="21"/>
              </w:rPr>
              <w:t>项目附近主要环境保护目标一览表</w:t>
            </w:r>
          </w:p>
          <w:tbl>
            <w:tblPr>
              <w:tblStyle w:val="20"/>
              <w:tblW w:w="839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1320"/>
              <w:gridCol w:w="1485"/>
              <w:gridCol w:w="1305"/>
              <w:gridCol w:w="795"/>
              <w:gridCol w:w="1005"/>
              <w:gridCol w:w="765"/>
              <w:gridCol w:w="878"/>
            </w:tblGrid>
            <w:tr w14:paraId="69633F8F">
              <w:trPr>
                <w:trHeight w:val="340" w:hRule="atLeast"/>
                <w:jc w:val="center"/>
              </w:trPr>
              <w:tc>
                <w:tcPr>
                  <w:tcW w:w="843" w:type="dxa"/>
                  <w:vMerge w:val="restart"/>
                  <w:noWrap w:val="0"/>
                  <w:vAlign w:val="center"/>
                </w:tcPr>
                <w:p w14:paraId="2CC8B9E7">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color w:val="auto"/>
                    </w:rPr>
                    <w:t>环境要素</w:t>
                  </w:r>
                </w:p>
              </w:tc>
              <w:tc>
                <w:tcPr>
                  <w:tcW w:w="1320" w:type="dxa"/>
                  <w:vMerge w:val="restart"/>
                  <w:noWrap w:val="0"/>
                  <w:vAlign w:val="center"/>
                </w:tcPr>
                <w:p w14:paraId="33284F5A">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color w:val="auto"/>
                    </w:rPr>
                    <w:t>名称</w:t>
                  </w:r>
                </w:p>
              </w:tc>
              <w:tc>
                <w:tcPr>
                  <w:tcW w:w="2790" w:type="dxa"/>
                  <w:gridSpan w:val="2"/>
                  <w:noWrap w:val="0"/>
                  <w:vAlign w:val="center"/>
                </w:tcPr>
                <w:p w14:paraId="1471AA1D">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lang w:val="en-US" w:eastAsia="zh-CN"/>
                    </w:rPr>
                  </w:pPr>
                  <w:r>
                    <w:rPr>
                      <w:rFonts w:hint="eastAsia"/>
                      <w:color w:val="auto"/>
                      <w:lang w:val="en-US" w:eastAsia="zh-CN"/>
                    </w:rPr>
                    <w:t>坐标</w:t>
                  </w:r>
                </w:p>
              </w:tc>
              <w:tc>
                <w:tcPr>
                  <w:tcW w:w="795" w:type="dxa"/>
                  <w:vMerge w:val="restart"/>
                  <w:noWrap w:val="0"/>
                  <w:vAlign w:val="center"/>
                </w:tcPr>
                <w:p w14:paraId="65ECD288">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color w:val="auto"/>
                    </w:rPr>
                    <w:t>保护对象</w:t>
                  </w:r>
                </w:p>
              </w:tc>
              <w:tc>
                <w:tcPr>
                  <w:tcW w:w="1005" w:type="dxa"/>
                  <w:vMerge w:val="restart"/>
                  <w:noWrap w:val="0"/>
                  <w:vAlign w:val="center"/>
                </w:tcPr>
                <w:p w14:paraId="45D4E2A0">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color w:val="auto"/>
                    </w:rPr>
                    <w:t>环境</w:t>
                  </w:r>
                </w:p>
                <w:p w14:paraId="6A8ACB1F">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color w:val="auto"/>
                    </w:rPr>
                    <w:t>功能区</w:t>
                  </w:r>
                </w:p>
              </w:tc>
              <w:tc>
                <w:tcPr>
                  <w:tcW w:w="765" w:type="dxa"/>
                  <w:vMerge w:val="restart"/>
                  <w:noWrap w:val="0"/>
                  <w:vAlign w:val="center"/>
                </w:tcPr>
                <w:p w14:paraId="55B80655">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color w:val="auto"/>
                    </w:rPr>
                    <w:t>相对</w:t>
                  </w:r>
                </w:p>
                <w:p w14:paraId="6B93D34A">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color w:val="auto"/>
                    </w:rPr>
                    <w:t>方位</w:t>
                  </w:r>
                </w:p>
              </w:tc>
              <w:tc>
                <w:tcPr>
                  <w:tcW w:w="878" w:type="dxa"/>
                  <w:vMerge w:val="restart"/>
                  <w:noWrap w:val="0"/>
                  <w:vAlign w:val="center"/>
                </w:tcPr>
                <w:p w14:paraId="6A7BF16A">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color w:val="auto"/>
                    </w:rPr>
                    <w:t>相对距离/m</w:t>
                  </w:r>
                </w:p>
              </w:tc>
            </w:tr>
            <w:tr w14:paraId="54AC00AB">
              <w:trPr>
                <w:trHeight w:val="340" w:hRule="atLeast"/>
                <w:jc w:val="center"/>
              </w:trPr>
              <w:tc>
                <w:tcPr>
                  <w:tcW w:w="843" w:type="dxa"/>
                  <w:vMerge w:val="continue"/>
                  <w:noWrap w:val="0"/>
                  <w:vAlign w:val="center"/>
                </w:tcPr>
                <w:p w14:paraId="5E2D0664">
                  <w:pPr>
                    <w:keepNext w:val="0"/>
                    <w:keepLines w:val="0"/>
                    <w:pageBreakBefore w:val="0"/>
                    <w:widowControl w:val="0"/>
                    <w:kinsoku/>
                    <w:wordWrap/>
                    <w:overflowPunct/>
                    <w:topLinePunct w:val="0"/>
                    <w:autoSpaceDE/>
                    <w:autoSpaceDN/>
                    <w:bidi w:val="0"/>
                    <w:adjustRightInd/>
                    <w:snapToGrid/>
                    <w:jc w:val="center"/>
                    <w:textAlignment w:val="auto"/>
                    <w:rPr>
                      <w:color w:val="auto"/>
                    </w:rPr>
                  </w:pPr>
                </w:p>
              </w:tc>
              <w:tc>
                <w:tcPr>
                  <w:tcW w:w="1320" w:type="dxa"/>
                  <w:vMerge w:val="continue"/>
                  <w:noWrap w:val="0"/>
                  <w:vAlign w:val="center"/>
                </w:tcPr>
                <w:p w14:paraId="0B8E5811">
                  <w:pPr>
                    <w:keepNext w:val="0"/>
                    <w:keepLines w:val="0"/>
                    <w:pageBreakBefore w:val="0"/>
                    <w:widowControl w:val="0"/>
                    <w:kinsoku/>
                    <w:wordWrap/>
                    <w:overflowPunct/>
                    <w:topLinePunct w:val="0"/>
                    <w:autoSpaceDE/>
                    <w:autoSpaceDN/>
                    <w:bidi w:val="0"/>
                    <w:adjustRightInd/>
                    <w:snapToGrid/>
                    <w:jc w:val="center"/>
                    <w:textAlignment w:val="auto"/>
                    <w:rPr>
                      <w:color w:val="auto"/>
                    </w:rPr>
                  </w:pPr>
                </w:p>
              </w:tc>
              <w:tc>
                <w:tcPr>
                  <w:tcW w:w="1485" w:type="dxa"/>
                  <w:noWrap w:val="0"/>
                  <w:vAlign w:val="center"/>
                </w:tcPr>
                <w:p w14:paraId="3A27B270">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lang w:val="en-US" w:eastAsia="zh-CN"/>
                    </w:rPr>
                  </w:pPr>
                  <w:r>
                    <w:rPr>
                      <w:rFonts w:hint="eastAsia"/>
                      <w:color w:val="auto"/>
                      <w:lang w:val="en-US" w:eastAsia="zh-CN"/>
                    </w:rPr>
                    <w:t>经度</w:t>
                  </w:r>
                </w:p>
              </w:tc>
              <w:tc>
                <w:tcPr>
                  <w:tcW w:w="1305" w:type="dxa"/>
                  <w:noWrap w:val="0"/>
                  <w:vAlign w:val="center"/>
                </w:tcPr>
                <w:p w14:paraId="5A383FFE">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lang w:val="en-US" w:eastAsia="zh-CN"/>
                    </w:rPr>
                  </w:pPr>
                  <w:r>
                    <w:rPr>
                      <w:rFonts w:hint="eastAsia"/>
                      <w:color w:val="auto"/>
                      <w:lang w:val="en-US" w:eastAsia="zh-CN"/>
                    </w:rPr>
                    <w:t>纬度</w:t>
                  </w:r>
                </w:p>
              </w:tc>
              <w:tc>
                <w:tcPr>
                  <w:tcW w:w="795" w:type="dxa"/>
                  <w:vMerge w:val="continue"/>
                  <w:noWrap w:val="0"/>
                  <w:vAlign w:val="center"/>
                </w:tcPr>
                <w:p w14:paraId="54C8B6D8">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lang w:val="en-US" w:eastAsia="zh-CN"/>
                    </w:rPr>
                  </w:pPr>
                </w:p>
              </w:tc>
              <w:tc>
                <w:tcPr>
                  <w:tcW w:w="1005" w:type="dxa"/>
                  <w:vMerge w:val="continue"/>
                  <w:noWrap w:val="0"/>
                  <w:vAlign w:val="center"/>
                </w:tcPr>
                <w:p w14:paraId="2A941A10">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lang w:val="en-US" w:eastAsia="zh-CN"/>
                    </w:rPr>
                  </w:pPr>
                </w:p>
              </w:tc>
              <w:tc>
                <w:tcPr>
                  <w:tcW w:w="765" w:type="dxa"/>
                  <w:vMerge w:val="continue"/>
                  <w:noWrap w:val="0"/>
                  <w:vAlign w:val="center"/>
                </w:tcPr>
                <w:p w14:paraId="7C4CE0EF">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lang w:val="en-US" w:eastAsia="zh-CN"/>
                    </w:rPr>
                  </w:pPr>
                </w:p>
              </w:tc>
              <w:tc>
                <w:tcPr>
                  <w:tcW w:w="878" w:type="dxa"/>
                  <w:vMerge w:val="continue"/>
                  <w:noWrap w:val="0"/>
                  <w:vAlign w:val="center"/>
                </w:tcPr>
                <w:p w14:paraId="43707FF7">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lang w:val="en-US" w:eastAsia="zh-CN"/>
                    </w:rPr>
                  </w:pPr>
                </w:p>
              </w:tc>
            </w:tr>
            <w:tr w14:paraId="2D940850">
              <w:trPr>
                <w:trHeight w:val="340" w:hRule="atLeast"/>
                <w:jc w:val="center"/>
              </w:trPr>
              <w:tc>
                <w:tcPr>
                  <w:tcW w:w="843" w:type="dxa"/>
                  <w:vMerge w:val="restart"/>
                  <w:noWrap w:val="0"/>
                  <w:vAlign w:val="center"/>
                </w:tcPr>
                <w:p w14:paraId="2DED1C53">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lang w:val="en-US" w:eastAsia="zh-CN"/>
                    </w:rPr>
                  </w:pPr>
                  <w:r>
                    <w:rPr>
                      <w:rFonts w:hint="eastAsia"/>
                      <w:color w:val="auto"/>
                      <w:lang w:val="en-US" w:eastAsia="zh-CN"/>
                    </w:rPr>
                    <w:t>大气环境</w:t>
                  </w:r>
                </w:p>
              </w:tc>
              <w:tc>
                <w:tcPr>
                  <w:tcW w:w="1320" w:type="dxa"/>
                  <w:noWrap w:val="0"/>
                  <w:vAlign w:val="center"/>
                </w:tcPr>
                <w:p w14:paraId="0175263E">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lang w:val="en-US" w:eastAsia="zh-CN"/>
                    </w:rPr>
                  </w:pPr>
                  <w:r>
                    <w:rPr>
                      <w:rFonts w:hint="eastAsia"/>
                      <w:color w:val="auto"/>
                      <w:lang w:val="en-US" w:eastAsia="zh-CN"/>
                    </w:rPr>
                    <w:t>振丰家园</w:t>
                  </w:r>
                </w:p>
              </w:tc>
              <w:tc>
                <w:tcPr>
                  <w:tcW w:w="1485" w:type="dxa"/>
                  <w:noWrap w:val="0"/>
                  <w:vAlign w:val="center"/>
                </w:tcPr>
                <w:p w14:paraId="6A7315B5">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lang w:val="en-US" w:eastAsia="zh-CN"/>
                    </w:rPr>
                  </w:pPr>
                  <w:r>
                    <w:rPr>
                      <w:rFonts w:hint="eastAsia"/>
                      <w:color w:val="auto"/>
                      <w:lang w:val="en-US" w:eastAsia="zh-CN"/>
                    </w:rPr>
                    <w:t>119.23092306</w:t>
                  </w:r>
                </w:p>
              </w:tc>
              <w:tc>
                <w:tcPr>
                  <w:tcW w:w="1305" w:type="dxa"/>
                  <w:noWrap w:val="0"/>
                  <w:vAlign w:val="center"/>
                </w:tcPr>
                <w:p w14:paraId="40A66CCD">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lang w:val="en-US" w:eastAsia="zh-CN"/>
                    </w:rPr>
                  </w:pPr>
                  <w:r>
                    <w:rPr>
                      <w:rFonts w:hint="eastAsia"/>
                      <w:color w:val="auto"/>
                      <w:lang w:val="en-US" w:eastAsia="zh-CN"/>
                    </w:rPr>
                    <w:t>33.8047461</w:t>
                  </w:r>
                </w:p>
              </w:tc>
              <w:tc>
                <w:tcPr>
                  <w:tcW w:w="795" w:type="dxa"/>
                  <w:noWrap w:val="0"/>
                  <w:vAlign w:val="center"/>
                </w:tcPr>
                <w:p w14:paraId="2D2F239A">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lang w:val="en-US" w:eastAsia="zh-CN"/>
                    </w:rPr>
                  </w:pPr>
                  <w:r>
                    <w:rPr>
                      <w:rFonts w:hint="eastAsia"/>
                      <w:color w:val="auto"/>
                      <w:lang w:val="en-US" w:eastAsia="zh-CN"/>
                    </w:rPr>
                    <w:t>人群</w:t>
                  </w:r>
                </w:p>
              </w:tc>
              <w:tc>
                <w:tcPr>
                  <w:tcW w:w="1005" w:type="dxa"/>
                  <w:vMerge w:val="restart"/>
                  <w:noWrap w:val="0"/>
                  <w:vAlign w:val="center"/>
                </w:tcPr>
                <w:p w14:paraId="4F91230E">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lang w:val="en-US" w:eastAsia="zh-CN"/>
                    </w:rPr>
                  </w:pPr>
                  <w:r>
                    <w:rPr>
                      <w:rFonts w:hint="eastAsia"/>
                      <w:color w:val="auto"/>
                      <w:lang w:val="en-US" w:eastAsia="zh-CN"/>
                    </w:rPr>
                    <w:t>二类区</w:t>
                  </w:r>
                </w:p>
              </w:tc>
              <w:tc>
                <w:tcPr>
                  <w:tcW w:w="765" w:type="dxa"/>
                  <w:noWrap w:val="0"/>
                  <w:vAlign w:val="center"/>
                </w:tcPr>
                <w:p w14:paraId="581B497C">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lang w:val="en-US" w:eastAsia="zh-CN"/>
                    </w:rPr>
                  </w:pPr>
                  <w:r>
                    <w:rPr>
                      <w:rFonts w:hint="eastAsia"/>
                      <w:color w:val="auto"/>
                      <w:lang w:val="en-US" w:eastAsia="zh-CN"/>
                    </w:rPr>
                    <w:t>W</w:t>
                  </w:r>
                </w:p>
              </w:tc>
              <w:tc>
                <w:tcPr>
                  <w:tcW w:w="878" w:type="dxa"/>
                  <w:noWrap w:val="0"/>
                  <w:vAlign w:val="center"/>
                </w:tcPr>
                <w:p w14:paraId="32C3151C">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lang w:val="en-US" w:eastAsia="zh-CN"/>
                    </w:rPr>
                  </w:pPr>
                  <w:r>
                    <w:rPr>
                      <w:rFonts w:hint="eastAsia"/>
                      <w:color w:val="auto"/>
                      <w:lang w:val="en-US" w:eastAsia="zh-CN"/>
                    </w:rPr>
                    <w:t>175</w:t>
                  </w:r>
                </w:p>
              </w:tc>
            </w:tr>
            <w:tr w14:paraId="47E7FE46">
              <w:trPr>
                <w:trHeight w:val="340" w:hRule="atLeast"/>
                <w:jc w:val="center"/>
              </w:trPr>
              <w:tc>
                <w:tcPr>
                  <w:tcW w:w="843" w:type="dxa"/>
                  <w:vMerge w:val="continue"/>
                  <w:noWrap w:val="0"/>
                  <w:vAlign w:val="center"/>
                </w:tcPr>
                <w:p w14:paraId="25B5DD5C">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lang w:val="en-US" w:eastAsia="zh-CN"/>
                    </w:rPr>
                  </w:pPr>
                </w:p>
              </w:tc>
              <w:tc>
                <w:tcPr>
                  <w:tcW w:w="1320" w:type="dxa"/>
                  <w:noWrap w:val="0"/>
                  <w:vAlign w:val="center"/>
                </w:tcPr>
                <w:p w14:paraId="79F6B08B">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lang w:val="en-US" w:eastAsia="zh-CN"/>
                    </w:rPr>
                  </w:pPr>
                  <w:r>
                    <w:rPr>
                      <w:rFonts w:hint="eastAsia"/>
                      <w:color w:val="auto"/>
                      <w:lang w:val="en-US" w:eastAsia="zh-CN"/>
                    </w:rPr>
                    <w:t>经济开发区实验学校</w:t>
                  </w:r>
                </w:p>
              </w:tc>
              <w:tc>
                <w:tcPr>
                  <w:tcW w:w="1485" w:type="dxa"/>
                  <w:noWrap w:val="0"/>
                  <w:vAlign w:val="center"/>
                </w:tcPr>
                <w:p w14:paraId="1D76E909">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lang w:val="en-US" w:eastAsia="zh-CN"/>
                    </w:rPr>
                  </w:pPr>
                  <w:r>
                    <w:rPr>
                      <w:rFonts w:hint="eastAsia"/>
                      <w:color w:val="auto"/>
                      <w:lang w:val="en-US" w:eastAsia="zh-CN"/>
                    </w:rPr>
                    <w:t>119.23334241</w:t>
                  </w:r>
                </w:p>
              </w:tc>
              <w:tc>
                <w:tcPr>
                  <w:tcW w:w="1305" w:type="dxa"/>
                  <w:noWrap w:val="0"/>
                  <w:vAlign w:val="center"/>
                </w:tcPr>
                <w:p w14:paraId="0158BDBA">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lang w:val="en-US" w:eastAsia="zh-CN"/>
                    </w:rPr>
                  </w:pPr>
                  <w:r>
                    <w:rPr>
                      <w:rFonts w:hint="eastAsia"/>
                      <w:color w:val="auto"/>
                      <w:lang w:val="en-US" w:eastAsia="zh-CN"/>
                    </w:rPr>
                    <w:t>33.8067653</w:t>
                  </w:r>
                </w:p>
              </w:tc>
              <w:tc>
                <w:tcPr>
                  <w:tcW w:w="795" w:type="dxa"/>
                  <w:noWrap w:val="0"/>
                  <w:vAlign w:val="center"/>
                </w:tcPr>
                <w:p w14:paraId="1A5B8B64">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lang w:val="en-US" w:eastAsia="zh-CN"/>
                    </w:rPr>
                  </w:pPr>
                  <w:r>
                    <w:rPr>
                      <w:rFonts w:hint="eastAsia"/>
                      <w:color w:val="auto"/>
                      <w:lang w:val="en-US" w:eastAsia="zh-CN"/>
                    </w:rPr>
                    <w:t>人群</w:t>
                  </w:r>
                </w:p>
              </w:tc>
              <w:tc>
                <w:tcPr>
                  <w:tcW w:w="1005" w:type="dxa"/>
                  <w:vMerge w:val="continue"/>
                  <w:noWrap w:val="0"/>
                  <w:vAlign w:val="center"/>
                </w:tcPr>
                <w:p w14:paraId="355B0640">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lang w:val="en-US" w:eastAsia="zh-CN"/>
                    </w:rPr>
                  </w:pPr>
                </w:p>
              </w:tc>
              <w:tc>
                <w:tcPr>
                  <w:tcW w:w="765" w:type="dxa"/>
                  <w:noWrap w:val="0"/>
                  <w:vAlign w:val="center"/>
                </w:tcPr>
                <w:p w14:paraId="18BF53C9">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lang w:val="en-US" w:eastAsia="zh-CN"/>
                    </w:rPr>
                  </w:pPr>
                  <w:r>
                    <w:rPr>
                      <w:rFonts w:hint="eastAsia"/>
                      <w:color w:val="auto"/>
                      <w:lang w:val="en-US" w:eastAsia="zh-CN"/>
                    </w:rPr>
                    <w:t>N</w:t>
                  </w:r>
                </w:p>
              </w:tc>
              <w:tc>
                <w:tcPr>
                  <w:tcW w:w="878" w:type="dxa"/>
                  <w:noWrap w:val="0"/>
                  <w:vAlign w:val="center"/>
                </w:tcPr>
                <w:p w14:paraId="26C2ECD6">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lang w:val="en-US" w:eastAsia="zh-CN"/>
                    </w:rPr>
                  </w:pPr>
                  <w:r>
                    <w:rPr>
                      <w:rFonts w:hint="eastAsia"/>
                      <w:color w:val="auto"/>
                      <w:lang w:val="en-US" w:eastAsia="zh-CN"/>
                    </w:rPr>
                    <w:t>230</w:t>
                  </w:r>
                </w:p>
              </w:tc>
            </w:tr>
            <w:tr w14:paraId="3952FE62">
              <w:trPr>
                <w:trHeight w:val="340" w:hRule="atLeast"/>
                <w:jc w:val="center"/>
              </w:trPr>
              <w:tc>
                <w:tcPr>
                  <w:tcW w:w="843" w:type="dxa"/>
                  <w:vMerge w:val="continue"/>
                  <w:noWrap w:val="0"/>
                  <w:vAlign w:val="center"/>
                </w:tcPr>
                <w:p w14:paraId="6D9E3E1F">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lang w:val="en-US" w:eastAsia="zh-CN"/>
                    </w:rPr>
                  </w:pPr>
                </w:p>
              </w:tc>
              <w:tc>
                <w:tcPr>
                  <w:tcW w:w="1320" w:type="dxa"/>
                  <w:noWrap w:val="0"/>
                  <w:vAlign w:val="center"/>
                </w:tcPr>
                <w:p w14:paraId="60584694">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lang w:val="en-US" w:eastAsia="zh-CN"/>
                    </w:rPr>
                  </w:pPr>
                  <w:r>
                    <w:rPr>
                      <w:rFonts w:hint="eastAsia"/>
                      <w:color w:val="auto"/>
                      <w:lang w:val="en-US" w:eastAsia="zh-CN"/>
                    </w:rPr>
                    <w:t>洪福家园</w:t>
                  </w:r>
                </w:p>
              </w:tc>
              <w:tc>
                <w:tcPr>
                  <w:tcW w:w="1485" w:type="dxa"/>
                  <w:noWrap w:val="0"/>
                  <w:vAlign w:val="center"/>
                </w:tcPr>
                <w:p w14:paraId="18C15DDF">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lang w:val="en-US" w:eastAsia="zh-CN"/>
                    </w:rPr>
                  </w:pPr>
                  <w:r>
                    <w:rPr>
                      <w:rFonts w:hint="eastAsia"/>
                      <w:color w:val="auto"/>
                      <w:lang w:val="en-US" w:eastAsia="zh-CN"/>
                    </w:rPr>
                    <w:t>119.23077822</w:t>
                  </w:r>
                </w:p>
              </w:tc>
              <w:tc>
                <w:tcPr>
                  <w:tcW w:w="1305" w:type="dxa"/>
                  <w:noWrap w:val="0"/>
                  <w:vAlign w:val="center"/>
                </w:tcPr>
                <w:p w14:paraId="4035C062">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lang w:val="en-US" w:eastAsia="zh-CN"/>
                    </w:rPr>
                  </w:pPr>
                  <w:r>
                    <w:rPr>
                      <w:rFonts w:hint="eastAsia"/>
                      <w:color w:val="auto"/>
                      <w:lang w:val="en-US" w:eastAsia="zh-CN"/>
                    </w:rPr>
                    <w:t>33.8068812</w:t>
                  </w:r>
                </w:p>
              </w:tc>
              <w:tc>
                <w:tcPr>
                  <w:tcW w:w="795" w:type="dxa"/>
                  <w:noWrap w:val="0"/>
                  <w:vAlign w:val="center"/>
                </w:tcPr>
                <w:p w14:paraId="776326D1">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lang w:val="en-US" w:eastAsia="zh-CN"/>
                    </w:rPr>
                  </w:pPr>
                  <w:r>
                    <w:rPr>
                      <w:rFonts w:hint="eastAsia"/>
                      <w:color w:val="auto"/>
                      <w:lang w:val="en-US" w:eastAsia="zh-CN"/>
                    </w:rPr>
                    <w:t>人群</w:t>
                  </w:r>
                </w:p>
              </w:tc>
              <w:tc>
                <w:tcPr>
                  <w:tcW w:w="1005" w:type="dxa"/>
                  <w:vMerge w:val="continue"/>
                  <w:noWrap w:val="0"/>
                  <w:vAlign w:val="center"/>
                </w:tcPr>
                <w:p w14:paraId="4B83CD2B">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lang w:val="en-US" w:eastAsia="zh-CN"/>
                    </w:rPr>
                  </w:pPr>
                </w:p>
              </w:tc>
              <w:tc>
                <w:tcPr>
                  <w:tcW w:w="765" w:type="dxa"/>
                  <w:noWrap w:val="0"/>
                  <w:vAlign w:val="center"/>
                </w:tcPr>
                <w:p w14:paraId="76C9C283">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lang w:val="en-US" w:eastAsia="zh-CN"/>
                    </w:rPr>
                  </w:pPr>
                  <w:r>
                    <w:rPr>
                      <w:rFonts w:hint="eastAsia"/>
                      <w:color w:val="auto"/>
                      <w:lang w:val="en-US" w:eastAsia="zh-CN"/>
                    </w:rPr>
                    <w:t>NW</w:t>
                  </w:r>
                </w:p>
              </w:tc>
              <w:tc>
                <w:tcPr>
                  <w:tcW w:w="878" w:type="dxa"/>
                  <w:noWrap w:val="0"/>
                  <w:vAlign w:val="center"/>
                </w:tcPr>
                <w:p w14:paraId="264F5738">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lang w:val="en-US" w:eastAsia="zh-CN"/>
                    </w:rPr>
                  </w:pPr>
                  <w:r>
                    <w:rPr>
                      <w:rFonts w:hint="eastAsia"/>
                      <w:color w:val="auto"/>
                      <w:lang w:val="en-US" w:eastAsia="zh-CN"/>
                    </w:rPr>
                    <w:t>329</w:t>
                  </w:r>
                </w:p>
              </w:tc>
            </w:tr>
            <w:tr w14:paraId="0AA3F420">
              <w:trPr>
                <w:trHeight w:val="340" w:hRule="atLeast"/>
                <w:jc w:val="center"/>
              </w:trPr>
              <w:tc>
                <w:tcPr>
                  <w:tcW w:w="843" w:type="dxa"/>
                  <w:vMerge w:val="continue"/>
                  <w:noWrap w:val="0"/>
                  <w:vAlign w:val="center"/>
                </w:tcPr>
                <w:p w14:paraId="57E69A7D">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lang w:val="en-US" w:eastAsia="zh-CN"/>
                    </w:rPr>
                  </w:pPr>
                </w:p>
              </w:tc>
              <w:tc>
                <w:tcPr>
                  <w:tcW w:w="1320" w:type="dxa"/>
                  <w:noWrap w:val="0"/>
                  <w:vAlign w:val="center"/>
                </w:tcPr>
                <w:p w14:paraId="7DB4112D">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lang w:val="en-US" w:eastAsia="zh-CN"/>
                    </w:rPr>
                  </w:pPr>
                  <w:r>
                    <w:rPr>
                      <w:rFonts w:hint="eastAsia"/>
                      <w:color w:val="auto"/>
                      <w:lang w:val="en-US" w:eastAsia="zh-CN"/>
                    </w:rPr>
                    <w:t>梁呈美景</w:t>
                  </w:r>
                </w:p>
              </w:tc>
              <w:tc>
                <w:tcPr>
                  <w:tcW w:w="1485" w:type="dxa"/>
                  <w:noWrap w:val="0"/>
                  <w:vAlign w:val="center"/>
                </w:tcPr>
                <w:p w14:paraId="7F22A806">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lang w:val="en-US" w:eastAsia="zh-CN"/>
                    </w:rPr>
                  </w:pPr>
                  <w:r>
                    <w:rPr>
                      <w:rFonts w:hint="eastAsia"/>
                      <w:color w:val="auto"/>
                      <w:lang w:val="en-US" w:eastAsia="zh-CN"/>
                    </w:rPr>
                    <w:t>119.23074067</w:t>
                  </w:r>
                </w:p>
              </w:tc>
              <w:tc>
                <w:tcPr>
                  <w:tcW w:w="1305" w:type="dxa"/>
                  <w:noWrap w:val="0"/>
                  <w:vAlign w:val="center"/>
                </w:tcPr>
                <w:p w14:paraId="36986417">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lang w:val="en-US" w:eastAsia="zh-CN"/>
                    </w:rPr>
                  </w:pPr>
                  <w:r>
                    <w:rPr>
                      <w:rFonts w:hint="eastAsia"/>
                      <w:color w:val="auto"/>
                      <w:lang w:val="en-US" w:eastAsia="zh-CN"/>
                    </w:rPr>
                    <w:t>33.7989913</w:t>
                  </w:r>
                </w:p>
              </w:tc>
              <w:tc>
                <w:tcPr>
                  <w:tcW w:w="795" w:type="dxa"/>
                  <w:noWrap w:val="0"/>
                  <w:vAlign w:val="center"/>
                </w:tcPr>
                <w:p w14:paraId="492352FA">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lang w:val="en-US" w:eastAsia="zh-CN"/>
                    </w:rPr>
                  </w:pPr>
                  <w:r>
                    <w:rPr>
                      <w:rFonts w:hint="eastAsia"/>
                      <w:color w:val="auto"/>
                      <w:lang w:val="en-US" w:eastAsia="zh-CN"/>
                    </w:rPr>
                    <w:t>人群</w:t>
                  </w:r>
                </w:p>
              </w:tc>
              <w:tc>
                <w:tcPr>
                  <w:tcW w:w="1005" w:type="dxa"/>
                  <w:vMerge w:val="continue"/>
                  <w:noWrap w:val="0"/>
                  <w:vAlign w:val="center"/>
                </w:tcPr>
                <w:p w14:paraId="7E2CCFFC">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lang w:val="en-US" w:eastAsia="zh-CN"/>
                    </w:rPr>
                  </w:pPr>
                </w:p>
              </w:tc>
              <w:tc>
                <w:tcPr>
                  <w:tcW w:w="765" w:type="dxa"/>
                  <w:noWrap w:val="0"/>
                  <w:vAlign w:val="center"/>
                </w:tcPr>
                <w:p w14:paraId="4B54EBFD">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lang w:val="en-US" w:eastAsia="zh-CN"/>
                    </w:rPr>
                  </w:pPr>
                  <w:r>
                    <w:rPr>
                      <w:rFonts w:hint="eastAsia"/>
                      <w:color w:val="auto"/>
                      <w:lang w:val="en-US" w:eastAsia="zh-CN"/>
                    </w:rPr>
                    <w:t>SW</w:t>
                  </w:r>
                </w:p>
              </w:tc>
              <w:tc>
                <w:tcPr>
                  <w:tcW w:w="878" w:type="dxa"/>
                  <w:noWrap w:val="0"/>
                  <w:vAlign w:val="center"/>
                </w:tcPr>
                <w:p w14:paraId="66F23EF8">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lang w:val="en-US" w:eastAsia="zh-CN"/>
                    </w:rPr>
                  </w:pPr>
                  <w:r>
                    <w:rPr>
                      <w:rFonts w:hint="eastAsia"/>
                      <w:color w:val="auto"/>
                      <w:lang w:val="en-US" w:eastAsia="zh-CN"/>
                    </w:rPr>
                    <w:t>503</w:t>
                  </w:r>
                </w:p>
              </w:tc>
            </w:tr>
            <w:tr w14:paraId="6DD173DE">
              <w:trPr>
                <w:trHeight w:val="340" w:hRule="atLeast"/>
                <w:jc w:val="center"/>
              </w:trPr>
              <w:tc>
                <w:tcPr>
                  <w:tcW w:w="843" w:type="dxa"/>
                  <w:noWrap w:val="0"/>
                  <w:vAlign w:val="center"/>
                </w:tcPr>
                <w:p w14:paraId="53B4A6FE">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color w:val="auto"/>
                    </w:rPr>
                    <w:t>声环境</w:t>
                  </w:r>
                </w:p>
              </w:tc>
              <w:tc>
                <w:tcPr>
                  <w:tcW w:w="7553" w:type="dxa"/>
                  <w:gridSpan w:val="7"/>
                  <w:noWrap w:val="0"/>
                  <w:vAlign w:val="center"/>
                </w:tcPr>
                <w:p w14:paraId="4D20451D">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Fonts w:hint="eastAsia"/>
                      <w:color w:val="auto"/>
                    </w:rPr>
                    <w:t>本项目</w:t>
                  </w:r>
                  <w:r>
                    <w:rPr>
                      <w:color w:val="auto"/>
                    </w:rPr>
                    <w:t>厂界外50米范围内无声环境保护目标</w:t>
                  </w:r>
                </w:p>
              </w:tc>
            </w:tr>
            <w:tr w14:paraId="085DE334">
              <w:trPr>
                <w:trHeight w:val="340" w:hRule="atLeast"/>
                <w:jc w:val="center"/>
              </w:trPr>
              <w:tc>
                <w:tcPr>
                  <w:tcW w:w="843" w:type="dxa"/>
                  <w:noWrap w:val="0"/>
                  <w:vAlign w:val="center"/>
                </w:tcPr>
                <w:p w14:paraId="0EF86941">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lang w:val="en-US" w:eastAsia="zh-CN"/>
                    </w:rPr>
                  </w:pPr>
                  <w:r>
                    <w:rPr>
                      <w:rFonts w:hint="eastAsia"/>
                      <w:color w:val="auto"/>
                      <w:lang w:val="en-US" w:eastAsia="zh-CN"/>
                    </w:rPr>
                    <w:t>地表水</w:t>
                  </w:r>
                </w:p>
              </w:tc>
              <w:tc>
                <w:tcPr>
                  <w:tcW w:w="7553" w:type="dxa"/>
                  <w:gridSpan w:val="7"/>
                  <w:noWrap w:val="0"/>
                  <w:vAlign w:val="center"/>
                </w:tcPr>
                <w:p w14:paraId="1F2E5D01">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rPr>
                  </w:pPr>
                  <w:r>
                    <w:rPr>
                      <w:rFonts w:hint="eastAsia"/>
                      <w:color w:val="auto"/>
                    </w:rPr>
                    <w:t>本项目不涉及饮用水水源保护区、饮用水取水口，涉水的自然保护区、风景名胜区，重要湿地、重点保护与珍稀水生生物的栖息地、重要水生生物的自然产卵场及索</w:t>
                  </w:r>
                  <w:r>
                    <w:rPr>
                      <w:rFonts w:hint="eastAsia"/>
                      <w:color w:val="auto"/>
                      <w:lang w:val="en-US" w:eastAsia="zh-CN"/>
                    </w:rPr>
                    <w:t>饵</w:t>
                  </w:r>
                  <w:r>
                    <w:rPr>
                      <w:rFonts w:hint="eastAsia"/>
                      <w:color w:val="auto"/>
                    </w:rPr>
                    <w:t>场、越冬场和</w:t>
                  </w:r>
                  <w:r>
                    <w:rPr>
                      <w:rFonts w:hint="eastAsia"/>
                      <w:color w:val="auto"/>
                      <w:lang w:val="en-US" w:eastAsia="zh-CN"/>
                    </w:rPr>
                    <w:t>洄</w:t>
                  </w:r>
                  <w:r>
                    <w:rPr>
                      <w:rFonts w:hint="eastAsia"/>
                      <w:color w:val="auto"/>
                    </w:rPr>
                    <w:t>游通道，天然渔场等渔业水体</w:t>
                  </w:r>
                  <w:r>
                    <w:rPr>
                      <w:rFonts w:hint="eastAsia"/>
                      <w:color w:val="auto"/>
                      <w:lang w:eastAsia="zh-CN"/>
                    </w:rPr>
                    <w:t>，</w:t>
                  </w:r>
                  <w:r>
                    <w:rPr>
                      <w:rFonts w:hint="eastAsia"/>
                      <w:color w:val="auto"/>
                    </w:rPr>
                    <w:t>以及水产种质资源保护区上述地表水环境保护目标。本项目</w:t>
                  </w:r>
                  <w:r>
                    <w:rPr>
                      <w:rFonts w:hint="eastAsia"/>
                      <w:color w:val="auto"/>
                      <w:lang w:val="en-US" w:eastAsia="zh-CN"/>
                    </w:rPr>
                    <w:t>纳污河流为</w:t>
                  </w:r>
                  <w:r>
                    <w:rPr>
                      <w:rFonts w:hint="eastAsia"/>
                      <w:color w:val="auto"/>
                    </w:rPr>
                    <w:t>公兴河，</w:t>
                  </w:r>
                  <w:r>
                    <w:rPr>
                      <w:rFonts w:hint="eastAsia"/>
                      <w:color w:val="auto"/>
                      <w:sz w:val="21"/>
                    </w:rPr>
                    <w:t>公兴河2025年按《地表水环境质量标准》（GB3838-2002）</w:t>
                  </w:r>
                  <w:r>
                    <w:rPr>
                      <w:rFonts w:hint="eastAsia"/>
                      <w:color w:val="auto"/>
                      <w:sz w:val="21"/>
                      <w:lang w:eastAsia="zh-CN"/>
                    </w:rPr>
                    <w:t>Ⅳ类</w:t>
                  </w:r>
                  <w:r>
                    <w:rPr>
                      <w:rFonts w:hint="eastAsia"/>
                      <w:color w:val="auto"/>
                      <w:sz w:val="21"/>
                    </w:rPr>
                    <w:t>标准考核，2030年执行《地表水环境质量标准》（GB3838-2002）</w:t>
                  </w:r>
                  <w:r>
                    <w:rPr>
                      <w:rFonts w:hint="default" w:ascii="Times New Roman" w:hAnsi="Times New Roman" w:cs="Times New Roman"/>
                      <w:color w:val="auto"/>
                      <w:sz w:val="21"/>
                    </w:rPr>
                    <w:t>Ⅲ</w:t>
                  </w:r>
                  <w:r>
                    <w:rPr>
                      <w:rFonts w:hint="eastAsia"/>
                      <w:color w:val="auto"/>
                      <w:sz w:val="21"/>
                    </w:rPr>
                    <w:t>类标准。</w:t>
                  </w:r>
                </w:p>
              </w:tc>
            </w:tr>
            <w:tr w14:paraId="7D5CD507">
              <w:trPr>
                <w:trHeight w:val="340" w:hRule="atLeast"/>
                <w:jc w:val="center"/>
              </w:trPr>
              <w:tc>
                <w:tcPr>
                  <w:tcW w:w="843" w:type="dxa"/>
                  <w:noWrap w:val="0"/>
                  <w:vAlign w:val="center"/>
                </w:tcPr>
                <w:p w14:paraId="429BC3ED">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color w:val="auto"/>
                    </w:rPr>
                    <w:t>地下水环境</w:t>
                  </w:r>
                </w:p>
              </w:tc>
              <w:tc>
                <w:tcPr>
                  <w:tcW w:w="7553" w:type="dxa"/>
                  <w:gridSpan w:val="7"/>
                  <w:noWrap w:val="0"/>
                  <w:vAlign w:val="center"/>
                </w:tcPr>
                <w:p w14:paraId="7F9294CA">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Fonts w:hint="eastAsia"/>
                      <w:color w:val="auto"/>
                    </w:rPr>
                    <w:t>本项目</w:t>
                  </w:r>
                  <w:r>
                    <w:rPr>
                      <w:color w:val="auto"/>
                    </w:rPr>
                    <w:t>厂界外500米范围内无地下水集中式饮用水水源和热水、矿泉水、温泉等特殊地下水资源</w:t>
                  </w:r>
                </w:p>
              </w:tc>
            </w:tr>
            <w:tr w14:paraId="2D75D455">
              <w:trPr>
                <w:trHeight w:val="340" w:hRule="atLeast"/>
                <w:jc w:val="center"/>
              </w:trPr>
              <w:tc>
                <w:tcPr>
                  <w:tcW w:w="843" w:type="dxa"/>
                  <w:noWrap w:val="0"/>
                  <w:vAlign w:val="center"/>
                </w:tcPr>
                <w:p w14:paraId="7A3B6E1B">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color w:val="auto"/>
                    </w:rPr>
                    <w:t>生态环境</w:t>
                  </w:r>
                </w:p>
              </w:tc>
              <w:tc>
                <w:tcPr>
                  <w:tcW w:w="7553" w:type="dxa"/>
                  <w:gridSpan w:val="7"/>
                  <w:noWrap w:val="0"/>
                  <w:vAlign w:val="center"/>
                </w:tcPr>
                <w:p w14:paraId="0537AF29">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Fonts w:hint="eastAsia"/>
                      <w:color w:val="auto"/>
                    </w:rPr>
                    <w:t>本项目</w:t>
                  </w:r>
                  <w:r>
                    <w:rPr>
                      <w:rFonts w:hint="eastAsia"/>
                      <w:color w:val="auto"/>
                      <w:lang w:val="en-US" w:eastAsia="zh-CN"/>
                    </w:rPr>
                    <w:t>位于江苏涟水经济开发区</w:t>
                  </w:r>
                  <w:r>
                    <w:rPr>
                      <w:rFonts w:hint="eastAsia"/>
                      <w:color w:val="auto"/>
                    </w:rPr>
                    <w:t>，且用地范围内无生态环境保护目标</w:t>
                  </w:r>
                </w:p>
              </w:tc>
            </w:tr>
            <w:tr w14:paraId="7322FC0A">
              <w:trPr>
                <w:trHeight w:val="340" w:hRule="atLeast"/>
                <w:jc w:val="center"/>
              </w:trPr>
              <w:tc>
                <w:tcPr>
                  <w:tcW w:w="843" w:type="dxa"/>
                  <w:noWrap w:val="0"/>
                  <w:vAlign w:val="center"/>
                </w:tcPr>
                <w:p w14:paraId="6D3CA55B">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Fonts w:hint="eastAsia"/>
                      <w:color w:val="auto"/>
                      <w:lang w:val="en-US" w:eastAsia="zh-CN"/>
                    </w:rPr>
                    <w:t>电磁辐射</w:t>
                  </w:r>
                </w:p>
              </w:tc>
              <w:tc>
                <w:tcPr>
                  <w:tcW w:w="7553" w:type="dxa"/>
                  <w:gridSpan w:val="7"/>
                  <w:noWrap w:val="0"/>
                  <w:vAlign w:val="center"/>
                </w:tcPr>
                <w:p w14:paraId="3C7E3034">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rPr>
                  </w:pPr>
                  <w:r>
                    <w:rPr>
                      <w:rFonts w:hint="eastAsia"/>
                      <w:color w:val="auto"/>
                    </w:rPr>
                    <w:t>本项目不属于电磁辐射类项目</w:t>
                  </w:r>
                </w:p>
              </w:tc>
            </w:tr>
            <w:tr w14:paraId="260F5C2D">
              <w:trPr>
                <w:trHeight w:val="340" w:hRule="atLeast"/>
                <w:jc w:val="center"/>
              </w:trPr>
              <w:tc>
                <w:tcPr>
                  <w:tcW w:w="843" w:type="dxa"/>
                  <w:noWrap w:val="0"/>
                  <w:vAlign w:val="center"/>
                </w:tcPr>
                <w:p w14:paraId="25FD780D">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Fonts w:hint="eastAsia"/>
                      <w:color w:val="auto"/>
                      <w:lang w:val="en-US" w:eastAsia="zh-CN"/>
                    </w:rPr>
                    <w:t>土壤环境</w:t>
                  </w:r>
                </w:p>
              </w:tc>
              <w:tc>
                <w:tcPr>
                  <w:tcW w:w="7553" w:type="dxa"/>
                  <w:gridSpan w:val="7"/>
                  <w:noWrap w:val="0"/>
                  <w:vAlign w:val="center"/>
                </w:tcPr>
                <w:p w14:paraId="34491CA7">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rPr>
                  </w:pPr>
                  <w:r>
                    <w:rPr>
                      <w:rFonts w:hint="eastAsia"/>
                      <w:color w:val="auto"/>
                    </w:rPr>
                    <w:t>本项目不涉及土壤环境污染</w:t>
                  </w:r>
                </w:p>
              </w:tc>
            </w:tr>
          </w:tbl>
          <w:p w14:paraId="1D94F33D">
            <w:pPr>
              <w:pStyle w:val="17"/>
              <w:ind w:left="0" w:leftChars="0" w:firstLine="0" w:firstLineChars="0"/>
              <w:rPr>
                <w:color w:val="auto"/>
              </w:rPr>
            </w:pPr>
          </w:p>
          <w:p w14:paraId="48939A46">
            <w:pPr>
              <w:pStyle w:val="17"/>
              <w:ind w:left="0" w:leftChars="0" w:firstLine="0" w:firstLineChars="0"/>
              <w:rPr>
                <w:color w:val="auto"/>
              </w:rPr>
            </w:pPr>
          </w:p>
          <w:p w14:paraId="6A42AE5A">
            <w:pPr>
              <w:pStyle w:val="17"/>
              <w:ind w:left="0" w:leftChars="0" w:firstLine="0" w:firstLineChars="0"/>
              <w:rPr>
                <w:color w:val="auto"/>
              </w:rPr>
            </w:pPr>
          </w:p>
          <w:p w14:paraId="7B534AE6">
            <w:pPr>
              <w:pStyle w:val="17"/>
              <w:ind w:left="0" w:leftChars="0" w:firstLine="0" w:firstLineChars="0"/>
              <w:rPr>
                <w:color w:val="auto"/>
              </w:rPr>
            </w:pPr>
          </w:p>
          <w:p w14:paraId="02A42B1D">
            <w:pPr>
              <w:pStyle w:val="17"/>
              <w:ind w:left="0" w:leftChars="0" w:firstLine="0" w:firstLineChars="0"/>
              <w:rPr>
                <w:color w:val="auto"/>
              </w:rPr>
            </w:pPr>
          </w:p>
          <w:p w14:paraId="26E7EA89">
            <w:pPr>
              <w:pStyle w:val="17"/>
              <w:ind w:left="0" w:leftChars="0" w:firstLine="0" w:firstLineChars="0"/>
              <w:rPr>
                <w:color w:val="auto"/>
              </w:rPr>
            </w:pPr>
          </w:p>
          <w:p w14:paraId="48D02E94">
            <w:pPr>
              <w:pStyle w:val="17"/>
              <w:ind w:left="0" w:leftChars="0" w:firstLine="0" w:firstLineChars="0"/>
              <w:rPr>
                <w:color w:val="auto"/>
              </w:rPr>
            </w:pPr>
          </w:p>
          <w:p w14:paraId="3EDE4A7A">
            <w:pPr>
              <w:pStyle w:val="17"/>
              <w:ind w:left="0" w:leftChars="0" w:firstLine="0" w:firstLineChars="0"/>
              <w:rPr>
                <w:color w:val="auto"/>
              </w:rPr>
            </w:pPr>
          </w:p>
        </w:tc>
      </w:tr>
      <w:tr w14:paraId="56427D2A">
        <w:trPr>
          <w:trHeight w:val="12864" w:hRule="atLeast"/>
          <w:jc w:val="center"/>
        </w:trPr>
        <w:tc>
          <w:tcPr>
            <w:tcW w:w="800" w:type="dxa"/>
            <w:noWrap w:val="0"/>
            <w:tcMar>
              <w:left w:w="28" w:type="dxa"/>
              <w:right w:w="28" w:type="dxa"/>
            </w:tcMar>
            <w:vAlign w:val="center"/>
          </w:tcPr>
          <w:p w14:paraId="2C7F2BEA">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污染</w:t>
            </w:r>
          </w:p>
          <w:p w14:paraId="52A9276D">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物排</w:t>
            </w:r>
          </w:p>
          <w:p w14:paraId="291ACF7A">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放控</w:t>
            </w:r>
          </w:p>
          <w:p w14:paraId="7F6FA857">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制标</w:t>
            </w:r>
          </w:p>
          <w:p w14:paraId="59D7AB01">
            <w:pPr>
              <w:adjustRightInd w:val="0"/>
              <w:snapToGrid w:val="0"/>
              <w:jc w:val="center"/>
              <w:rPr>
                <w:rFonts w:ascii="宋体" w:hAnsi="宋体" w:cs="宋体"/>
                <w:color w:val="auto"/>
                <w:kern w:val="0"/>
                <w:szCs w:val="21"/>
              </w:rPr>
            </w:pPr>
            <w:r>
              <w:rPr>
                <w:rFonts w:hint="eastAsia" w:ascii="宋体" w:hAnsi="宋体" w:cs="宋体"/>
                <w:color w:val="auto"/>
                <w:kern w:val="0"/>
                <w:szCs w:val="21"/>
              </w:rPr>
              <w:t>准</w:t>
            </w:r>
          </w:p>
        </w:tc>
        <w:tc>
          <w:tcPr>
            <w:tcW w:w="8190" w:type="dxa"/>
            <w:noWrap w:val="0"/>
            <w:vAlign w:val="center"/>
          </w:tcPr>
          <w:p w14:paraId="3ACA03B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b w:val="0"/>
                <w:bCs w:val="0"/>
                <w:color w:val="auto"/>
                <w:sz w:val="24"/>
              </w:rPr>
            </w:pPr>
            <w:r>
              <w:rPr>
                <w:rFonts w:hint="eastAsia"/>
                <w:b w:val="0"/>
                <w:bCs w:val="0"/>
                <w:color w:val="auto"/>
                <w:sz w:val="24"/>
                <w:lang w:eastAsia="zh-CN"/>
              </w:rPr>
              <w:t>1.</w:t>
            </w:r>
            <w:r>
              <w:rPr>
                <w:rFonts w:hint="eastAsia"/>
                <w:b w:val="0"/>
                <w:bCs w:val="0"/>
                <w:color w:val="auto"/>
                <w:sz w:val="24"/>
              </w:rPr>
              <w:t>大气污染物排放标准</w:t>
            </w:r>
          </w:p>
          <w:p w14:paraId="40477F8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b w:val="0"/>
                <w:bCs w:val="0"/>
                <w:color w:val="auto"/>
                <w:sz w:val="24"/>
              </w:rPr>
            </w:pPr>
            <w:r>
              <w:rPr>
                <w:rFonts w:hint="eastAsia" w:eastAsia="宋体"/>
                <w:color w:val="auto"/>
                <w:sz w:val="24"/>
              </w:rPr>
              <w:t>消毒过程</w:t>
            </w:r>
            <w:r>
              <w:rPr>
                <w:rFonts w:hint="eastAsia" w:eastAsia="宋体"/>
                <w:color w:val="auto"/>
                <w:sz w:val="24"/>
                <w:lang w:val="en-US" w:eastAsia="zh-CN"/>
              </w:rPr>
              <w:t>乙酸雾</w:t>
            </w:r>
            <w:r>
              <w:rPr>
                <w:rFonts w:hint="eastAsia" w:eastAsia="宋体"/>
                <w:color w:val="auto"/>
                <w:sz w:val="24"/>
              </w:rPr>
              <w:t>（</w:t>
            </w:r>
            <w:r>
              <w:rPr>
                <w:rFonts w:hint="eastAsia" w:eastAsia="宋体"/>
                <w:color w:val="auto"/>
                <w:sz w:val="24"/>
                <w:lang w:val="en-US" w:eastAsia="zh-CN"/>
              </w:rPr>
              <w:t>以非甲烷总烃计</w:t>
            </w:r>
            <w:r>
              <w:rPr>
                <w:rFonts w:hint="eastAsia" w:eastAsia="宋体"/>
                <w:color w:val="auto"/>
                <w:sz w:val="24"/>
              </w:rPr>
              <w:t>）</w:t>
            </w:r>
            <w:r>
              <w:rPr>
                <w:rFonts w:hint="eastAsia"/>
                <w:color w:val="auto"/>
                <w:sz w:val="24"/>
                <w:lang w:val="en-US" w:eastAsia="zh-CN"/>
              </w:rPr>
              <w:t>执行</w:t>
            </w:r>
            <w:r>
              <w:rPr>
                <w:rFonts w:eastAsia="宋体"/>
                <w:color w:val="auto"/>
                <w:sz w:val="24"/>
              </w:rPr>
              <w:t>《大气污染物综合排放标准》（DB32/4041-2021）表1中非甲烷总烃标准限值；</w:t>
            </w:r>
            <w:r>
              <w:rPr>
                <w:rFonts w:hint="eastAsia" w:eastAsia="宋体"/>
                <w:color w:val="auto"/>
                <w:sz w:val="24"/>
              </w:rPr>
              <w:t>吹瓶</w:t>
            </w:r>
            <w:r>
              <w:rPr>
                <w:rFonts w:hint="eastAsia" w:eastAsia="宋体"/>
                <w:color w:val="auto"/>
                <w:sz w:val="24"/>
                <w:lang w:val="en-US" w:eastAsia="zh-CN"/>
              </w:rPr>
              <w:t>产生的</w:t>
            </w:r>
            <w:r>
              <w:rPr>
                <w:rFonts w:hint="eastAsia" w:eastAsia="宋体"/>
                <w:color w:val="auto"/>
                <w:sz w:val="24"/>
              </w:rPr>
              <w:t>非甲烷</w:t>
            </w:r>
            <w:r>
              <w:rPr>
                <w:rFonts w:eastAsia="宋体"/>
                <w:color w:val="auto"/>
                <w:sz w:val="24"/>
              </w:rPr>
              <w:t>总烃排放执行《合成树脂工业污染物排放标准》（GB31572-2015）</w:t>
            </w:r>
            <w:r>
              <w:rPr>
                <w:rFonts w:hint="eastAsia" w:eastAsia="宋体"/>
                <w:color w:val="auto"/>
                <w:sz w:val="24"/>
                <w:lang w:val="en-US" w:eastAsia="zh-CN"/>
              </w:rPr>
              <w:t>表5标准限值</w:t>
            </w:r>
            <w:r>
              <w:rPr>
                <w:rFonts w:eastAsia="宋体"/>
                <w:color w:val="auto"/>
                <w:sz w:val="24"/>
              </w:rPr>
              <w:t>；</w:t>
            </w:r>
            <w:r>
              <w:rPr>
                <w:rFonts w:hint="eastAsia" w:eastAsia="宋体"/>
                <w:color w:val="auto"/>
                <w:sz w:val="24"/>
              </w:rPr>
              <w:t>污水处理站无组织恶臭（</w:t>
            </w:r>
            <w:r>
              <w:rPr>
                <w:rFonts w:eastAsia="宋体"/>
                <w:color w:val="auto"/>
                <w:sz w:val="24"/>
              </w:rPr>
              <w:t>H</w:t>
            </w:r>
            <w:r>
              <w:rPr>
                <w:rFonts w:eastAsia="宋体"/>
                <w:color w:val="auto"/>
                <w:sz w:val="24"/>
                <w:vertAlign w:val="subscript"/>
              </w:rPr>
              <w:t>2</w:t>
            </w:r>
            <w:r>
              <w:rPr>
                <w:rFonts w:eastAsia="宋体"/>
                <w:color w:val="auto"/>
                <w:sz w:val="24"/>
              </w:rPr>
              <w:t>S</w:t>
            </w:r>
            <w:r>
              <w:rPr>
                <w:rFonts w:hint="eastAsia" w:eastAsia="宋体"/>
                <w:color w:val="auto"/>
                <w:sz w:val="24"/>
              </w:rPr>
              <w:t>、</w:t>
            </w:r>
            <w:r>
              <w:rPr>
                <w:rFonts w:eastAsia="宋体"/>
                <w:color w:val="auto"/>
                <w:sz w:val="24"/>
              </w:rPr>
              <w:t>NH</w:t>
            </w:r>
            <w:r>
              <w:rPr>
                <w:rFonts w:eastAsia="宋体"/>
                <w:color w:val="auto"/>
                <w:sz w:val="24"/>
                <w:vertAlign w:val="subscript"/>
              </w:rPr>
              <w:t>3</w:t>
            </w:r>
            <w:r>
              <w:rPr>
                <w:rFonts w:hint="eastAsia" w:eastAsia="宋体"/>
                <w:color w:val="auto"/>
                <w:sz w:val="24"/>
              </w:rPr>
              <w:t>、臭气浓度）排放标准执行《恶臭污染物排放标准》（</w:t>
            </w:r>
            <w:r>
              <w:rPr>
                <w:rFonts w:eastAsia="宋体"/>
                <w:color w:val="auto"/>
                <w:sz w:val="24"/>
              </w:rPr>
              <w:t>GB14554-93</w:t>
            </w:r>
            <w:r>
              <w:rPr>
                <w:rFonts w:hint="eastAsia" w:eastAsia="宋体"/>
                <w:color w:val="auto"/>
                <w:sz w:val="24"/>
              </w:rPr>
              <w:t>）表</w:t>
            </w:r>
            <w:r>
              <w:rPr>
                <w:rFonts w:eastAsia="宋体"/>
                <w:color w:val="auto"/>
                <w:sz w:val="24"/>
              </w:rPr>
              <w:t>1</w:t>
            </w:r>
            <w:r>
              <w:rPr>
                <w:rFonts w:hint="eastAsia" w:eastAsia="宋体"/>
                <w:color w:val="auto"/>
                <w:sz w:val="24"/>
              </w:rPr>
              <w:t>中二级新改扩建二级标准；</w:t>
            </w:r>
            <w:r>
              <w:rPr>
                <w:rFonts w:eastAsia="宋体"/>
                <w:color w:val="auto"/>
                <w:sz w:val="24"/>
              </w:rPr>
              <w:t>厂区内无组织排放的非甲烷总烃执行《大气污染物综合排放标准》（DB32/4041-2021）表2中监控点浓度限值</w:t>
            </w:r>
            <w:r>
              <w:rPr>
                <w:rFonts w:hint="eastAsia" w:eastAsia="宋体"/>
                <w:color w:val="auto"/>
                <w:sz w:val="24"/>
                <w:lang w:eastAsia="zh-CN"/>
              </w:rPr>
              <w:t>，</w:t>
            </w:r>
            <w:r>
              <w:rPr>
                <w:rFonts w:eastAsia="宋体"/>
                <w:color w:val="auto"/>
                <w:sz w:val="24"/>
              </w:rPr>
              <w:t>厂</w:t>
            </w:r>
            <w:r>
              <w:rPr>
                <w:rFonts w:hint="eastAsia" w:eastAsia="宋体"/>
                <w:color w:val="auto"/>
                <w:sz w:val="24"/>
                <w:lang w:val="en-US" w:eastAsia="zh-CN"/>
              </w:rPr>
              <w:t>界</w:t>
            </w:r>
            <w:r>
              <w:rPr>
                <w:rFonts w:eastAsia="宋体"/>
                <w:color w:val="auto"/>
                <w:sz w:val="24"/>
              </w:rPr>
              <w:t>无组织排放的非甲烷总烃执行《大气污染物综合排放标准》（DB32/4041-2021）表</w:t>
            </w:r>
            <w:r>
              <w:rPr>
                <w:rFonts w:hint="eastAsia" w:eastAsia="宋体"/>
                <w:color w:val="auto"/>
                <w:sz w:val="24"/>
                <w:lang w:val="en-US" w:eastAsia="zh-CN"/>
              </w:rPr>
              <w:t>3</w:t>
            </w:r>
            <w:r>
              <w:rPr>
                <w:rFonts w:eastAsia="宋体"/>
                <w:color w:val="auto"/>
                <w:sz w:val="24"/>
              </w:rPr>
              <w:t>中监控点浓度限值</w:t>
            </w:r>
            <w:r>
              <w:rPr>
                <w:rFonts w:hint="eastAsia" w:eastAsia="宋体"/>
                <w:color w:val="auto"/>
                <w:sz w:val="24"/>
              </w:rPr>
              <w:t>；</w:t>
            </w:r>
            <w:r>
              <w:rPr>
                <w:rFonts w:hint="eastAsia"/>
                <w:color w:val="auto"/>
                <w:sz w:val="24"/>
              </w:rPr>
              <w:t>NH</w:t>
            </w:r>
            <w:r>
              <w:rPr>
                <w:rFonts w:hint="eastAsia"/>
                <w:color w:val="auto"/>
                <w:sz w:val="24"/>
                <w:vertAlign w:val="subscript"/>
              </w:rPr>
              <w:t>3</w:t>
            </w:r>
            <w:r>
              <w:rPr>
                <w:rFonts w:hint="eastAsia"/>
                <w:color w:val="auto"/>
                <w:sz w:val="24"/>
              </w:rPr>
              <w:t>、H</w:t>
            </w:r>
            <w:r>
              <w:rPr>
                <w:rFonts w:hint="eastAsia"/>
                <w:color w:val="auto"/>
                <w:sz w:val="24"/>
                <w:vertAlign w:val="subscript"/>
              </w:rPr>
              <w:t>2</w:t>
            </w:r>
            <w:r>
              <w:rPr>
                <w:rFonts w:hint="eastAsia"/>
                <w:color w:val="auto"/>
                <w:sz w:val="24"/>
              </w:rPr>
              <w:t>S的嗅阈值执行《关于淮安市建设项目环境影响评价中增加嗅阈值评价内容的通知》（2016年5月20日）附件中限值</w:t>
            </w:r>
            <w:r>
              <w:rPr>
                <w:rFonts w:hint="eastAsia"/>
                <w:color w:val="auto"/>
                <w:sz w:val="24"/>
                <w:lang w:eastAsia="zh-CN"/>
              </w:rPr>
              <w:t>；</w:t>
            </w:r>
            <w:r>
              <w:rPr>
                <w:rFonts w:hint="eastAsia" w:eastAsia="宋体"/>
                <w:color w:val="auto"/>
                <w:sz w:val="24"/>
              </w:rPr>
              <w:t>食堂设</w:t>
            </w:r>
            <w:r>
              <w:rPr>
                <w:rFonts w:hint="eastAsia" w:eastAsia="宋体"/>
                <w:color w:val="auto"/>
                <w:sz w:val="24"/>
                <w:lang w:val="en-US" w:eastAsia="zh-CN"/>
              </w:rPr>
              <w:t>2</w:t>
            </w:r>
            <w:r>
              <w:rPr>
                <w:rFonts w:hint="eastAsia" w:eastAsia="宋体"/>
                <w:color w:val="auto"/>
                <w:sz w:val="24"/>
              </w:rPr>
              <w:t>个灶头，</w:t>
            </w:r>
            <w:r>
              <w:rPr>
                <w:rFonts w:hint="eastAsia" w:eastAsia="宋体"/>
                <w:color w:val="auto"/>
                <w:sz w:val="24"/>
                <w:lang w:val="en-US" w:eastAsia="zh-CN"/>
              </w:rPr>
              <w:t>属于“中型”，</w:t>
            </w:r>
            <w:r>
              <w:rPr>
                <w:rFonts w:hint="eastAsia" w:eastAsia="宋体"/>
                <w:color w:val="auto"/>
                <w:sz w:val="24"/>
              </w:rPr>
              <w:t>食堂油烟执行《饮食业油烟排放标准》（试行）（GB18483-2001）</w:t>
            </w:r>
            <w:r>
              <w:rPr>
                <w:rFonts w:hint="eastAsia" w:eastAsia="宋体"/>
                <w:color w:val="auto"/>
                <w:sz w:val="24"/>
                <w:lang w:val="en-US" w:eastAsia="zh-CN"/>
              </w:rPr>
              <w:t>表2限值要求</w:t>
            </w:r>
            <w:r>
              <w:rPr>
                <w:rFonts w:hint="eastAsia" w:eastAsia="宋体"/>
                <w:color w:val="auto"/>
                <w:sz w:val="24"/>
              </w:rPr>
              <w:t>。</w:t>
            </w:r>
            <w:r>
              <w:rPr>
                <w:rFonts w:eastAsia="宋体"/>
                <w:color w:val="auto"/>
                <w:sz w:val="24"/>
              </w:rPr>
              <w:t>具体排放标准和排放限值指标见下表</w:t>
            </w:r>
            <w:r>
              <w:rPr>
                <w:rFonts w:hint="eastAsia" w:eastAsia="宋体"/>
                <w:color w:val="auto"/>
                <w:sz w:val="24"/>
              </w:rPr>
              <w:t>。</w:t>
            </w:r>
          </w:p>
          <w:p w14:paraId="47B39245">
            <w:pPr>
              <w:pStyle w:val="17"/>
              <w:keepNext w:val="0"/>
              <w:keepLines w:val="0"/>
              <w:pageBreakBefore w:val="0"/>
              <w:widowControl w:val="0"/>
              <w:kinsoku/>
              <w:wordWrap/>
              <w:overflowPunct/>
              <w:topLinePunct w:val="0"/>
              <w:bidi w:val="0"/>
              <w:adjustRightInd w:val="0"/>
              <w:snapToGrid w:val="0"/>
              <w:spacing w:line="240" w:lineRule="auto"/>
              <w:ind w:firstLine="482"/>
              <w:jc w:val="center"/>
              <w:rPr>
                <w:rFonts w:ascii="Times New Roman" w:hAnsi="Times New Roman" w:eastAsia="宋体"/>
                <w:color w:val="auto"/>
                <w:sz w:val="21"/>
              </w:rPr>
            </w:pPr>
            <w:r>
              <w:rPr>
                <w:rFonts w:hint="eastAsia" w:ascii="Times New Roman" w:hAnsi="Times New Roman" w:eastAsia="宋体"/>
                <w:color w:val="auto"/>
                <w:sz w:val="21"/>
              </w:rPr>
              <w:t>表3-</w:t>
            </w:r>
            <w:r>
              <w:rPr>
                <w:rFonts w:hint="eastAsia" w:ascii="Times New Roman" w:hAnsi="Times New Roman"/>
                <w:color w:val="auto"/>
                <w:sz w:val="21"/>
                <w:lang w:val="en-US" w:eastAsia="zh-CN"/>
              </w:rPr>
              <w:t xml:space="preserve">3  </w:t>
            </w:r>
            <w:r>
              <w:rPr>
                <w:rFonts w:hint="eastAsia" w:ascii="Times New Roman" w:hAnsi="Times New Roman" w:eastAsia="宋体"/>
                <w:color w:val="auto"/>
                <w:sz w:val="21"/>
              </w:rPr>
              <w:t>大气污染物排放标准</w:t>
            </w:r>
          </w:p>
          <w:tbl>
            <w:tblPr>
              <w:tblStyle w:val="20"/>
              <w:tblW w:w="845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45"/>
              <w:gridCol w:w="1364"/>
              <w:gridCol w:w="1712"/>
              <w:gridCol w:w="1666"/>
              <w:gridCol w:w="2671"/>
            </w:tblGrid>
            <w:tr w14:paraId="6435124D">
              <w:trPr>
                <w:trHeight w:val="369" w:hRule="atLeast"/>
                <w:jc w:val="center"/>
              </w:trPr>
              <w:tc>
                <w:tcPr>
                  <w:tcW w:w="1045" w:type="dxa"/>
                  <w:vMerge w:val="restart"/>
                  <w:noWrap w:val="0"/>
                  <w:vAlign w:val="center"/>
                </w:tcPr>
                <w:p w14:paraId="1D7420C3">
                  <w:pPr>
                    <w:keepNext w:val="0"/>
                    <w:keepLines w:val="0"/>
                    <w:pageBreakBefore w:val="0"/>
                    <w:widowControl w:val="0"/>
                    <w:kinsoku/>
                    <w:wordWrap/>
                    <w:overflowPunct/>
                    <w:topLinePunct w:val="0"/>
                    <w:bidi w:val="0"/>
                    <w:adjustRightInd w:val="0"/>
                    <w:snapToGrid w:val="0"/>
                    <w:spacing w:line="240" w:lineRule="auto"/>
                    <w:jc w:val="center"/>
                    <w:rPr>
                      <w:rFonts w:hint="eastAsia" w:ascii="Times New Roman" w:hAnsi="Times New Roman" w:eastAsia="宋体"/>
                      <w:color w:val="auto"/>
                      <w:sz w:val="21"/>
                      <w:lang w:eastAsia="zh-CN"/>
                    </w:rPr>
                  </w:pPr>
                  <w:r>
                    <w:rPr>
                      <w:rFonts w:hint="eastAsia"/>
                      <w:color w:val="auto"/>
                      <w:sz w:val="21"/>
                      <w:lang w:val="en-US" w:eastAsia="zh-CN"/>
                    </w:rPr>
                    <w:t>排气筒编号</w:t>
                  </w:r>
                </w:p>
              </w:tc>
              <w:tc>
                <w:tcPr>
                  <w:tcW w:w="1364" w:type="dxa"/>
                  <w:vMerge w:val="restart"/>
                  <w:noWrap w:val="0"/>
                  <w:vAlign w:val="center"/>
                </w:tcPr>
                <w:p w14:paraId="63691E28">
                  <w:pPr>
                    <w:keepNext w:val="0"/>
                    <w:keepLines w:val="0"/>
                    <w:pageBreakBefore w:val="0"/>
                    <w:widowControl w:val="0"/>
                    <w:kinsoku/>
                    <w:wordWrap/>
                    <w:overflowPunct/>
                    <w:topLinePunct w:val="0"/>
                    <w:bidi w:val="0"/>
                    <w:adjustRightInd w:val="0"/>
                    <w:snapToGrid w:val="0"/>
                    <w:spacing w:line="240" w:lineRule="auto"/>
                    <w:jc w:val="center"/>
                    <w:rPr>
                      <w:rFonts w:ascii="Times New Roman" w:hAnsi="Times New Roman" w:eastAsia="宋体"/>
                      <w:color w:val="auto"/>
                      <w:sz w:val="21"/>
                    </w:rPr>
                  </w:pPr>
                  <w:r>
                    <w:rPr>
                      <w:rFonts w:ascii="Times New Roman" w:hAnsi="Times New Roman" w:eastAsia="宋体"/>
                      <w:color w:val="auto"/>
                      <w:sz w:val="21"/>
                    </w:rPr>
                    <w:t>污染物</w:t>
                  </w:r>
                </w:p>
              </w:tc>
              <w:tc>
                <w:tcPr>
                  <w:tcW w:w="3378" w:type="dxa"/>
                  <w:gridSpan w:val="2"/>
                  <w:noWrap w:val="0"/>
                  <w:vAlign w:val="center"/>
                </w:tcPr>
                <w:p w14:paraId="07A4F7B5">
                  <w:pPr>
                    <w:keepNext w:val="0"/>
                    <w:keepLines w:val="0"/>
                    <w:pageBreakBefore w:val="0"/>
                    <w:widowControl w:val="0"/>
                    <w:kinsoku/>
                    <w:wordWrap/>
                    <w:overflowPunct/>
                    <w:topLinePunct w:val="0"/>
                    <w:bidi w:val="0"/>
                    <w:adjustRightInd w:val="0"/>
                    <w:snapToGrid w:val="0"/>
                    <w:spacing w:line="240" w:lineRule="auto"/>
                    <w:jc w:val="center"/>
                    <w:rPr>
                      <w:rFonts w:ascii="Times New Roman" w:hAnsi="Times New Roman" w:eastAsia="宋体"/>
                      <w:color w:val="auto"/>
                      <w:sz w:val="21"/>
                    </w:rPr>
                  </w:pPr>
                  <w:r>
                    <w:rPr>
                      <w:rFonts w:ascii="Times New Roman" w:hAnsi="Times New Roman" w:eastAsia="宋体"/>
                      <w:color w:val="auto"/>
                      <w:sz w:val="21"/>
                    </w:rPr>
                    <w:t>标准限值</w:t>
                  </w:r>
                </w:p>
              </w:tc>
              <w:tc>
                <w:tcPr>
                  <w:tcW w:w="2671" w:type="dxa"/>
                  <w:vMerge w:val="restart"/>
                  <w:noWrap w:val="0"/>
                  <w:vAlign w:val="center"/>
                </w:tcPr>
                <w:p w14:paraId="155000D7">
                  <w:pPr>
                    <w:pStyle w:val="45"/>
                    <w:keepNext w:val="0"/>
                    <w:keepLines w:val="0"/>
                    <w:pageBreakBefore w:val="0"/>
                    <w:widowControl w:val="0"/>
                    <w:kinsoku/>
                    <w:wordWrap/>
                    <w:overflowPunct/>
                    <w:topLinePunct w:val="0"/>
                    <w:bidi w:val="0"/>
                    <w:adjustRightInd w:val="0"/>
                    <w:snapToGrid w:val="0"/>
                    <w:spacing w:line="240" w:lineRule="auto"/>
                    <w:rPr>
                      <w:rFonts w:ascii="Times New Roman" w:hAnsi="Times New Roman" w:eastAsia="宋体"/>
                      <w:color w:val="auto"/>
                      <w:sz w:val="21"/>
                    </w:rPr>
                  </w:pPr>
                  <w:r>
                    <w:rPr>
                      <w:rFonts w:ascii="Times New Roman" w:hAnsi="Times New Roman" w:eastAsia="宋体"/>
                      <w:color w:val="auto"/>
                      <w:sz w:val="21"/>
                    </w:rPr>
                    <w:t>执行标准</w:t>
                  </w:r>
                </w:p>
              </w:tc>
            </w:tr>
            <w:tr w14:paraId="651329C6">
              <w:trPr>
                <w:trHeight w:val="624" w:hRule="atLeast"/>
                <w:jc w:val="center"/>
              </w:trPr>
              <w:tc>
                <w:tcPr>
                  <w:tcW w:w="1045" w:type="dxa"/>
                  <w:vMerge w:val="continue"/>
                  <w:noWrap w:val="0"/>
                  <w:vAlign w:val="center"/>
                </w:tcPr>
                <w:p w14:paraId="04B7E67F">
                  <w:pPr>
                    <w:keepNext w:val="0"/>
                    <w:keepLines w:val="0"/>
                    <w:pageBreakBefore w:val="0"/>
                    <w:widowControl w:val="0"/>
                    <w:kinsoku/>
                    <w:wordWrap/>
                    <w:overflowPunct/>
                    <w:topLinePunct w:val="0"/>
                    <w:bidi w:val="0"/>
                    <w:adjustRightInd w:val="0"/>
                    <w:snapToGrid w:val="0"/>
                    <w:spacing w:line="240" w:lineRule="auto"/>
                    <w:jc w:val="center"/>
                    <w:rPr>
                      <w:rFonts w:ascii="Times New Roman" w:hAnsi="Times New Roman" w:eastAsia="宋体"/>
                      <w:color w:val="auto"/>
                      <w:sz w:val="21"/>
                    </w:rPr>
                  </w:pPr>
                </w:p>
              </w:tc>
              <w:tc>
                <w:tcPr>
                  <w:tcW w:w="1364" w:type="dxa"/>
                  <w:vMerge w:val="continue"/>
                  <w:noWrap w:val="0"/>
                  <w:vAlign w:val="center"/>
                </w:tcPr>
                <w:p w14:paraId="73986BFC">
                  <w:pPr>
                    <w:keepNext w:val="0"/>
                    <w:keepLines w:val="0"/>
                    <w:pageBreakBefore w:val="0"/>
                    <w:widowControl w:val="0"/>
                    <w:kinsoku/>
                    <w:wordWrap/>
                    <w:overflowPunct/>
                    <w:topLinePunct w:val="0"/>
                    <w:bidi w:val="0"/>
                    <w:adjustRightInd w:val="0"/>
                    <w:snapToGrid w:val="0"/>
                    <w:spacing w:line="240" w:lineRule="auto"/>
                    <w:jc w:val="center"/>
                    <w:rPr>
                      <w:rFonts w:ascii="Times New Roman" w:hAnsi="Times New Roman" w:eastAsia="宋体"/>
                      <w:color w:val="auto"/>
                      <w:sz w:val="21"/>
                    </w:rPr>
                  </w:pPr>
                </w:p>
              </w:tc>
              <w:tc>
                <w:tcPr>
                  <w:tcW w:w="1712" w:type="dxa"/>
                  <w:noWrap w:val="0"/>
                  <w:vAlign w:val="center"/>
                </w:tcPr>
                <w:p w14:paraId="0D2C3E4B">
                  <w:pPr>
                    <w:keepNext w:val="0"/>
                    <w:keepLines w:val="0"/>
                    <w:pageBreakBefore w:val="0"/>
                    <w:widowControl w:val="0"/>
                    <w:kinsoku/>
                    <w:wordWrap/>
                    <w:overflowPunct/>
                    <w:topLinePunct w:val="0"/>
                    <w:bidi w:val="0"/>
                    <w:adjustRightInd w:val="0"/>
                    <w:snapToGrid w:val="0"/>
                    <w:spacing w:line="240" w:lineRule="auto"/>
                    <w:jc w:val="center"/>
                    <w:rPr>
                      <w:rFonts w:ascii="Times New Roman" w:hAnsi="Times New Roman" w:eastAsia="宋体"/>
                      <w:color w:val="auto"/>
                      <w:sz w:val="21"/>
                    </w:rPr>
                  </w:pPr>
                  <w:r>
                    <w:rPr>
                      <w:rFonts w:ascii="Times New Roman" w:hAnsi="Times New Roman" w:eastAsia="宋体"/>
                      <w:color w:val="auto"/>
                      <w:sz w:val="21"/>
                    </w:rPr>
                    <w:t>最高允许排放浓度</w:t>
                  </w:r>
                  <w:r>
                    <w:rPr>
                      <w:rFonts w:hint="eastAsia"/>
                      <w:color w:val="auto"/>
                      <w:sz w:val="21"/>
                      <w:lang w:eastAsia="zh-CN"/>
                    </w:rPr>
                    <w:t>（</w:t>
                  </w:r>
                  <w:r>
                    <w:rPr>
                      <w:rFonts w:ascii="Times New Roman" w:hAnsi="Times New Roman" w:eastAsia="宋体"/>
                      <w:color w:val="auto"/>
                      <w:sz w:val="21"/>
                    </w:rPr>
                    <w:t>mg/m</w:t>
                  </w:r>
                  <w:r>
                    <w:rPr>
                      <w:rFonts w:ascii="Times New Roman" w:hAnsi="Times New Roman" w:eastAsia="宋体"/>
                      <w:color w:val="auto"/>
                      <w:sz w:val="21"/>
                      <w:vertAlign w:val="superscript"/>
                    </w:rPr>
                    <w:t>3</w:t>
                  </w:r>
                  <w:r>
                    <w:rPr>
                      <w:rFonts w:hint="eastAsia"/>
                      <w:color w:val="auto"/>
                      <w:sz w:val="21"/>
                      <w:vertAlign w:val="superscript"/>
                      <w:lang w:eastAsia="zh-CN"/>
                    </w:rPr>
                    <w:t>）</w:t>
                  </w:r>
                </w:p>
              </w:tc>
              <w:tc>
                <w:tcPr>
                  <w:tcW w:w="1666" w:type="dxa"/>
                  <w:noWrap w:val="0"/>
                  <w:vAlign w:val="center"/>
                </w:tcPr>
                <w:p w14:paraId="34400085">
                  <w:pPr>
                    <w:keepNext w:val="0"/>
                    <w:keepLines w:val="0"/>
                    <w:pageBreakBefore w:val="0"/>
                    <w:widowControl w:val="0"/>
                    <w:kinsoku/>
                    <w:wordWrap/>
                    <w:overflowPunct/>
                    <w:topLinePunct w:val="0"/>
                    <w:bidi w:val="0"/>
                    <w:adjustRightInd w:val="0"/>
                    <w:snapToGrid w:val="0"/>
                    <w:spacing w:line="240" w:lineRule="auto"/>
                    <w:jc w:val="center"/>
                    <w:rPr>
                      <w:rFonts w:ascii="Times New Roman" w:hAnsi="Times New Roman" w:eastAsia="宋体"/>
                      <w:color w:val="auto"/>
                      <w:sz w:val="21"/>
                    </w:rPr>
                  </w:pPr>
                  <w:r>
                    <w:rPr>
                      <w:rFonts w:ascii="Times New Roman" w:hAnsi="Times New Roman" w:eastAsia="宋体"/>
                      <w:color w:val="auto"/>
                      <w:sz w:val="21"/>
                    </w:rPr>
                    <w:t>最高允许排放速率（kg/h）</w:t>
                  </w:r>
                </w:p>
              </w:tc>
              <w:tc>
                <w:tcPr>
                  <w:tcW w:w="2671" w:type="dxa"/>
                  <w:vMerge w:val="continue"/>
                  <w:noWrap w:val="0"/>
                  <w:vAlign w:val="center"/>
                </w:tcPr>
                <w:p w14:paraId="3D0CC0AB">
                  <w:pPr>
                    <w:pStyle w:val="45"/>
                    <w:keepNext w:val="0"/>
                    <w:keepLines w:val="0"/>
                    <w:pageBreakBefore w:val="0"/>
                    <w:widowControl w:val="0"/>
                    <w:kinsoku/>
                    <w:wordWrap/>
                    <w:overflowPunct/>
                    <w:topLinePunct w:val="0"/>
                    <w:bidi w:val="0"/>
                    <w:adjustRightInd w:val="0"/>
                    <w:snapToGrid w:val="0"/>
                    <w:spacing w:line="240" w:lineRule="auto"/>
                    <w:rPr>
                      <w:rFonts w:ascii="Times New Roman" w:hAnsi="Times New Roman" w:eastAsia="宋体"/>
                      <w:color w:val="auto"/>
                      <w:sz w:val="21"/>
                    </w:rPr>
                  </w:pPr>
                </w:p>
              </w:tc>
            </w:tr>
            <w:tr w14:paraId="0C26C731">
              <w:trPr>
                <w:trHeight w:val="624" w:hRule="exact"/>
                <w:jc w:val="center"/>
              </w:trPr>
              <w:tc>
                <w:tcPr>
                  <w:tcW w:w="1045" w:type="dxa"/>
                  <w:noWrap w:val="0"/>
                  <w:vAlign w:val="center"/>
                </w:tcPr>
                <w:p w14:paraId="58C79B57">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olor w:val="auto"/>
                      <w:sz w:val="21"/>
                      <w:lang w:val="en-US" w:eastAsia="zh-CN"/>
                    </w:rPr>
                  </w:pPr>
                  <w:r>
                    <w:rPr>
                      <w:rFonts w:hint="eastAsia"/>
                      <w:color w:val="auto"/>
                      <w:sz w:val="21"/>
                      <w:lang w:val="en-US" w:eastAsia="zh-CN"/>
                    </w:rPr>
                    <w:t>DA001</w:t>
                  </w:r>
                </w:p>
              </w:tc>
              <w:tc>
                <w:tcPr>
                  <w:tcW w:w="1364" w:type="dxa"/>
                  <w:noWrap w:val="0"/>
                  <w:vAlign w:val="center"/>
                </w:tcPr>
                <w:p w14:paraId="5D90FA19">
                  <w:pPr>
                    <w:keepNext w:val="0"/>
                    <w:keepLines w:val="0"/>
                    <w:pageBreakBefore w:val="0"/>
                    <w:widowControl w:val="0"/>
                    <w:kinsoku/>
                    <w:wordWrap/>
                    <w:overflowPunct/>
                    <w:topLinePunct w:val="0"/>
                    <w:bidi w:val="0"/>
                    <w:adjustRightInd w:val="0"/>
                    <w:snapToGrid w:val="0"/>
                    <w:spacing w:line="240" w:lineRule="auto"/>
                    <w:jc w:val="center"/>
                    <w:rPr>
                      <w:rFonts w:hint="eastAsia" w:ascii="Times New Roman" w:hAnsi="Times New Roman" w:eastAsia="宋体"/>
                      <w:color w:val="auto"/>
                      <w:sz w:val="21"/>
                      <w:lang w:eastAsia="zh-CN"/>
                    </w:rPr>
                  </w:pPr>
                  <w:r>
                    <w:rPr>
                      <w:rFonts w:hint="eastAsia" w:ascii="Times New Roman" w:hAnsi="Times New Roman"/>
                      <w:color w:val="auto"/>
                      <w:sz w:val="21"/>
                      <w:lang w:val="en-US" w:eastAsia="zh-CN"/>
                    </w:rPr>
                    <w:t>非甲烷总烃</w:t>
                  </w:r>
                </w:p>
              </w:tc>
              <w:tc>
                <w:tcPr>
                  <w:tcW w:w="1712" w:type="dxa"/>
                  <w:noWrap w:val="0"/>
                  <w:vAlign w:val="center"/>
                </w:tcPr>
                <w:p w14:paraId="504EE089">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olor w:val="auto"/>
                      <w:sz w:val="21"/>
                      <w:lang w:val="en-US" w:eastAsia="zh-CN"/>
                    </w:rPr>
                  </w:pPr>
                  <w:r>
                    <w:rPr>
                      <w:rFonts w:hint="eastAsia"/>
                      <w:color w:val="auto"/>
                      <w:sz w:val="21"/>
                      <w:lang w:val="en-US" w:eastAsia="zh-CN"/>
                    </w:rPr>
                    <w:t>60</w:t>
                  </w:r>
                </w:p>
              </w:tc>
              <w:tc>
                <w:tcPr>
                  <w:tcW w:w="1666" w:type="dxa"/>
                  <w:noWrap w:val="0"/>
                  <w:vAlign w:val="center"/>
                </w:tcPr>
                <w:p w14:paraId="053638A1">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olor w:val="auto"/>
                      <w:sz w:val="21"/>
                      <w:lang w:val="en-US" w:eastAsia="zh-CN"/>
                    </w:rPr>
                  </w:pPr>
                  <w:r>
                    <w:rPr>
                      <w:rFonts w:hint="eastAsia"/>
                      <w:color w:val="auto"/>
                      <w:sz w:val="21"/>
                      <w:lang w:val="en-US" w:eastAsia="zh-CN"/>
                    </w:rPr>
                    <w:t>/</w:t>
                  </w:r>
                </w:p>
              </w:tc>
              <w:tc>
                <w:tcPr>
                  <w:tcW w:w="2671" w:type="dxa"/>
                  <w:noWrap w:val="0"/>
                  <w:vAlign w:val="center"/>
                </w:tcPr>
                <w:p w14:paraId="176E14F4">
                  <w:pPr>
                    <w:pStyle w:val="45"/>
                    <w:keepNext w:val="0"/>
                    <w:keepLines w:val="0"/>
                    <w:pageBreakBefore w:val="0"/>
                    <w:widowControl w:val="0"/>
                    <w:kinsoku/>
                    <w:wordWrap/>
                    <w:overflowPunct/>
                    <w:topLinePunct w:val="0"/>
                    <w:bidi w:val="0"/>
                    <w:adjustRightInd w:val="0"/>
                    <w:snapToGrid w:val="0"/>
                    <w:spacing w:line="240" w:lineRule="auto"/>
                    <w:rPr>
                      <w:rFonts w:ascii="Times New Roman" w:hAnsi="Times New Roman" w:eastAsia="宋体"/>
                      <w:color w:val="auto"/>
                      <w:sz w:val="21"/>
                    </w:rPr>
                  </w:pPr>
                  <w:r>
                    <w:rPr>
                      <w:rFonts w:hint="eastAsia" w:ascii="Times New Roman" w:hAnsi="Times New Roman" w:eastAsia="宋体"/>
                      <w:color w:val="auto"/>
                      <w:sz w:val="21"/>
                    </w:rPr>
                    <w:t>《大气污染物综合排放标准》（DB32/4041-2021）</w:t>
                  </w:r>
                </w:p>
              </w:tc>
            </w:tr>
            <w:tr w14:paraId="0E942CF9">
              <w:trPr>
                <w:trHeight w:val="624" w:hRule="exact"/>
                <w:jc w:val="center"/>
              </w:trPr>
              <w:tc>
                <w:tcPr>
                  <w:tcW w:w="1045" w:type="dxa"/>
                  <w:noWrap w:val="0"/>
                  <w:vAlign w:val="center"/>
                </w:tcPr>
                <w:p w14:paraId="030DD35F">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olor w:val="auto"/>
                      <w:sz w:val="21"/>
                      <w:lang w:val="en-US" w:eastAsia="zh-CN"/>
                    </w:rPr>
                  </w:pPr>
                  <w:r>
                    <w:rPr>
                      <w:rFonts w:hint="eastAsia"/>
                      <w:color w:val="auto"/>
                      <w:sz w:val="21"/>
                      <w:lang w:val="en-US" w:eastAsia="zh-CN"/>
                    </w:rPr>
                    <w:t>DA002</w:t>
                  </w:r>
                </w:p>
              </w:tc>
              <w:tc>
                <w:tcPr>
                  <w:tcW w:w="1364" w:type="dxa"/>
                  <w:noWrap w:val="0"/>
                  <w:vAlign w:val="center"/>
                </w:tcPr>
                <w:p w14:paraId="570CEA4F">
                  <w:pPr>
                    <w:keepNext w:val="0"/>
                    <w:keepLines w:val="0"/>
                    <w:pageBreakBefore w:val="0"/>
                    <w:widowControl w:val="0"/>
                    <w:kinsoku/>
                    <w:wordWrap/>
                    <w:overflowPunct/>
                    <w:topLinePunct w:val="0"/>
                    <w:bidi w:val="0"/>
                    <w:adjustRightInd w:val="0"/>
                    <w:snapToGrid w:val="0"/>
                    <w:spacing w:line="240" w:lineRule="auto"/>
                    <w:jc w:val="center"/>
                    <w:rPr>
                      <w:rFonts w:hint="eastAsia"/>
                      <w:color w:val="auto"/>
                      <w:sz w:val="21"/>
                      <w:lang w:val="en-US" w:eastAsia="zh-CN"/>
                    </w:rPr>
                  </w:pPr>
                  <w:r>
                    <w:rPr>
                      <w:rFonts w:hint="eastAsia"/>
                      <w:color w:val="auto"/>
                      <w:sz w:val="21"/>
                      <w:lang w:val="en-US" w:eastAsia="zh-CN"/>
                    </w:rPr>
                    <w:t>非甲烷总烃</w:t>
                  </w:r>
                </w:p>
              </w:tc>
              <w:tc>
                <w:tcPr>
                  <w:tcW w:w="1712" w:type="dxa"/>
                  <w:noWrap w:val="0"/>
                  <w:vAlign w:val="center"/>
                </w:tcPr>
                <w:p w14:paraId="119DB85C">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olor w:val="auto"/>
                      <w:sz w:val="21"/>
                      <w:lang w:val="en-US" w:eastAsia="zh-CN"/>
                    </w:rPr>
                  </w:pPr>
                  <w:r>
                    <w:rPr>
                      <w:rFonts w:hint="eastAsia"/>
                      <w:color w:val="auto"/>
                      <w:sz w:val="21"/>
                      <w:lang w:val="en-US" w:eastAsia="zh-CN"/>
                    </w:rPr>
                    <w:t>60</w:t>
                  </w:r>
                </w:p>
              </w:tc>
              <w:tc>
                <w:tcPr>
                  <w:tcW w:w="1666" w:type="dxa"/>
                  <w:noWrap w:val="0"/>
                  <w:vAlign w:val="center"/>
                </w:tcPr>
                <w:p w14:paraId="148D0BC3">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olor w:val="auto"/>
                      <w:sz w:val="21"/>
                      <w:lang w:val="en-US" w:eastAsia="zh-CN"/>
                    </w:rPr>
                  </w:pPr>
                  <w:r>
                    <w:rPr>
                      <w:rFonts w:hint="eastAsia"/>
                      <w:color w:val="auto"/>
                      <w:sz w:val="21"/>
                      <w:lang w:val="en-US" w:eastAsia="zh-CN"/>
                    </w:rPr>
                    <w:t>3</w:t>
                  </w:r>
                </w:p>
              </w:tc>
              <w:tc>
                <w:tcPr>
                  <w:tcW w:w="2671" w:type="dxa"/>
                  <w:noWrap w:val="0"/>
                  <w:vAlign w:val="center"/>
                </w:tcPr>
                <w:p w14:paraId="3E6A2743">
                  <w:pPr>
                    <w:keepNext w:val="0"/>
                    <w:keepLines w:val="0"/>
                    <w:pageBreakBefore w:val="0"/>
                    <w:widowControl w:val="0"/>
                    <w:kinsoku/>
                    <w:wordWrap/>
                    <w:overflowPunct/>
                    <w:topLinePunct w:val="0"/>
                    <w:bidi w:val="0"/>
                    <w:adjustRightInd w:val="0"/>
                    <w:snapToGrid w:val="0"/>
                    <w:spacing w:line="240" w:lineRule="auto"/>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《合成树脂工业污染物排放标准》（GB31572-2015）</w:t>
                  </w:r>
                </w:p>
              </w:tc>
            </w:tr>
          </w:tbl>
          <w:p w14:paraId="55F8E4CF">
            <w:pPr>
              <w:pStyle w:val="17"/>
              <w:keepNext w:val="0"/>
              <w:keepLines w:val="0"/>
              <w:pageBreakBefore w:val="0"/>
              <w:widowControl w:val="0"/>
              <w:kinsoku/>
              <w:wordWrap/>
              <w:overflowPunct/>
              <w:topLinePunct w:val="0"/>
              <w:bidi w:val="0"/>
              <w:adjustRightInd w:val="0"/>
              <w:snapToGrid w:val="0"/>
              <w:spacing w:line="240" w:lineRule="auto"/>
              <w:ind w:firstLine="482"/>
              <w:jc w:val="center"/>
              <w:rPr>
                <w:rFonts w:hint="eastAsia" w:ascii="Times New Roman" w:hAnsi="Times New Roman" w:eastAsia="宋体"/>
                <w:color w:val="auto"/>
                <w:sz w:val="21"/>
              </w:rPr>
            </w:pPr>
            <w:r>
              <w:rPr>
                <w:rFonts w:hint="eastAsia" w:ascii="Times New Roman" w:hAnsi="Times New Roman" w:eastAsia="宋体"/>
                <w:color w:val="auto"/>
                <w:sz w:val="21"/>
              </w:rPr>
              <w:t>表3-</w:t>
            </w:r>
            <w:r>
              <w:rPr>
                <w:rFonts w:hint="eastAsia" w:ascii="Times New Roman" w:hAnsi="Times New Roman"/>
                <w:color w:val="auto"/>
                <w:sz w:val="21"/>
                <w:lang w:val="en-US" w:eastAsia="zh-CN"/>
              </w:rPr>
              <w:t xml:space="preserve">4  </w:t>
            </w:r>
            <w:r>
              <w:rPr>
                <w:rFonts w:hint="eastAsia" w:ascii="Times New Roman" w:hAnsi="Times New Roman" w:eastAsia="宋体"/>
                <w:color w:val="auto"/>
                <w:sz w:val="21"/>
              </w:rPr>
              <w:t>厂区内VOCs无组织排放限值</w:t>
            </w:r>
          </w:p>
          <w:tbl>
            <w:tblPr>
              <w:tblStyle w:val="20"/>
              <w:tblW w:w="84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65"/>
              <w:gridCol w:w="1305"/>
              <w:gridCol w:w="2565"/>
              <w:gridCol w:w="1335"/>
              <w:gridCol w:w="2367"/>
            </w:tblGrid>
            <w:tr w14:paraId="5F78E81B">
              <w:trPr>
                <w:trHeight w:val="566" w:hRule="atLeast"/>
                <w:jc w:val="center"/>
              </w:trPr>
              <w:tc>
                <w:tcPr>
                  <w:tcW w:w="865" w:type="dxa"/>
                  <w:noWrap w:val="0"/>
                  <w:vAlign w:val="center"/>
                </w:tcPr>
                <w:p w14:paraId="446794C4">
                  <w:pPr>
                    <w:keepNext w:val="0"/>
                    <w:keepLines w:val="0"/>
                    <w:pageBreakBefore w:val="0"/>
                    <w:widowControl w:val="0"/>
                    <w:kinsoku/>
                    <w:wordWrap/>
                    <w:overflowPunct/>
                    <w:topLinePunct w:val="0"/>
                    <w:bidi w:val="0"/>
                    <w:adjustRightInd w:val="0"/>
                    <w:snapToGrid w:val="0"/>
                    <w:spacing w:line="240" w:lineRule="auto"/>
                    <w:jc w:val="center"/>
                    <w:rPr>
                      <w:rFonts w:ascii="Times New Roman" w:hAnsi="Times New Roman" w:eastAsia="宋体"/>
                      <w:color w:val="auto"/>
                      <w:sz w:val="21"/>
                    </w:rPr>
                  </w:pPr>
                  <w:r>
                    <w:rPr>
                      <w:rFonts w:ascii="Times New Roman" w:hAnsi="Times New Roman" w:eastAsia="宋体"/>
                      <w:color w:val="auto"/>
                      <w:sz w:val="21"/>
                    </w:rPr>
                    <w:t>污染物</w:t>
                  </w:r>
                </w:p>
                <w:p w14:paraId="265E6D04">
                  <w:pPr>
                    <w:keepNext w:val="0"/>
                    <w:keepLines w:val="0"/>
                    <w:pageBreakBefore w:val="0"/>
                    <w:widowControl w:val="0"/>
                    <w:kinsoku/>
                    <w:wordWrap/>
                    <w:overflowPunct/>
                    <w:topLinePunct w:val="0"/>
                    <w:bidi w:val="0"/>
                    <w:adjustRightInd w:val="0"/>
                    <w:snapToGrid w:val="0"/>
                    <w:spacing w:line="240" w:lineRule="auto"/>
                    <w:jc w:val="center"/>
                    <w:rPr>
                      <w:rFonts w:ascii="Times New Roman" w:hAnsi="Times New Roman" w:eastAsia="宋体"/>
                      <w:color w:val="auto"/>
                      <w:sz w:val="21"/>
                    </w:rPr>
                  </w:pPr>
                  <w:r>
                    <w:rPr>
                      <w:rFonts w:ascii="Times New Roman" w:hAnsi="Times New Roman" w:eastAsia="宋体"/>
                      <w:color w:val="auto"/>
                      <w:sz w:val="21"/>
                    </w:rPr>
                    <w:t>项目</w:t>
                  </w:r>
                </w:p>
              </w:tc>
              <w:tc>
                <w:tcPr>
                  <w:tcW w:w="1305" w:type="dxa"/>
                  <w:noWrap w:val="0"/>
                  <w:vAlign w:val="center"/>
                </w:tcPr>
                <w:p w14:paraId="221F1E76">
                  <w:pPr>
                    <w:keepNext w:val="0"/>
                    <w:keepLines w:val="0"/>
                    <w:pageBreakBefore w:val="0"/>
                    <w:widowControl w:val="0"/>
                    <w:kinsoku/>
                    <w:wordWrap/>
                    <w:overflowPunct/>
                    <w:topLinePunct w:val="0"/>
                    <w:bidi w:val="0"/>
                    <w:adjustRightInd w:val="0"/>
                    <w:snapToGrid w:val="0"/>
                    <w:spacing w:line="240" w:lineRule="auto"/>
                    <w:jc w:val="center"/>
                    <w:rPr>
                      <w:rFonts w:ascii="Times New Roman" w:hAnsi="Times New Roman" w:eastAsia="宋体"/>
                      <w:color w:val="auto"/>
                      <w:sz w:val="21"/>
                    </w:rPr>
                  </w:pPr>
                  <w:r>
                    <w:rPr>
                      <w:rFonts w:ascii="Times New Roman" w:hAnsi="Times New Roman" w:eastAsia="宋体"/>
                      <w:color w:val="auto"/>
                      <w:sz w:val="21"/>
                    </w:rPr>
                    <w:t>监控点限值</w:t>
                  </w:r>
                </w:p>
                <w:p w14:paraId="51235574">
                  <w:pPr>
                    <w:keepNext w:val="0"/>
                    <w:keepLines w:val="0"/>
                    <w:pageBreakBefore w:val="0"/>
                    <w:widowControl w:val="0"/>
                    <w:kinsoku/>
                    <w:wordWrap/>
                    <w:overflowPunct/>
                    <w:topLinePunct w:val="0"/>
                    <w:bidi w:val="0"/>
                    <w:adjustRightInd w:val="0"/>
                    <w:snapToGrid w:val="0"/>
                    <w:spacing w:line="240" w:lineRule="auto"/>
                    <w:jc w:val="center"/>
                    <w:rPr>
                      <w:rFonts w:hint="eastAsia" w:ascii="Times New Roman" w:hAnsi="Times New Roman" w:eastAsia="宋体"/>
                      <w:color w:val="auto"/>
                      <w:sz w:val="21"/>
                    </w:rPr>
                  </w:pPr>
                  <w:r>
                    <w:rPr>
                      <w:rFonts w:hint="eastAsia"/>
                      <w:color w:val="auto"/>
                      <w:sz w:val="21"/>
                      <w:lang w:eastAsia="zh-CN"/>
                    </w:rPr>
                    <w:t>(</w:t>
                  </w:r>
                  <w:r>
                    <w:rPr>
                      <w:rFonts w:ascii="Times New Roman" w:hAnsi="Times New Roman" w:eastAsia="宋体"/>
                      <w:color w:val="auto"/>
                      <w:sz w:val="21"/>
                    </w:rPr>
                    <w:t>mg/m</w:t>
                  </w:r>
                  <w:r>
                    <w:rPr>
                      <w:rFonts w:ascii="Times New Roman" w:hAnsi="Times New Roman" w:eastAsia="宋体"/>
                      <w:color w:val="auto"/>
                      <w:sz w:val="21"/>
                      <w:vertAlign w:val="superscript"/>
                    </w:rPr>
                    <w:t>3</w:t>
                  </w:r>
                  <w:r>
                    <w:rPr>
                      <w:rFonts w:hint="eastAsia"/>
                      <w:color w:val="auto"/>
                      <w:sz w:val="21"/>
                      <w:vertAlign w:val="superscript"/>
                      <w:lang w:eastAsia="zh-CN"/>
                    </w:rPr>
                    <w:t>)</w:t>
                  </w:r>
                </w:p>
              </w:tc>
              <w:tc>
                <w:tcPr>
                  <w:tcW w:w="2565" w:type="dxa"/>
                  <w:noWrap w:val="0"/>
                  <w:vAlign w:val="center"/>
                </w:tcPr>
                <w:p w14:paraId="1A6690DD">
                  <w:pPr>
                    <w:keepNext w:val="0"/>
                    <w:keepLines w:val="0"/>
                    <w:pageBreakBefore w:val="0"/>
                    <w:widowControl w:val="0"/>
                    <w:kinsoku/>
                    <w:wordWrap/>
                    <w:overflowPunct/>
                    <w:topLinePunct w:val="0"/>
                    <w:bidi w:val="0"/>
                    <w:adjustRightInd w:val="0"/>
                    <w:snapToGrid w:val="0"/>
                    <w:spacing w:line="240" w:lineRule="auto"/>
                    <w:jc w:val="center"/>
                    <w:rPr>
                      <w:rFonts w:ascii="Times New Roman" w:hAnsi="Times New Roman" w:eastAsia="宋体"/>
                      <w:color w:val="auto"/>
                      <w:sz w:val="21"/>
                    </w:rPr>
                  </w:pPr>
                  <w:r>
                    <w:rPr>
                      <w:rFonts w:ascii="Times New Roman" w:hAnsi="Times New Roman" w:eastAsia="宋体"/>
                      <w:color w:val="auto"/>
                      <w:sz w:val="21"/>
                    </w:rPr>
                    <w:t>限值含义</w:t>
                  </w:r>
                </w:p>
              </w:tc>
              <w:tc>
                <w:tcPr>
                  <w:tcW w:w="1335" w:type="dxa"/>
                  <w:noWrap w:val="0"/>
                  <w:vAlign w:val="center"/>
                </w:tcPr>
                <w:p w14:paraId="55237619">
                  <w:pPr>
                    <w:keepNext w:val="0"/>
                    <w:keepLines w:val="0"/>
                    <w:pageBreakBefore w:val="0"/>
                    <w:widowControl w:val="0"/>
                    <w:kinsoku/>
                    <w:wordWrap/>
                    <w:overflowPunct/>
                    <w:topLinePunct w:val="0"/>
                    <w:bidi w:val="0"/>
                    <w:adjustRightInd w:val="0"/>
                    <w:snapToGrid w:val="0"/>
                    <w:spacing w:line="240" w:lineRule="auto"/>
                    <w:jc w:val="center"/>
                    <w:rPr>
                      <w:rFonts w:ascii="Times New Roman" w:hAnsi="Times New Roman" w:eastAsia="宋体"/>
                      <w:color w:val="auto"/>
                      <w:sz w:val="21"/>
                    </w:rPr>
                  </w:pPr>
                  <w:r>
                    <w:rPr>
                      <w:rFonts w:ascii="Times New Roman" w:hAnsi="Times New Roman" w:eastAsia="宋体"/>
                      <w:color w:val="auto"/>
                      <w:sz w:val="21"/>
                    </w:rPr>
                    <w:t>无组织排放</w:t>
                  </w:r>
                </w:p>
                <w:p w14:paraId="4FCE51EC">
                  <w:pPr>
                    <w:keepNext w:val="0"/>
                    <w:keepLines w:val="0"/>
                    <w:pageBreakBefore w:val="0"/>
                    <w:widowControl w:val="0"/>
                    <w:kinsoku/>
                    <w:wordWrap/>
                    <w:overflowPunct/>
                    <w:topLinePunct w:val="0"/>
                    <w:bidi w:val="0"/>
                    <w:adjustRightInd w:val="0"/>
                    <w:snapToGrid w:val="0"/>
                    <w:spacing w:line="240" w:lineRule="auto"/>
                    <w:jc w:val="center"/>
                    <w:rPr>
                      <w:rFonts w:ascii="Times New Roman" w:hAnsi="Times New Roman" w:eastAsia="宋体"/>
                      <w:color w:val="auto"/>
                      <w:sz w:val="21"/>
                    </w:rPr>
                  </w:pPr>
                  <w:r>
                    <w:rPr>
                      <w:rFonts w:ascii="Times New Roman" w:hAnsi="Times New Roman" w:eastAsia="宋体"/>
                      <w:color w:val="auto"/>
                      <w:sz w:val="21"/>
                    </w:rPr>
                    <w:t>监控位置</w:t>
                  </w:r>
                </w:p>
              </w:tc>
              <w:tc>
                <w:tcPr>
                  <w:tcW w:w="2367" w:type="dxa"/>
                  <w:noWrap w:val="0"/>
                  <w:vAlign w:val="center"/>
                </w:tcPr>
                <w:p w14:paraId="1523123D">
                  <w:pPr>
                    <w:keepNext w:val="0"/>
                    <w:keepLines w:val="0"/>
                    <w:pageBreakBefore w:val="0"/>
                    <w:widowControl w:val="0"/>
                    <w:kinsoku/>
                    <w:wordWrap/>
                    <w:overflowPunct/>
                    <w:topLinePunct w:val="0"/>
                    <w:bidi w:val="0"/>
                    <w:adjustRightInd w:val="0"/>
                    <w:snapToGrid w:val="0"/>
                    <w:spacing w:line="240" w:lineRule="auto"/>
                    <w:jc w:val="center"/>
                    <w:rPr>
                      <w:rFonts w:ascii="Times New Roman" w:hAnsi="Times New Roman" w:eastAsia="宋体"/>
                      <w:color w:val="auto"/>
                      <w:sz w:val="21"/>
                    </w:rPr>
                  </w:pPr>
                  <w:r>
                    <w:rPr>
                      <w:rFonts w:ascii="Times New Roman" w:hAnsi="Times New Roman" w:eastAsia="宋体"/>
                      <w:color w:val="auto"/>
                      <w:sz w:val="21"/>
                    </w:rPr>
                    <w:t>标准来源</w:t>
                  </w:r>
                </w:p>
              </w:tc>
            </w:tr>
            <w:tr w14:paraId="041094C5">
              <w:trPr>
                <w:trHeight w:val="540" w:hRule="exact"/>
                <w:jc w:val="center"/>
              </w:trPr>
              <w:tc>
                <w:tcPr>
                  <w:tcW w:w="865" w:type="dxa"/>
                  <w:vMerge w:val="restart"/>
                  <w:noWrap w:val="0"/>
                  <w:vAlign w:val="center"/>
                </w:tcPr>
                <w:p w14:paraId="454E0CA3">
                  <w:pPr>
                    <w:keepNext w:val="0"/>
                    <w:keepLines w:val="0"/>
                    <w:pageBreakBefore w:val="0"/>
                    <w:widowControl w:val="0"/>
                    <w:kinsoku/>
                    <w:wordWrap/>
                    <w:overflowPunct/>
                    <w:topLinePunct w:val="0"/>
                    <w:bidi w:val="0"/>
                    <w:adjustRightInd w:val="0"/>
                    <w:snapToGrid w:val="0"/>
                    <w:spacing w:line="240" w:lineRule="auto"/>
                    <w:jc w:val="center"/>
                    <w:rPr>
                      <w:rFonts w:hint="eastAsia" w:ascii="Times New Roman" w:hAnsi="Times New Roman" w:eastAsia="宋体"/>
                      <w:color w:val="auto"/>
                      <w:sz w:val="21"/>
                      <w:lang w:eastAsia="zh-CN"/>
                    </w:rPr>
                  </w:pPr>
                  <w:r>
                    <w:rPr>
                      <w:rFonts w:hint="eastAsia"/>
                      <w:color w:val="auto"/>
                      <w:sz w:val="21"/>
                      <w:lang w:val="en-US" w:eastAsia="zh-CN"/>
                    </w:rPr>
                    <w:t>非甲烷总烃</w:t>
                  </w:r>
                </w:p>
              </w:tc>
              <w:tc>
                <w:tcPr>
                  <w:tcW w:w="1305" w:type="dxa"/>
                  <w:noWrap w:val="0"/>
                  <w:vAlign w:val="center"/>
                </w:tcPr>
                <w:p w14:paraId="4E98C82C">
                  <w:pPr>
                    <w:pStyle w:val="45"/>
                    <w:keepNext w:val="0"/>
                    <w:keepLines w:val="0"/>
                    <w:pageBreakBefore w:val="0"/>
                    <w:widowControl w:val="0"/>
                    <w:kinsoku/>
                    <w:wordWrap/>
                    <w:overflowPunct/>
                    <w:topLinePunct w:val="0"/>
                    <w:bidi w:val="0"/>
                    <w:adjustRightInd w:val="0"/>
                    <w:snapToGrid w:val="0"/>
                    <w:spacing w:line="240" w:lineRule="auto"/>
                    <w:rPr>
                      <w:rFonts w:ascii="Times New Roman" w:hAnsi="Times New Roman" w:eastAsia="宋体"/>
                      <w:color w:val="auto"/>
                      <w:sz w:val="21"/>
                    </w:rPr>
                  </w:pPr>
                  <w:r>
                    <w:rPr>
                      <w:rFonts w:ascii="Times New Roman" w:hAnsi="Times New Roman" w:eastAsia="宋体"/>
                      <w:color w:val="auto"/>
                      <w:sz w:val="21"/>
                    </w:rPr>
                    <w:t>6</w:t>
                  </w:r>
                </w:p>
              </w:tc>
              <w:tc>
                <w:tcPr>
                  <w:tcW w:w="2565" w:type="dxa"/>
                  <w:noWrap w:val="0"/>
                  <w:vAlign w:val="center"/>
                </w:tcPr>
                <w:p w14:paraId="7C7D9D2E">
                  <w:pPr>
                    <w:pStyle w:val="45"/>
                    <w:keepNext w:val="0"/>
                    <w:keepLines w:val="0"/>
                    <w:pageBreakBefore w:val="0"/>
                    <w:widowControl w:val="0"/>
                    <w:kinsoku/>
                    <w:wordWrap/>
                    <w:overflowPunct/>
                    <w:topLinePunct w:val="0"/>
                    <w:bidi w:val="0"/>
                    <w:adjustRightInd w:val="0"/>
                    <w:snapToGrid w:val="0"/>
                    <w:spacing w:line="240" w:lineRule="auto"/>
                    <w:rPr>
                      <w:rFonts w:ascii="Times New Roman" w:hAnsi="Times New Roman" w:eastAsia="宋体"/>
                      <w:color w:val="auto"/>
                      <w:sz w:val="21"/>
                    </w:rPr>
                  </w:pPr>
                  <w:r>
                    <w:rPr>
                      <w:rFonts w:ascii="Times New Roman" w:hAnsi="Times New Roman" w:eastAsia="宋体"/>
                      <w:color w:val="auto"/>
                      <w:sz w:val="21"/>
                    </w:rPr>
                    <w:t>监控点处1h平均浓度值</w:t>
                  </w:r>
                </w:p>
              </w:tc>
              <w:tc>
                <w:tcPr>
                  <w:tcW w:w="1335" w:type="dxa"/>
                  <w:vMerge w:val="restart"/>
                  <w:noWrap w:val="0"/>
                  <w:vAlign w:val="center"/>
                </w:tcPr>
                <w:p w14:paraId="1138EBB9">
                  <w:pPr>
                    <w:pStyle w:val="45"/>
                    <w:keepNext w:val="0"/>
                    <w:keepLines w:val="0"/>
                    <w:pageBreakBefore w:val="0"/>
                    <w:widowControl w:val="0"/>
                    <w:kinsoku/>
                    <w:wordWrap/>
                    <w:overflowPunct/>
                    <w:topLinePunct w:val="0"/>
                    <w:bidi w:val="0"/>
                    <w:adjustRightInd w:val="0"/>
                    <w:snapToGrid w:val="0"/>
                    <w:spacing w:line="240" w:lineRule="auto"/>
                    <w:rPr>
                      <w:rFonts w:ascii="Times New Roman" w:hAnsi="Times New Roman" w:eastAsia="宋体"/>
                      <w:color w:val="auto"/>
                      <w:sz w:val="21"/>
                    </w:rPr>
                  </w:pPr>
                  <w:r>
                    <w:rPr>
                      <w:rFonts w:ascii="Times New Roman" w:hAnsi="Times New Roman" w:eastAsia="宋体"/>
                      <w:color w:val="auto"/>
                      <w:sz w:val="21"/>
                    </w:rPr>
                    <w:t>在厂房外</w:t>
                  </w:r>
                </w:p>
                <w:p w14:paraId="1A24D05A">
                  <w:pPr>
                    <w:pStyle w:val="45"/>
                    <w:keepNext w:val="0"/>
                    <w:keepLines w:val="0"/>
                    <w:pageBreakBefore w:val="0"/>
                    <w:widowControl w:val="0"/>
                    <w:kinsoku/>
                    <w:wordWrap/>
                    <w:overflowPunct/>
                    <w:topLinePunct w:val="0"/>
                    <w:bidi w:val="0"/>
                    <w:adjustRightInd w:val="0"/>
                    <w:snapToGrid w:val="0"/>
                    <w:spacing w:line="240" w:lineRule="auto"/>
                    <w:rPr>
                      <w:rFonts w:ascii="Times New Roman" w:hAnsi="Times New Roman" w:eastAsia="宋体"/>
                      <w:color w:val="auto"/>
                      <w:sz w:val="21"/>
                    </w:rPr>
                  </w:pPr>
                  <w:r>
                    <w:rPr>
                      <w:rFonts w:ascii="Times New Roman" w:hAnsi="Times New Roman" w:eastAsia="宋体"/>
                      <w:color w:val="auto"/>
                      <w:sz w:val="21"/>
                    </w:rPr>
                    <w:t>设置监控点</w:t>
                  </w:r>
                </w:p>
              </w:tc>
              <w:tc>
                <w:tcPr>
                  <w:tcW w:w="2367" w:type="dxa"/>
                  <w:vMerge w:val="restart"/>
                  <w:noWrap w:val="0"/>
                  <w:vAlign w:val="center"/>
                </w:tcPr>
                <w:p w14:paraId="2E5547DE">
                  <w:pPr>
                    <w:pStyle w:val="45"/>
                    <w:keepNext w:val="0"/>
                    <w:keepLines w:val="0"/>
                    <w:pageBreakBefore w:val="0"/>
                    <w:widowControl w:val="0"/>
                    <w:kinsoku/>
                    <w:wordWrap/>
                    <w:overflowPunct/>
                    <w:topLinePunct w:val="0"/>
                    <w:bidi w:val="0"/>
                    <w:adjustRightInd w:val="0"/>
                    <w:snapToGrid w:val="0"/>
                    <w:spacing w:line="240" w:lineRule="auto"/>
                    <w:rPr>
                      <w:rFonts w:ascii="Times New Roman" w:hAnsi="Times New Roman" w:eastAsia="宋体"/>
                      <w:color w:val="auto"/>
                      <w:sz w:val="21"/>
                    </w:rPr>
                  </w:pPr>
                  <w:r>
                    <w:rPr>
                      <w:rFonts w:hint="eastAsia" w:ascii="Times New Roman" w:hAnsi="Times New Roman" w:eastAsia="宋体"/>
                      <w:color w:val="auto"/>
                      <w:sz w:val="21"/>
                    </w:rPr>
                    <w:t>《大气污染物综合排放标准》（DB32/4041-2021）</w:t>
                  </w:r>
                </w:p>
              </w:tc>
            </w:tr>
            <w:tr w14:paraId="79029415">
              <w:trPr>
                <w:trHeight w:val="595" w:hRule="exact"/>
                <w:jc w:val="center"/>
              </w:trPr>
              <w:tc>
                <w:tcPr>
                  <w:tcW w:w="865" w:type="dxa"/>
                  <w:vMerge w:val="continue"/>
                  <w:noWrap w:val="0"/>
                  <w:vAlign w:val="center"/>
                </w:tcPr>
                <w:p w14:paraId="66FD290A">
                  <w:pPr>
                    <w:keepNext w:val="0"/>
                    <w:keepLines w:val="0"/>
                    <w:pageBreakBefore w:val="0"/>
                    <w:widowControl w:val="0"/>
                    <w:kinsoku/>
                    <w:wordWrap/>
                    <w:overflowPunct/>
                    <w:topLinePunct w:val="0"/>
                    <w:bidi w:val="0"/>
                    <w:adjustRightInd w:val="0"/>
                    <w:snapToGrid w:val="0"/>
                    <w:spacing w:line="240" w:lineRule="auto"/>
                    <w:jc w:val="center"/>
                    <w:rPr>
                      <w:rFonts w:ascii="Times New Roman" w:hAnsi="Times New Roman" w:eastAsia="宋体"/>
                      <w:color w:val="auto"/>
                      <w:sz w:val="21"/>
                    </w:rPr>
                  </w:pPr>
                </w:p>
              </w:tc>
              <w:tc>
                <w:tcPr>
                  <w:tcW w:w="1305" w:type="dxa"/>
                  <w:noWrap w:val="0"/>
                  <w:vAlign w:val="center"/>
                </w:tcPr>
                <w:p w14:paraId="09B87951">
                  <w:pPr>
                    <w:pStyle w:val="45"/>
                    <w:keepNext w:val="0"/>
                    <w:keepLines w:val="0"/>
                    <w:pageBreakBefore w:val="0"/>
                    <w:widowControl w:val="0"/>
                    <w:kinsoku/>
                    <w:wordWrap/>
                    <w:overflowPunct/>
                    <w:topLinePunct w:val="0"/>
                    <w:bidi w:val="0"/>
                    <w:adjustRightInd w:val="0"/>
                    <w:snapToGrid w:val="0"/>
                    <w:spacing w:line="240" w:lineRule="auto"/>
                    <w:rPr>
                      <w:rFonts w:ascii="Times New Roman" w:hAnsi="Times New Roman" w:eastAsia="宋体"/>
                      <w:color w:val="auto"/>
                      <w:sz w:val="21"/>
                    </w:rPr>
                  </w:pPr>
                  <w:r>
                    <w:rPr>
                      <w:rFonts w:ascii="Times New Roman" w:hAnsi="Times New Roman" w:eastAsia="宋体"/>
                      <w:color w:val="auto"/>
                      <w:sz w:val="21"/>
                    </w:rPr>
                    <w:t>20</w:t>
                  </w:r>
                </w:p>
              </w:tc>
              <w:tc>
                <w:tcPr>
                  <w:tcW w:w="2565" w:type="dxa"/>
                  <w:noWrap w:val="0"/>
                  <w:vAlign w:val="center"/>
                </w:tcPr>
                <w:p w14:paraId="558EBDA1">
                  <w:pPr>
                    <w:pStyle w:val="45"/>
                    <w:keepNext w:val="0"/>
                    <w:keepLines w:val="0"/>
                    <w:pageBreakBefore w:val="0"/>
                    <w:widowControl w:val="0"/>
                    <w:kinsoku/>
                    <w:wordWrap/>
                    <w:overflowPunct/>
                    <w:topLinePunct w:val="0"/>
                    <w:bidi w:val="0"/>
                    <w:adjustRightInd w:val="0"/>
                    <w:snapToGrid w:val="0"/>
                    <w:spacing w:line="240" w:lineRule="auto"/>
                    <w:rPr>
                      <w:rFonts w:ascii="Times New Roman" w:hAnsi="Times New Roman" w:eastAsia="宋体"/>
                      <w:color w:val="auto"/>
                      <w:sz w:val="21"/>
                    </w:rPr>
                  </w:pPr>
                  <w:r>
                    <w:rPr>
                      <w:rFonts w:ascii="Times New Roman" w:hAnsi="Times New Roman" w:eastAsia="宋体"/>
                      <w:color w:val="auto"/>
                      <w:sz w:val="21"/>
                    </w:rPr>
                    <w:t>监控点处任意一次浓度值</w:t>
                  </w:r>
                </w:p>
              </w:tc>
              <w:tc>
                <w:tcPr>
                  <w:tcW w:w="1335" w:type="dxa"/>
                  <w:vMerge w:val="continue"/>
                  <w:noWrap w:val="0"/>
                  <w:vAlign w:val="center"/>
                </w:tcPr>
                <w:p w14:paraId="28116925">
                  <w:pPr>
                    <w:pStyle w:val="45"/>
                    <w:keepNext w:val="0"/>
                    <w:keepLines w:val="0"/>
                    <w:pageBreakBefore w:val="0"/>
                    <w:widowControl w:val="0"/>
                    <w:kinsoku/>
                    <w:wordWrap/>
                    <w:overflowPunct/>
                    <w:topLinePunct w:val="0"/>
                    <w:bidi w:val="0"/>
                    <w:adjustRightInd w:val="0"/>
                    <w:snapToGrid w:val="0"/>
                    <w:spacing w:line="240" w:lineRule="auto"/>
                    <w:rPr>
                      <w:rFonts w:ascii="Times New Roman" w:hAnsi="Times New Roman" w:eastAsia="宋体"/>
                      <w:color w:val="auto"/>
                      <w:sz w:val="21"/>
                    </w:rPr>
                  </w:pPr>
                </w:p>
              </w:tc>
              <w:tc>
                <w:tcPr>
                  <w:tcW w:w="2367" w:type="dxa"/>
                  <w:vMerge w:val="continue"/>
                  <w:noWrap w:val="0"/>
                  <w:vAlign w:val="center"/>
                </w:tcPr>
                <w:p w14:paraId="563B9300">
                  <w:pPr>
                    <w:pStyle w:val="45"/>
                    <w:keepNext w:val="0"/>
                    <w:keepLines w:val="0"/>
                    <w:pageBreakBefore w:val="0"/>
                    <w:widowControl w:val="0"/>
                    <w:kinsoku/>
                    <w:wordWrap/>
                    <w:overflowPunct/>
                    <w:topLinePunct w:val="0"/>
                    <w:bidi w:val="0"/>
                    <w:adjustRightInd w:val="0"/>
                    <w:snapToGrid w:val="0"/>
                    <w:spacing w:line="240" w:lineRule="auto"/>
                    <w:rPr>
                      <w:rFonts w:ascii="Times New Roman" w:hAnsi="Times New Roman" w:eastAsia="宋体"/>
                      <w:color w:val="auto"/>
                      <w:sz w:val="21"/>
                    </w:rPr>
                  </w:pPr>
                </w:p>
              </w:tc>
            </w:tr>
          </w:tbl>
          <w:p w14:paraId="5C7F66B9">
            <w:pPr>
              <w:pStyle w:val="17"/>
              <w:keepNext w:val="0"/>
              <w:keepLines w:val="0"/>
              <w:pageBreakBefore w:val="0"/>
              <w:widowControl w:val="0"/>
              <w:kinsoku/>
              <w:wordWrap/>
              <w:overflowPunct/>
              <w:topLinePunct w:val="0"/>
              <w:autoSpaceDE w:val="0"/>
              <w:autoSpaceDN w:val="0"/>
              <w:bidi w:val="0"/>
              <w:adjustRightInd w:val="0"/>
              <w:snapToGrid w:val="0"/>
              <w:spacing w:line="240" w:lineRule="auto"/>
              <w:ind w:firstLine="482"/>
              <w:jc w:val="center"/>
              <w:textAlignment w:val="auto"/>
              <w:rPr>
                <w:rFonts w:hint="default" w:ascii="Times New Roman" w:hAnsi="Times New Roman" w:eastAsia="宋体"/>
                <w:b/>
                <w:color w:val="auto"/>
                <w:sz w:val="21"/>
                <w:szCs w:val="21"/>
                <w:lang w:val="en-US" w:eastAsia="zh-CN"/>
              </w:rPr>
            </w:pPr>
            <w:r>
              <w:rPr>
                <w:rFonts w:hint="eastAsia" w:ascii="Times New Roman" w:hAnsi="Times New Roman"/>
                <w:b/>
                <w:color w:val="auto"/>
                <w:sz w:val="21"/>
                <w:szCs w:val="21"/>
                <w:lang w:val="en-US" w:eastAsia="zh-CN"/>
              </w:rPr>
              <w:t>表3-5  厂界无组织排放限值</w:t>
            </w:r>
          </w:p>
          <w:tbl>
            <w:tblPr>
              <w:tblStyle w:val="20"/>
              <w:tblW w:w="84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82"/>
              <w:gridCol w:w="1650"/>
              <w:gridCol w:w="1250"/>
              <w:gridCol w:w="3155"/>
            </w:tblGrid>
            <w:tr w14:paraId="0A211849">
              <w:trPr>
                <w:trHeight w:val="566" w:hRule="atLeast"/>
                <w:jc w:val="center"/>
              </w:trPr>
              <w:tc>
                <w:tcPr>
                  <w:tcW w:w="2382" w:type="dxa"/>
                  <w:noWrap w:val="0"/>
                  <w:vAlign w:val="center"/>
                </w:tcPr>
                <w:p w14:paraId="01B8DF16">
                  <w:pPr>
                    <w:keepNext w:val="0"/>
                    <w:keepLines w:val="0"/>
                    <w:pageBreakBefore w:val="0"/>
                    <w:widowControl w:val="0"/>
                    <w:kinsoku/>
                    <w:wordWrap/>
                    <w:overflowPunct/>
                    <w:topLinePunct w:val="0"/>
                    <w:bidi w:val="0"/>
                    <w:adjustRightInd w:val="0"/>
                    <w:snapToGrid w:val="0"/>
                    <w:spacing w:line="240" w:lineRule="auto"/>
                    <w:jc w:val="center"/>
                    <w:rPr>
                      <w:rFonts w:hint="eastAsia" w:ascii="Times New Roman" w:hAnsi="Times New Roman" w:eastAsia="宋体"/>
                      <w:color w:val="auto"/>
                      <w:sz w:val="21"/>
                    </w:rPr>
                  </w:pPr>
                  <w:r>
                    <w:rPr>
                      <w:rFonts w:ascii="Times New Roman" w:hAnsi="Times New Roman" w:eastAsia="宋体"/>
                      <w:color w:val="auto"/>
                      <w:sz w:val="21"/>
                    </w:rPr>
                    <w:t>污染物项目</w:t>
                  </w:r>
                </w:p>
              </w:tc>
              <w:tc>
                <w:tcPr>
                  <w:tcW w:w="1650" w:type="dxa"/>
                  <w:noWrap w:val="0"/>
                  <w:vAlign w:val="center"/>
                </w:tcPr>
                <w:p w14:paraId="4BE3B6FB">
                  <w:pPr>
                    <w:keepNext w:val="0"/>
                    <w:keepLines w:val="0"/>
                    <w:pageBreakBefore w:val="0"/>
                    <w:widowControl w:val="0"/>
                    <w:kinsoku/>
                    <w:wordWrap/>
                    <w:overflowPunct/>
                    <w:topLinePunct w:val="0"/>
                    <w:bidi w:val="0"/>
                    <w:adjustRightInd w:val="0"/>
                    <w:snapToGrid w:val="0"/>
                    <w:spacing w:line="240" w:lineRule="auto"/>
                    <w:jc w:val="center"/>
                    <w:rPr>
                      <w:rFonts w:ascii="Times New Roman" w:hAnsi="Times New Roman" w:eastAsia="宋体"/>
                      <w:color w:val="auto"/>
                      <w:sz w:val="21"/>
                    </w:rPr>
                  </w:pPr>
                  <w:r>
                    <w:rPr>
                      <w:rFonts w:ascii="Times New Roman" w:hAnsi="Times New Roman" w:eastAsia="宋体"/>
                      <w:color w:val="auto"/>
                      <w:sz w:val="21"/>
                    </w:rPr>
                    <w:t>监控</w:t>
                  </w:r>
                  <w:r>
                    <w:rPr>
                      <w:rFonts w:hint="eastAsia"/>
                      <w:color w:val="auto"/>
                      <w:sz w:val="21"/>
                      <w:lang w:val="en-US" w:eastAsia="zh-CN"/>
                    </w:rPr>
                    <w:t>浓度</w:t>
                  </w:r>
                  <w:r>
                    <w:rPr>
                      <w:rFonts w:ascii="Times New Roman" w:hAnsi="Times New Roman" w:eastAsia="宋体"/>
                      <w:color w:val="auto"/>
                      <w:sz w:val="21"/>
                    </w:rPr>
                    <w:t>限值</w:t>
                  </w:r>
                </w:p>
                <w:p w14:paraId="16F39BE0">
                  <w:pPr>
                    <w:keepNext w:val="0"/>
                    <w:keepLines w:val="0"/>
                    <w:pageBreakBefore w:val="0"/>
                    <w:widowControl w:val="0"/>
                    <w:kinsoku/>
                    <w:wordWrap/>
                    <w:overflowPunct/>
                    <w:topLinePunct w:val="0"/>
                    <w:bidi w:val="0"/>
                    <w:adjustRightInd w:val="0"/>
                    <w:snapToGrid w:val="0"/>
                    <w:spacing w:line="240" w:lineRule="auto"/>
                    <w:jc w:val="center"/>
                    <w:rPr>
                      <w:rFonts w:ascii="Times New Roman" w:hAnsi="Times New Roman" w:eastAsia="宋体"/>
                      <w:color w:val="auto"/>
                      <w:sz w:val="21"/>
                    </w:rPr>
                  </w:pPr>
                  <w:r>
                    <w:rPr>
                      <w:rFonts w:hint="eastAsia"/>
                      <w:color w:val="auto"/>
                      <w:sz w:val="21"/>
                      <w:lang w:eastAsia="zh-CN"/>
                    </w:rPr>
                    <w:t>(</w:t>
                  </w:r>
                  <w:r>
                    <w:rPr>
                      <w:rFonts w:ascii="Times New Roman" w:hAnsi="Times New Roman" w:eastAsia="宋体"/>
                      <w:color w:val="auto"/>
                      <w:sz w:val="21"/>
                    </w:rPr>
                    <w:t>mg/m</w:t>
                  </w:r>
                  <w:r>
                    <w:rPr>
                      <w:rFonts w:ascii="Times New Roman" w:hAnsi="Times New Roman" w:eastAsia="宋体"/>
                      <w:color w:val="auto"/>
                      <w:sz w:val="21"/>
                      <w:vertAlign w:val="superscript"/>
                    </w:rPr>
                    <w:t>3</w:t>
                  </w:r>
                  <w:r>
                    <w:rPr>
                      <w:rFonts w:hint="eastAsia"/>
                      <w:color w:val="auto"/>
                      <w:sz w:val="21"/>
                      <w:vertAlign w:val="superscript"/>
                      <w:lang w:eastAsia="zh-CN"/>
                    </w:rPr>
                    <w:t>)</w:t>
                  </w:r>
                </w:p>
              </w:tc>
              <w:tc>
                <w:tcPr>
                  <w:tcW w:w="1250" w:type="dxa"/>
                  <w:noWrap w:val="0"/>
                  <w:vAlign w:val="center"/>
                </w:tcPr>
                <w:p w14:paraId="0B4CBA9C">
                  <w:pPr>
                    <w:keepNext w:val="0"/>
                    <w:keepLines w:val="0"/>
                    <w:pageBreakBefore w:val="0"/>
                    <w:widowControl w:val="0"/>
                    <w:kinsoku/>
                    <w:wordWrap/>
                    <w:overflowPunct/>
                    <w:topLinePunct w:val="0"/>
                    <w:bidi w:val="0"/>
                    <w:adjustRightInd w:val="0"/>
                    <w:snapToGrid w:val="0"/>
                    <w:spacing w:line="240" w:lineRule="auto"/>
                    <w:jc w:val="center"/>
                    <w:rPr>
                      <w:rFonts w:ascii="Times New Roman" w:hAnsi="Times New Roman" w:eastAsia="宋体"/>
                      <w:color w:val="auto"/>
                      <w:sz w:val="21"/>
                    </w:rPr>
                  </w:pPr>
                  <w:r>
                    <w:rPr>
                      <w:rFonts w:ascii="Times New Roman" w:hAnsi="Times New Roman" w:eastAsia="宋体"/>
                      <w:color w:val="auto"/>
                      <w:sz w:val="21"/>
                    </w:rPr>
                    <w:t>监控位置</w:t>
                  </w:r>
                </w:p>
              </w:tc>
              <w:tc>
                <w:tcPr>
                  <w:tcW w:w="3155" w:type="dxa"/>
                  <w:noWrap w:val="0"/>
                  <w:vAlign w:val="center"/>
                </w:tcPr>
                <w:p w14:paraId="074612D8">
                  <w:pPr>
                    <w:keepNext w:val="0"/>
                    <w:keepLines w:val="0"/>
                    <w:pageBreakBefore w:val="0"/>
                    <w:widowControl w:val="0"/>
                    <w:kinsoku/>
                    <w:wordWrap/>
                    <w:overflowPunct/>
                    <w:topLinePunct w:val="0"/>
                    <w:bidi w:val="0"/>
                    <w:adjustRightInd w:val="0"/>
                    <w:snapToGrid w:val="0"/>
                    <w:spacing w:line="240" w:lineRule="auto"/>
                    <w:jc w:val="center"/>
                    <w:rPr>
                      <w:rFonts w:ascii="Times New Roman" w:hAnsi="Times New Roman" w:eastAsia="宋体"/>
                      <w:color w:val="auto"/>
                      <w:sz w:val="21"/>
                    </w:rPr>
                  </w:pPr>
                  <w:r>
                    <w:rPr>
                      <w:rFonts w:ascii="Times New Roman" w:hAnsi="Times New Roman" w:eastAsia="宋体"/>
                      <w:color w:val="auto"/>
                      <w:sz w:val="21"/>
                    </w:rPr>
                    <w:t>标准来源</w:t>
                  </w:r>
                </w:p>
              </w:tc>
            </w:tr>
            <w:tr w14:paraId="3CA9AAB6">
              <w:trPr>
                <w:trHeight w:val="615" w:hRule="exact"/>
                <w:jc w:val="center"/>
              </w:trPr>
              <w:tc>
                <w:tcPr>
                  <w:tcW w:w="2382" w:type="dxa"/>
                  <w:noWrap w:val="0"/>
                  <w:vAlign w:val="center"/>
                </w:tcPr>
                <w:p w14:paraId="6C627BAE">
                  <w:pPr>
                    <w:pStyle w:val="45"/>
                    <w:keepNext w:val="0"/>
                    <w:keepLines w:val="0"/>
                    <w:pageBreakBefore w:val="0"/>
                    <w:widowControl w:val="0"/>
                    <w:kinsoku/>
                    <w:wordWrap/>
                    <w:overflowPunct/>
                    <w:topLinePunct w:val="0"/>
                    <w:bidi w:val="0"/>
                    <w:adjustRightInd w:val="0"/>
                    <w:snapToGrid w:val="0"/>
                    <w:spacing w:line="240" w:lineRule="auto"/>
                    <w:rPr>
                      <w:rFonts w:ascii="Times New Roman" w:hAnsi="Times New Roman" w:eastAsia="宋体"/>
                      <w:color w:val="auto"/>
                      <w:sz w:val="21"/>
                    </w:rPr>
                  </w:pPr>
                  <w:r>
                    <w:rPr>
                      <w:rFonts w:hint="eastAsia" w:ascii="Times New Roman" w:hAnsi="Times New Roman" w:eastAsia="宋体"/>
                      <w:color w:val="auto"/>
                      <w:sz w:val="21"/>
                    </w:rPr>
                    <w:t>NMHC</w:t>
                  </w:r>
                </w:p>
              </w:tc>
              <w:tc>
                <w:tcPr>
                  <w:tcW w:w="1650" w:type="dxa"/>
                  <w:noWrap w:val="0"/>
                  <w:vAlign w:val="center"/>
                </w:tcPr>
                <w:p w14:paraId="5823602C">
                  <w:pPr>
                    <w:pStyle w:val="45"/>
                    <w:keepNext w:val="0"/>
                    <w:keepLines w:val="0"/>
                    <w:pageBreakBefore w:val="0"/>
                    <w:widowControl w:val="0"/>
                    <w:kinsoku/>
                    <w:wordWrap/>
                    <w:overflowPunct/>
                    <w:topLinePunct w:val="0"/>
                    <w:bidi w:val="0"/>
                    <w:adjustRightInd w:val="0"/>
                    <w:snapToGrid w:val="0"/>
                    <w:spacing w:line="240" w:lineRule="auto"/>
                    <w:rPr>
                      <w:rFonts w:hint="default" w:ascii="Times New Roman" w:hAnsi="Times New Roman" w:eastAsia="宋体"/>
                      <w:color w:val="auto"/>
                      <w:sz w:val="21"/>
                      <w:lang w:val="en-US" w:eastAsia="zh-CN"/>
                    </w:rPr>
                  </w:pPr>
                  <w:r>
                    <w:rPr>
                      <w:rFonts w:hint="eastAsia"/>
                      <w:color w:val="auto"/>
                      <w:sz w:val="21"/>
                      <w:lang w:val="en-US" w:eastAsia="zh-CN"/>
                    </w:rPr>
                    <w:t>4</w:t>
                  </w:r>
                </w:p>
              </w:tc>
              <w:tc>
                <w:tcPr>
                  <w:tcW w:w="1250" w:type="dxa"/>
                  <w:vMerge w:val="restart"/>
                  <w:noWrap w:val="0"/>
                  <w:vAlign w:val="center"/>
                </w:tcPr>
                <w:p w14:paraId="75CCE640">
                  <w:pPr>
                    <w:pStyle w:val="45"/>
                    <w:keepNext w:val="0"/>
                    <w:keepLines w:val="0"/>
                    <w:pageBreakBefore w:val="0"/>
                    <w:widowControl w:val="0"/>
                    <w:kinsoku/>
                    <w:wordWrap/>
                    <w:overflowPunct/>
                    <w:topLinePunct w:val="0"/>
                    <w:bidi w:val="0"/>
                    <w:adjustRightInd w:val="0"/>
                    <w:snapToGrid w:val="0"/>
                    <w:spacing w:line="240" w:lineRule="auto"/>
                    <w:rPr>
                      <w:rFonts w:hint="default" w:ascii="Times New Roman" w:hAnsi="Times New Roman" w:eastAsia="宋体"/>
                      <w:color w:val="auto"/>
                      <w:sz w:val="21"/>
                      <w:lang w:val="en-US" w:eastAsia="zh-CN"/>
                    </w:rPr>
                  </w:pPr>
                  <w:r>
                    <w:rPr>
                      <w:rFonts w:hint="eastAsia"/>
                      <w:color w:val="auto"/>
                      <w:sz w:val="21"/>
                      <w:lang w:val="en-US" w:eastAsia="zh-CN"/>
                    </w:rPr>
                    <w:t>边界外浓度最高点</w:t>
                  </w:r>
                </w:p>
              </w:tc>
              <w:tc>
                <w:tcPr>
                  <w:tcW w:w="3155" w:type="dxa"/>
                  <w:noWrap w:val="0"/>
                  <w:vAlign w:val="center"/>
                </w:tcPr>
                <w:p w14:paraId="62468D9E">
                  <w:pPr>
                    <w:pStyle w:val="45"/>
                    <w:keepNext w:val="0"/>
                    <w:keepLines w:val="0"/>
                    <w:pageBreakBefore w:val="0"/>
                    <w:widowControl w:val="0"/>
                    <w:kinsoku/>
                    <w:wordWrap/>
                    <w:overflowPunct/>
                    <w:topLinePunct w:val="0"/>
                    <w:bidi w:val="0"/>
                    <w:adjustRightInd w:val="0"/>
                    <w:snapToGrid w:val="0"/>
                    <w:spacing w:line="240" w:lineRule="auto"/>
                    <w:rPr>
                      <w:rFonts w:ascii="Times New Roman" w:hAnsi="Times New Roman" w:eastAsia="宋体"/>
                      <w:color w:val="auto"/>
                      <w:sz w:val="21"/>
                    </w:rPr>
                  </w:pPr>
                  <w:r>
                    <w:rPr>
                      <w:rFonts w:hint="eastAsia" w:ascii="Times New Roman" w:hAnsi="Times New Roman" w:eastAsia="宋体"/>
                      <w:color w:val="auto"/>
                      <w:sz w:val="21"/>
                    </w:rPr>
                    <w:t>《大气污染物综合排放标准》（DB32/4041-2021）</w:t>
                  </w:r>
                </w:p>
              </w:tc>
            </w:tr>
            <w:tr w14:paraId="5F3B4018">
              <w:trPr>
                <w:trHeight w:val="365" w:hRule="exact"/>
                <w:jc w:val="center"/>
              </w:trPr>
              <w:tc>
                <w:tcPr>
                  <w:tcW w:w="2382" w:type="dxa"/>
                  <w:noWrap w:val="0"/>
                  <w:vAlign w:val="center"/>
                </w:tcPr>
                <w:p w14:paraId="2EE33784">
                  <w:pPr>
                    <w:adjustRightInd w:val="0"/>
                    <w:snapToGrid w:val="0"/>
                    <w:jc w:val="center"/>
                    <w:rPr>
                      <w:rFonts w:hint="eastAsia" w:ascii="Times New Roman" w:hAnsi="Times New Roman" w:eastAsia="宋体"/>
                      <w:color w:val="auto"/>
                      <w:sz w:val="21"/>
                    </w:rPr>
                  </w:pPr>
                  <w:r>
                    <w:rPr>
                      <w:rFonts w:hint="default" w:ascii="Times New Roman" w:hAnsi="Times New Roman" w:eastAsia="宋体" w:cs="Times New Roman"/>
                      <w:color w:val="auto"/>
                    </w:rPr>
                    <w:t>氨</w:t>
                  </w:r>
                </w:p>
              </w:tc>
              <w:tc>
                <w:tcPr>
                  <w:tcW w:w="1650" w:type="dxa"/>
                  <w:noWrap w:val="0"/>
                  <w:vAlign w:val="center"/>
                </w:tcPr>
                <w:p w14:paraId="051D1C45">
                  <w:pPr>
                    <w:adjustRightInd w:val="0"/>
                    <w:snapToGrid w:val="0"/>
                    <w:jc w:val="center"/>
                    <w:rPr>
                      <w:rFonts w:hint="eastAsia"/>
                      <w:color w:val="auto"/>
                      <w:sz w:val="21"/>
                      <w:lang w:val="en-US" w:eastAsia="zh-CN"/>
                    </w:rPr>
                  </w:pPr>
                  <w:r>
                    <w:rPr>
                      <w:rFonts w:hint="default" w:ascii="Times New Roman" w:hAnsi="Times New Roman" w:eastAsia="宋体" w:cs="Times New Roman"/>
                      <w:color w:val="auto"/>
                    </w:rPr>
                    <w:t>1.5</w:t>
                  </w:r>
                </w:p>
              </w:tc>
              <w:tc>
                <w:tcPr>
                  <w:tcW w:w="1250" w:type="dxa"/>
                  <w:vMerge w:val="continue"/>
                  <w:noWrap w:val="0"/>
                  <w:vAlign w:val="center"/>
                </w:tcPr>
                <w:p w14:paraId="2A9D8D71">
                  <w:pPr>
                    <w:pStyle w:val="45"/>
                    <w:keepNext w:val="0"/>
                    <w:keepLines w:val="0"/>
                    <w:pageBreakBefore w:val="0"/>
                    <w:widowControl w:val="0"/>
                    <w:kinsoku/>
                    <w:wordWrap/>
                    <w:overflowPunct/>
                    <w:topLinePunct w:val="0"/>
                    <w:bidi w:val="0"/>
                    <w:adjustRightInd w:val="0"/>
                    <w:snapToGrid w:val="0"/>
                    <w:spacing w:line="240" w:lineRule="auto"/>
                    <w:rPr>
                      <w:rFonts w:ascii="Times New Roman" w:hAnsi="Times New Roman" w:eastAsia="宋体"/>
                      <w:color w:val="auto"/>
                      <w:sz w:val="21"/>
                    </w:rPr>
                  </w:pPr>
                </w:p>
              </w:tc>
              <w:tc>
                <w:tcPr>
                  <w:tcW w:w="3155" w:type="dxa"/>
                  <w:vMerge w:val="restart"/>
                  <w:noWrap w:val="0"/>
                  <w:vAlign w:val="center"/>
                </w:tcPr>
                <w:p w14:paraId="11AB555D">
                  <w:pPr>
                    <w:pStyle w:val="45"/>
                    <w:keepNext w:val="0"/>
                    <w:keepLines w:val="0"/>
                    <w:pageBreakBefore w:val="0"/>
                    <w:widowControl w:val="0"/>
                    <w:kinsoku/>
                    <w:wordWrap/>
                    <w:overflowPunct/>
                    <w:topLinePunct w:val="0"/>
                    <w:bidi w:val="0"/>
                    <w:adjustRightInd w:val="0"/>
                    <w:snapToGrid w:val="0"/>
                    <w:spacing w:line="240" w:lineRule="auto"/>
                    <w:rPr>
                      <w:rFonts w:ascii="Times New Roman" w:hAnsi="Times New Roman" w:eastAsia="宋体"/>
                      <w:color w:val="auto"/>
                      <w:sz w:val="21"/>
                    </w:rPr>
                  </w:pPr>
                  <w:r>
                    <w:rPr>
                      <w:rFonts w:hint="eastAsia" w:ascii="Times New Roman" w:hAnsi="Times New Roman" w:eastAsia="宋体"/>
                      <w:color w:val="auto"/>
                      <w:sz w:val="21"/>
                    </w:rPr>
                    <w:t>《恶臭污染物排放标准》（GB14554-93）</w:t>
                  </w:r>
                </w:p>
              </w:tc>
            </w:tr>
            <w:tr w14:paraId="30F5FB5B">
              <w:trPr>
                <w:trHeight w:val="365" w:hRule="exact"/>
                <w:jc w:val="center"/>
              </w:trPr>
              <w:tc>
                <w:tcPr>
                  <w:tcW w:w="2382" w:type="dxa"/>
                  <w:noWrap w:val="0"/>
                  <w:vAlign w:val="center"/>
                </w:tcPr>
                <w:p w14:paraId="6D3CF03C">
                  <w:pPr>
                    <w:adjustRightInd w:val="0"/>
                    <w:snapToGrid w:val="0"/>
                    <w:jc w:val="center"/>
                    <w:rPr>
                      <w:rFonts w:hint="eastAsia" w:ascii="Times New Roman" w:hAnsi="Times New Roman" w:eastAsia="宋体"/>
                      <w:color w:val="auto"/>
                      <w:sz w:val="21"/>
                    </w:rPr>
                  </w:pPr>
                  <w:r>
                    <w:rPr>
                      <w:rFonts w:hint="default" w:ascii="Times New Roman" w:hAnsi="Times New Roman" w:eastAsia="宋体" w:cs="Times New Roman"/>
                      <w:color w:val="auto"/>
                    </w:rPr>
                    <w:t>硫化氢</w:t>
                  </w:r>
                </w:p>
              </w:tc>
              <w:tc>
                <w:tcPr>
                  <w:tcW w:w="1650" w:type="dxa"/>
                  <w:noWrap w:val="0"/>
                  <w:vAlign w:val="center"/>
                </w:tcPr>
                <w:p w14:paraId="48A82565">
                  <w:pPr>
                    <w:adjustRightInd w:val="0"/>
                    <w:snapToGrid w:val="0"/>
                    <w:jc w:val="center"/>
                    <w:rPr>
                      <w:rFonts w:hint="eastAsia"/>
                      <w:color w:val="auto"/>
                      <w:sz w:val="21"/>
                      <w:lang w:val="en-US" w:eastAsia="zh-CN"/>
                    </w:rPr>
                  </w:pPr>
                  <w:r>
                    <w:rPr>
                      <w:rFonts w:hint="default" w:ascii="Times New Roman" w:hAnsi="Times New Roman" w:eastAsia="宋体" w:cs="Times New Roman"/>
                      <w:color w:val="auto"/>
                    </w:rPr>
                    <w:t>0.06</w:t>
                  </w:r>
                </w:p>
              </w:tc>
              <w:tc>
                <w:tcPr>
                  <w:tcW w:w="1250" w:type="dxa"/>
                  <w:vMerge w:val="continue"/>
                  <w:noWrap w:val="0"/>
                  <w:vAlign w:val="center"/>
                </w:tcPr>
                <w:p w14:paraId="0D3F2DAE">
                  <w:pPr>
                    <w:pStyle w:val="45"/>
                    <w:keepNext w:val="0"/>
                    <w:keepLines w:val="0"/>
                    <w:pageBreakBefore w:val="0"/>
                    <w:widowControl w:val="0"/>
                    <w:kinsoku/>
                    <w:wordWrap/>
                    <w:overflowPunct/>
                    <w:topLinePunct w:val="0"/>
                    <w:bidi w:val="0"/>
                    <w:adjustRightInd w:val="0"/>
                    <w:snapToGrid w:val="0"/>
                    <w:spacing w:line="240" w:lineRule="auto"/>
                    <w:rPr>
                      <w:rFonts w:ascii="Times New Roman" w:hAnsi="Times New Roman" w:eastAsia="宋体"/>
                      <w:color w:val="auto"/>
                      <w:sz w:val="21"/>
                    </w:rPr>
                  </w:pPr>
                </w:p>
              </w:tc>
              <w:tc>
                <w:tcPr>
                  <w:tcW w:w="3155" w:type="dxa"/>
                  <w:vMerge w:val="continue"/>
                  <w:noWrap w:val="0"/>
                  <w:vAlign w:val="center"/>
                </w:tcPr>
                <w:p w14:paraId="6429ACF9">
                  <w:pPr>
                    <w:pStyle w:val="45"/>
                    <w:keepNext w:val="0"/>
                    <w:keepLines w:val="0"/>
                    <w:pageBreakBefore w:val="0"/>
                    <w:widowControl w:val="0"/>
                    <w:kinsoku/>
                    <w:wordWrap/>
                    <w:overflowPunct/>
                    <w:topLinePunct w:val="0"/>
                    <w:bidi w:val="0"/>
                    <w:adjustRightInd w:val="0"/>
                    <w:snapToGrid w:val="0"/>
                    <w:spacing w:line="240" w:lineRule="auto"/>
                    <w:rPr>
                      <w:rFonts w:ascii="Times New Roman" w:hAnsi="Times New Roman" w:eastAsia="宋体"/>
                      <w:color w:val="auto"/>
                      <w:sz w:val="21"/>
                    </w:rPr>
                  </w:pPr>
                </w:p>
              </w:tc>
            </w:tr>
            <w:tr w14:paraId="73844D71">
              <w:trPr>
                <w:trHeight w:val="365" w:hRule="exact"/>
                <w:jc w:val="center"/>
              </w:trPr>
              <w:tc>
                <w:tcPr>
                  <w:tcW w:w="2382" w:type="dxa"/>
                  <w:noWrap w:val="0"/>
                  <w:vAlign w:val="center"/>
                </w:tcPr>
                <w:p w14:paraId="213CC042">
                  <w:pPr>
                    <w:adjustRightInd w:val="0"/>
                    <w:snapToGrid w:val="0"/>
                    <w:jc w:val="center"/>
                    <w:rPr>
                      <w:rFonts w:hint="eastAsia" w:ascii="Times New Roman" w:hAnsi="Times New Roman" w:eastAsia="宋体"/>
                      <w:color w:val="auto"/>
                      <w:sz w:val="21"/>
                    </w:rPr>
                  </w:pPr>
                  <w:r>
                    <w:rPr>
                      <w:rFonts w:hint="default" w:ascii="Times New Roman" w:hAnsi="Times New Roman" w:eastAsia="宋体" w:cs="Times New Roman"/>
                      <w:color w:val="auto"/>
                    </w:rPr>
                    <w:t>臭气浓度</w:t>
                  </w:r>
                </w:p>
              </w:tc>
              <w:tc>
                <w:tcPr>
                  <w:tcW w:w="1650" w:type="dxa"/>
                  <w:noWrap w:val="0"/>
                  <w:vAlign w:val="center"/>
                </w:tcPr>
                <w:p w14:paraId="550B4312">
                  <w:pPr>
                    <w:adjustRightInd w:val="0"/>
                    <w:snapToGrid w:val="0"/>
                    <w:jc w:val="center"/>
                    <w:rPr>
                      <w:rFonts w:hint="eastAsia"/>
                      <w:color w:val="auto"/>
                      <w:sz w:val="21"/>
                      <w:lang w:val="en-US" w:eastAsia="zh-CN"/>
                    </w:rPr>
                  </w:pPr>
                  <w:r>
                    <w:rPr>
                      <w:rFonts w:hint="eastAsia" w:ascii="Times New Roman" w:hAnsi="Times New Roman" w:eastAsia="宋体" w:cs="Times New Roman"/>
                      <w:color w:val="auto"/>
                      <w:lang w:val="en-US" w:eastAsia="zh-CN"/>
                    </w:rPr>
                    <w:t>20</w:t>
                  </w:r>
                  <w:r>
                    <w:rPr>
                      <w:rFonts w:hint="default" w:ascii="Times New Roman" w:hAnsi="Times New Roman" w:eastAsia="宋体" w:cs="Times New Roman"/>
                      <w:color w:val="auto"/>
                    </w:rPr>
                    <w:t>（无量纲）</w:t>
                  </w:r>
                </w:p>
              </w:tc>
              <w:tc>
                <w:tcPr>
                  <w:tcW w:w="1250" w:type="dxa"/>
                  <w:vMerge w:val="continue"/>
                  <w:noWrap w:val="0"/>
                  <w:vAlign w:val="center"/>
                </w:tcPr>
                <w:p w14:paraId="7CDBCE81">
                  <w:pPr>
                    <w:pStyle w:val="45"/>
                    <w:keepNext w:val="0"/>
                    <w:keepLines w:val="0"/>
                    <w:pageBreakBefore w:val="0"/>
                    <w:widowControl w:val="0"/>
                    <w:kinsoku/>
                    <w:wordWrap/>
                    <w:overflowPunct/>
                    <w:topLinePunct w:val="0"/>
                    <w:bidi w:val="0"/>
                    <w:adjustRightInd w:val="0"/>
                    <w:snapToGrid w:val="0"/>
                    <w:spacing w:line="240" w:lineRule="auto"/>
                    <w:rPr>
                      <w:rFonts w:ascii="Times New Roman" w:hAnsi="Times New Roman" w:eastAsia="宋体"/>
                      <w:color w:val="auto"/>
                      <w:sz w:val="21"/>
                    </w:rPr>
                  </w:pPr>
                </w:p>
              </w:tc>
              <w:tc>
                <w:tcPr>
                  <w:tcW w:w="3155" w:type="dxa"/>
                  <w:vMerge w:val="continue"/>
                  <w:noWrap w:val="0"/>
                  <w:vAlign w:val="center"/>
                </w:tcPr>
                <w:p w14:paraId="05925279">
                  <w:pPr>
                    <w:pStyle w:val="45"/>
                    <w:keepNext w:val="0"/>
                    <w:keepLines w:val="0"/>
                    <w:pageBreakBefore w:val="0"/>
                    <w:widowControl w:val="0"/>
                    <w:kinsoku/>
                    <w:wordWrap/>
                    <w:overflowPunct/>
                    <w:topLinePunct w:val="0"/>
                    <w:bidi w:val="0"/>
                    <w:adjustRightInd w:val="0"/>
                    <w:snapToGrid w:val="0"/>
                    <w:spacing w:line="240" w:lineRule="auto"/>
                    <w:rPr>
                      <w:rFonts w:ascii="Times New Roman" w:hAnsi="Times New Roman" w:eastAsia="宋体"/>
                      <w:color w:val="auto"/>
                      <w:sz w:val="21"/>
                    </w:rPr>
                  </w:pPr>
                </w:p>
              </w:tc>
            </w:tr>
          </w:tbl>
          <w:p w14:paraId="4B6A8532">
            <w:pPr>
              <w:widowControl w:val="0"/>
              <w:autoSpaceDE w:val="0"/>
              <w:autoSpaceDN w:val="0"/>
              <w:adjustRightInd w:val="0"/>
              <w:snapToGrid w:val="0"/>
              <w:spacing w:before="120" w:beforeLines="50" w:line="240" w:lineRule="auto"/>
              <w:ind w:firstLine="422" w:firstLineChars="200"/>
              <w:jc w:val="center"/>
              <w:outlineLvl w:val="3"/>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表3-</w:t>
            </w:r>
            <w:r>
              <w:rPr>
                <w:rFonts w:hint="eastAsia" w:cs="Times New Roman"/>
                <w:b/>
                <w:bCs/>
                <w:color w:val="auto"/>
                <w:kern w:val="2"/>
                <w:sz w:val="21"/>
                <w:szCs w:val="21"/>
                <w:lang w:val="en-US" w:eastAsia="zh-CN" w:bidi="ar-SA"/>
              </w:rPr>
              <w:t>6</w:t>
            </w:r>
            <w:r>
              <w:rPr>
                <w:rFonts w:hint="eastAsia" w:ascii="Times New Roman" w:hAnsi="Times New Roman" w:eastAsia="宋体" w:cs="Times New Roman"/>
                <w:b/>
                <w:bCs/>
                <w:color w:val="auto"/>
                <w:kern w:val="2"/>
                <w:sz w:val="21"/>
                <w:szCs w:val="21"/>
                <w:lang w:val="en-US" w:eastAsia="zh-CN" w:bidi="ar-SA"/>
              </w:rPr>
              <w:t xml:space="preserve"> </w:t>
            </w:r>
            <w:r>
              <w:rPr>
                <w:rFonts w:hint="eastAsia" w:eastAsia="宋体" w:cs="Times New Roman"/>
                <w:b/>
                <w:bCs/>
                <w:color w:val="auto"/>
                <w:kern w:val="2"/>
                <w:sz w:val="21"/>
                <w:szCs w:val="21"/>
                <w:lang w:val="en-US" w:eastAsia="zh-CN" w:bidi="ar-SA"/>
              </w:rPr>
              <w:t xml:space="preserve"> </w:t>
            </w:r>
            <w:r>
              <w:rPr>
                <w:rFonts w:hint="eastAsia" w:ascii="Times New Roman" w:hAnsi="Times New Roman" w:eastAsia="宋体" w:cs="Times New Roman"/>
                <w:b/>
                <w:bCs/>
                <w:color w:val="auto"/>
                <w:kern w:val="2"/>
                <w:sz w:val="21"/>
                <w:szCs w:val="21"/>
                <w:lang w:val="en-US" w:eastAsia="zh-CN" w:bidi="ar-SA"/>
              </w:rPr>
              <w:t>气味因子的恶臭阈值</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1398"/>
              <w:gridCol w:w="3379"/>
              <w:gridCol w:w="3643"/>
            </w:tblGrid>
            <w:tr w14:paraId="3E26B6E9">
              <w:trPr>
                <w:trHeight w:val="312" w:hRule="atLeast"/>
                <w:jc w:val="center"/>
              </w:trPr>
              <w:tc>
                <w:tcPr>
                  <w:tcW w:w="830" w:type="pct"/>
                  <w:vMerge w:val="restart"/>
                  <w:noWrap w:val="0"/>
                  <w:vAlign w:val="center"/>
                </w:tcPr>
                <w:p w14:paraId="410347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污染物</w:t>
                  </w:r>
                </w:p>
              </w:tc>
              <w:tc>
                <w:tcPr>
                  <w:tcW w:w="2006" w:type="pct"/>
                  <w:vMerge w:val="restart"/>
                  <w:noWrap w:val="0"/>
                  <w:vAlign w:val="center"/>
                </w:tcPr>
                <w:p w14:paraId="25B1F45C">
                  <w:pPr>
                    <w:pStyle w:val="57"/>
                    <w:keepNext w:val="0"/>
                    <w:keepLines w:val="0"/>
                    <w:pageBreakBefore w:val="0"/>
                    <w:widowControl w:val="0"/>
                    <w:kinsoku/>
                    <w:wordWrap/>
                    <w:overflowPunct/>
                    <w:topLinePunct w:val="0"/>
                    <w:autoSpaceDE/>
                    <w:autoSpaceDN/>
                    <w:bidi w:val="0"/>
                    <w:adjustRightInd w:val="0"/>
                    <w:snapToGrid w:val="0"/>
                    <w:rPr>
                      <w:rFonts w:hint="default" w:ascii="Times New Roman" w:hAnsi="Times New Roman" w:eastAsia="宋体" w:cs="Times New Roman"/>
                      <w:b w:val="0"/>
                      <w:bCs w:val="0"/>
                      <w:color w:val="auto"/>
                      <w:sz w:val="21"/>
                      <w:szCs w:val="21"/>
                    </w:rPr>
                  </w:pPr>
                  <w:r>
                    <w:rPr>
                      <w:rFonts w:eastAsia="宋体" w:cs="Times New Roman"/>
                      <w:b w:val="0"/>
                      <w:bCs w:val="0"/>
                      <w:color w:val="auto"/>
                      <w:sz w:val="21"/>
                    </w:rPr>
                    <w:t>恶臭阈值（ppm,v/v）</w:t>
                  </w:r>
                </w:p>
              </w:tc>
              <w:tc>
                <w:tcPr>
                  <w:tcW w:w="2162" w:type="pct"/>
                  <w:vMerge w:val="restart"/>
                  <w:noWrap w:val="0"/>
                  <w:vAlign w:val="center"/>
                </w:tcPr>
                <w:p w14:paraId="045AA765">
                  <w:pPr>
                    <w:pStyle w:val="4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执行标准</w:t>
                  </w:r>
                </w:p>
              </w:tc>
            </w:tr>
            <w:tr w14:paraId="69C4864F">
              <w:trPr>
                <w:trHeight w:val="312" w:hRule="atLeast"/>
                <w:jc w:val="center"/>
              </w:trPr>
              <w:tc>
                <w:tcPr>
                  <w:tcW w:w="830" w:type="pct"/>
                  <w:vMerge w:val="continue"/>
                  <w:noWrap w:val="0"/>
                  <w:vAlign w:val="center"/>
                </w:tcPr>
                <w:p w14:paraId="61AD81D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006" w:type="pct"/>
                  <w:vMerge w:val="continue"/>
                  <w:noWrap w:val="0"/>
                  <w:vAlign w:val="center"/>
                </w:tcPr>
                <w:p w14:paraId="2C4EC7A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162" w:type="pct"/>
                  <w:vMerge w:val="continue"/>
                  <w:noWrap w:val="0"/>
                  <w:vAlign w:val="center"/>
                </w:tcPr>
                <w:p w14:paraId="2F1DF132">
                  <w:pPr>
                    <w:pStyle w:val="45"/>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tc>
            </w:tr>
            <w:tr w14:paraId="767158A7">
              <w:trPr>
                <w:trHeight w:val="537" w:hRule="exact"/>
                <w:jc w:val="center"/>
              </w:trPr>
              <w:tc>
                <w:tcPr>
                  <w:tcW w:w="830" w:type="pct"/>
                  <w:noWrap w:val="0"/>
                  <w:vAlign w:val="center"/>
                </w:tcPr>
                <w:p w14:paraId="67918EF4">
                  <w:pPr>
                    <w:adjustRightInd w:val="0"/>
                    <w:snapToGrid w:val="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rPr>
                    <w:t>氨</w:t>
                  </w:r>
                </w:p>
              </w:tc>
              <w:tc>
                <w:tcPr>
                  <w:tcW w:w="2006" w:type="pct"/>
                  <w:noWrap w:val="0"/>
                  <w:vAlign w:val="center"/>
                </w:tcPr>
                <w:p w14:paraId="492EF180">
                  <w:pPr>
                    <w:pStyle w:val="57"/>
                    <w:rPr>
                      <w:rFonts w:hint="eastAsia" w:ascii="Times New Roman" w:hAnsi="Times New Roman" w:eastAsia="宋体" w:cs="Times New Roman"/>
                      <w:color w:val="auto"/>
                      <w:sz w:val="21"/>
                      <w:szCs w:val="21"/>
                      <w:lang w:val="en-US" w:eastAsia="zh-CN"/>
                    </w:rPr>
                  </w:pPr>
                  <w:r>
                    <w:rPr>
                      <w:rFonts w:eastAsia="宋体" w:cs="Times New Roman"/>
                      <w:color w:val="auto"/>
                      <w:sz w:val="21"/>
                    </w:rPr>
                    <w:t>1.5（约合1.14 mg/m</w:t>
                  </w:r>
                  <w:r>
                    <w:rPr>
                      <w:rFonts w:eastAsia="宋体" w:cs="Times New Roman"/>
                      <w:color w:val="auto"/>
                      <w:sz w:val="21"/>
                      <w:vertAlign w:val="superscript"/>
                    </w:rPr>
                    <w:t>3</w:t>
                  </w:r>
                  <w:r>
                    <w:rPr>
                      <w:rFonts w:eastAsia="宋体" w:cs="Times New Roman"/>
                      <w:color w:val="auto"/>
                      <w:sz w:val="21"/>
                    </w:rPr>
                    <w:t>）</w:t>
                  </w:r>
                </w:p>
              </w:tc>
              <w:tc>
                <w:tcPr>
                  <w:tcW w:w="2162" w:type="pct"/>
                  <w:vMerge w:val="restart"/>
                  <w:noWrap w:val="0"/>
                  <w:vAlign w:val="center"/>
                </w:tcPr>
                <w:p w14:paraId="33A2FC77">
                  <w:pPr>
                    <w:pStyle w:val="45"/>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《关于淮安市建设项目环境影响评价中增加嗅阈值评价内容的通知》（2016年5月20日）</w:t>
                  </w:r>
                </w:p>
              </w:tc>
            </w:tr>
            <w:tr w14:paraId="5723B13B">
              <w:trPr>
                <w:trHeight w:val="537" w:hRule="exact"/>
                <w:jc w:val="center"/>
              </w:trPr>
              <w:tc>
                <w:tcPr>
                  <w:tcW w:w="830" w:type="pct"/>
                  <w:noWrap w:val="0"/>
                  <w:vAlign w:val="center"/>
                </w:tcPr>
                <w:p w14:paraId="15B20A56">
                  <w:pPr>
                    <w:adjustRightInd w:val="0"/>
                    <w:snapToGrid w:val="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rPr>
                    <w:t>硫化氢</w:t>
                  </w:r>
                </w:p>
              </w:tc>
              <w:tc>
                <w:tcPr>
                  <w:tcW w:w="2006" w:type="pct"/>
                  <w:noWrap w:val="0"/>
                  <w:vAlign w:val="center"/>
                </w:tcPr>
                <w:p w14:paraId="0C8D1B9D">
                  <w:pPr>
                    <w:pStyle w:val="57"/>
                    <w:rPr>
                      <w:rFonts w:hint="eastAsia" w:ascii="Times New Roman" w:hAnsi="Times New Roman" w:eastAsia="宋体" w:cs="Times New Roman"/>
                      <w:color w:val="auto"/>
                      <w:sz w:val="21"/>
                      <w:szCs w:val="21"/>
                      <w:lang w:val="en-US" w:eastAsia="zh-CN"/>
                    </w:rPr>
                  </w:pPr>
                  <w:r>
                    <w:rPr>
                      <w:rFonts w:eastAsia="宋体" w:cs="Times New Roman"/>
                      <w:color w:val="auto"/>
                      <w:sz w:val="21"/>
                    </w:rPr>
                    <w:t>0.00041（约合0.0006 mg/m</w:t>
                  </w:r>
                  <w:r>
                    <w:rPr>
                      <w:rFonts w:eastAsia="宋体" w:cs="Times New Roman"/>
                      <w:color w:val="auto"/>
                      <w:sz w:val="21"/>
                      <w:vertAlign w:val="superscript"/>
                    </w:rPr>
                    <w:t>3</w:t>
                  </w:r>
                  <w:r>
                    <w:rPr>
                      <w:rFonts w:eastAsia="宋体" w:cs="Times New Roman"/>
                      <w:color w:val="auto"/>
                      <w:sz w:val="21"/>
                    </w:rPr>
                    <w:t>）</w:t>
                  </w:r>
                </w:p>
              </w:tc>
              <w:tc>
                <w:tcPr>
                  <w:tcW w:w="2162" w:type="pct"/>
                  <w:vMerge w:val="continue"/>
                  <w:noWrap w:val="0"/>
                  <w:vAlign w:val="center"/>
                </w:tcPr>
                <w:p w14:paraId="6F740086">
                  <w:pPr>
                    <w:pStyle w:val="45"/>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tc>
            </w:tr>
          </w:tbl>
          <w:p w14:paraId="64880571">
            <w:pPr>
              <w:pStyle w:val="17"/>
              <w:keepNext w:val="0"/>
              <w:keepLines w:val="0"/>
              <w:pageBreakBefore w:val="0"/>
              <w:widowControl w:val="0"/>
              <w:kinsoku/>
              <w:wordWrap/>
              <w:overflowPunct/>
              <w:topLinePunct w:val="0"/>
              <w:autoSpaceDE w:val="0"/>
              <w:autoSpaceDN w:val="0"/>
              <w:bidi w:val="0"/>
              <w:adjustRightInd w:val="0"/>
              <w:snapToGrid w:val="0"/>
              <w:spacing w:line="240" w:lineRule="auto"/>
              <w:ind w:firstLine="482"/>
              <w:jc w:val="center"/>
              <w:textAlignment w:val="auto"/>
              <w:rPr>
                <w:rFonts w:ascii="Times New Roman" w:hAnsi="Times New Roman"/>
                <w:b/>
                <w:color w:val="auto"/>
                <w:sz w:val="21"/>
                <w:szCs w:val="21"/>
              </w:rPr>
            </w:pPr>
            <w:r>
              <w:rPr>
                <w:rFonts w:hint="eastAsia" w:ascii="Times New Roman" w:hAnsi="Times New Roman"/>
                <w:b/>
                <w:color w:val="auto"/>
                <w:sz w:val="21"/>
                <w:szCs w:val="21"/>
              </w:rPr>
              <w:t>表3-</w:t>
            </w:r>
            <w:r>
              <w:rPr>
                <w:rFonts w:hint="eastAsia" w:ascii="Times New Roman" w:hAnsi="Times New Roman"/>
                <w:b/>
                <w:color w:val="auto"/>
                <w:sz w:val="21"/>
                <w:szCs w:val="21"/>
                <w:lang w:val="en-US" w:eastAsia="zh-CN"/>
              </w:rPr>
              <w:t xml:space="preserve">7  </w:t>
            </w:r>
            <w:r>
              <w:rPr>
                <w:rFonts w:hint="eastAsia" w:ascii="Times New Roman" w:hAnsi="Times New Roman"/>
                <w:b/>
                <w:color w:val="auto"/>
                <w:sz w:val="21"/>
                <w:szCs w:val="21"/>
              </w:rPr>
              <w:t>饮食业油烟排放标准限值</w:t>
            </w:r>
          </w:p>
          <w:tbl>
            <w:tblPr>
              <w:tblStyle w:val="21"/>
              <w:tblW w:w="835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496"/>
              <w:gridCol w:w="1729"/>
              <w:gridCol w:w="1619"/>
              <w:gridCol w:w="1513"/>
            </w:tblGrid>
            <w:tr w14:paraId="31D6E906">
              <w:trPr>
                <w:trHeight w:val="297" w:hRule="atLeast"/>
              </w:trPr>
              <w:tc>
                <w:tcPr>
                  <w:tcW w:w="3496" w:type="dxa"/>
                  <w:noWrap w:val="0"/>
                  <w:vAlign w:val="center"/>
                </w:tcPr>
                <w:p w14:paraId="6017E35B">
                  <w:pPr>
                    <w:pStyle w:val="16"/>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rPr>
                      <w:rFonts w:hint="eastAsia"/>
                      <w:color w:val="auto"/>
                      <w:sz w:val="21"/>
                      <w:szCs w:val="21"/>
                    </w:rPr>
                  </w:pPr>
                  <w:r>
                    <w:rPr>
                      <w:rFonts w:hint="eastAsia"/>
                      <w:color w:val="auto"/>
                      <w:sz w:val="21"/>
                      <w:szCs w:val="21"/>
                    </w:rPr>
                    <w:t>规模</w:t>
                  </w:r>
                </w:p>
              </w:tc>
              <w:tc>
                <w:tcPr>
                  <w:tcW w:w="1729" w:type="dxa"/>
                  <w:noWrap w:val="0"/>
                  <w:vAlign w:val="center"/>
                </w:tcPr>
                <w:p w14:paraId="1282AC7D">
                  <w:pPr>
                    <w:pStyle w:val="16"/>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rPr>
                      <w:rFonts w:hint="eastAsia"/>
                      <w:color w:val="auto"/>
                      <w:sz w:val="21"/>
                      <w:szCs w:val="21"/>
                    </w:rPr>
                  </w:pPr>
                  <w:r>
                    <w:rPr>
                      <w:rFonts w:hint="eastAsia"/>
                      <w:color w:val="auto"/>
                      <w:sz w:val="21"/>
                      <w:szCs w:val="21"/>
                    </w:rPr>
                    <w:t>小型</w:t>
                  </w:r>
                </w:p>
              </w:tc>
              <w:tc>
                <w:tcPr>
                  <w:tcW w:w="1619" w:type="dxa"/>
                  <w:noWrap w:val="0"/>
                  <w:vAlign w:val="center"/>
                </w:tcPr>
                <w:p w14:paraId="113C3F47">
                  <w:pPr>
                    <w:pStyle w:val="16"/>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rPr>
                      <w:rFonts w:hint="eastAsia"/>
                      <w:color w:val="auto"/>
                      <w:sz w:val="21"/>
                      <w:szCs w:val="21"/>
                    </w:rPr>
                  </w:pPr>
                  <w:r>
                    <w:rPr>
                      <w:rFonts w:hint="eastAsia"/>
                      <w:color w:val="auto"/>
                      <w:sz w:val="21"/>
                      <w:szCs w:val="21"/>
                    </w:rPr>
                    <w:t>中型</w:t>
                  </w:r>
                </w:p>
              </w:tc>
              <w:tc>
                <w:tcPr>
                  <w:tcW w:w="1513" w:type="dxa"/>
                  <w:noWrap w:val="0"/>
                  <w:vAlign w:val="center"/>
                </w:tcPr>
                <w:p w14:paraId="05D459C5">
                  <w:pPr>
                    <w:pStyle w:val="16"/>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rPr>
                      <w:rFonts w:hint="eastAsia"/>
                      <w:color w:val="auto"/>
                      <w:sz w:val="21"/>
                      <w:szCs w:val="21"/>
                    </w:rPr>
                  </w:pPr>
                  <w:r>
                    <w:rPr>
                      <w:rFonts w:hint="eastAsia"/>
                      <w:color w:val="auto"/>
                      <w:sz w:val="21"/>
                      <w:szCs w:val="21"/>
                    </w:rPr>
                    <w:t>大型</w:t>
                  </w:r>
                </w:p>
              </w:tc>
            </w:tr>
            <w:tr w14:paraId="679935A3">
              <w:trPr>
                <w:trHeight w:val="278" w:hRule="atLeast"/>
              </w:trPr>
              <w:tc>
                <w:tcPr>
                  <w:tcW w:w="3496" w:type="dxa"/>
                  <w:noWrap w:val="0"/>
                  <w:vAlign w:val="center"/>
                </w:tcPr>
                <w:p w14:paraId="05386C3B">
                  <w:pPr>
                    <w:pStyle w:val="16"/>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rPr>
                      <w:color w:val="auto"/>
                      <w:sz w:val="21"/>
                      <w:szCs w:val="21"/>
                    </w:rPr>
                  </w:pPr>
                  <w:r>
                    <w:rPr>
                      <w:rFonts w:hint="eastAsia"/>
                      <w:color w:val="auto"/>
                      <w:sz w:val="21"/>
                      <w:szCs w:val="21"/>
                    </w:rPr>
                    <w:t>基准灶头数</w:t>
                  </w:r>
                </w:p>
              </w:tc>
              <w:tc>
                <w:tcPr>
                  <w:tcW w:w="1729" w:type="dxa"/>
                  <w:noWrap w:val="0"/>
                  <w:vAlign w:val="center"/>
                </w:tcPr>
                <w:p w14:paraId="1077EA64">
                  <w:pPr>
                    <w:pStyle w:val="16"/>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rPr>
                      <w:color w:val="auto"/>
                      <w:sz w:val="21"/>
                      <w:szCs w:val="21"/>
                    </w:rPr>
                  </w:pPr>
                  <w:r>
                    <w:rPr>
                      <w:rFonts w:hint="eastAsia"/>
                      <w:color w:val="auto"/>
                      <w:sz w:val="21"/>
                      <w:szCs w:val="21"/>
                    </w:rPr>
                    <w:t>≥1</w:t>
                  </w:r>
                  <w:r>
                    <w:rPr>
                      <w:rFonts w:hint="eastAsia"/>
                      <w:color w:val="auto"/>
                      <w:sz w:val="21"/>
                      <w:szCs w:val="21"/>
                      <w:lang w:eastAsia="zh-CN"/>
                    </w:rPr>
                    <w:t>,&lt;</w:t>
                  </w:r>
                  <w:r>
                    <w:rPr>
                      <w:rFonts w:hint="eastAsia"/>
                      <w:color w:val="auto"/>
                      <w:sz w:val="21"/>
                      <w:szCs w:val="21"/>
                    </w:rPr>
                    <w:t>3</w:t>
                  </w:r>
                </w:p>
              </w:tc>
              <w:tc>
                <w:tcPr>
                  <w:tcW w:w="1619" w:type="dxa"/>
                  <w:noWrap w:val="0"/>
                  <w:vAlign w:val="center"/>
                </w:tcPr>
                <w:p w14:paraId="4220E9DD">
                  <w:pPr>
                    <w:pStyle w:val="16"/>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rPr>
                      <w:rFonts w:hint="eastAsia"/>
                      <w:color w:val="auto"/>
                      <w:sz w:val="21"/>
                      <w:szCs w:val="21"/>
                    </w:rPr>
                  </w:pPr>
                  <w:r>
                    <w:rPr>
                      <w:rFonts w:hint="eastAsia"/>
                      <w:color w:val="auto"/>
                      <w:sz w:val="21"/>
                      <w:szCs w:val="21"/>
                    </w:rPr>
                    <w:t>≥3</w:t>
                  </w:r>
                  <w:r>
                    <w:rPr>
                      <w:rFonts w:hint="eastAsia"/>
                      <w:color w:val="auto"/>
                      <w:sz w:val="21"/>
                      <w:szCs w:val="21"/>
                      <w:lang w:eastAsia="zh-CN"/>
                    </w:rPr>
                    <w:t>,&lt;</w:t>
                  </w:r>
                  <w:r>
                    <w:rPr>
                      <w:rFonts w:hint="eastAsia"/>
                      <w:color w:val="auto"/>
                      <w:sz w:val="21"/>
                      <w:szCs w:val="21"/>
                    </w:rPr>
                    <w:t>6</w:t>
                  </w:r>
                </w:p>
              </w:tc>
              <w:tc>
                <w:tcPr>
                  <w:tcW w:w="1513" w:type="dxa"/>
                  <w:noWrap w:val="0"/>
                  <w:vAlign w:val="center"/>
                </w:tcPr>
                <w:p w14:paraId="368474A2">
                  <w:pPr>
                    <w:pStyle w:val="16"/>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rPr>
                      <w:rFonts w:hint="eastAsia"/>
                      <w:color w:val="auto"/>
                      <w:sz w:val="21"/>
                      <w:szCs w:val="21"/>
                    </w:rPr>
                  </w:pPr>
                  <w:r>
                    <w:rPr>
                      <w:rFonts w:hint="eastAsia"/>
                      <w:color w:val="auto"/>
                      <w:sz w:val="21"/>
                      <w:szCs w:val="21"/>
                    </w:rPr>
                    <w:t>≥6</w:t>
                  </w:r>
                </w:p>
              </w:tc>
            </w:tr>
            <w:tr w14:paraId="4CCA39FB">
              <w:trPr>
                <w:trHeight w:val="278" w:hRule="atLeast"/>
              </w:trPr>
              <w:tc>
                <w:tcPr>
                  <w:tcW w:w="3496" w:type="dxa"/>
                  <w:noWrap w:val="0"/>
                  <w:vAlign w:val="center"/>
                </w:tcPr>
                <w:p w14:paraId="2554C51C">
                  <w:pPr>
                    <w:pStyle w:val="16"/>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rPr>
                      <w:color w:val="auto"/>
                      <w:sz w:val="21"/>
                      <w:szCs w:val="21"/>
                    </w:rPr>
                  </w:pPr>
                  <w:r>
                    <w:rPr>
                      <w:rFonts w:hint="eastAsia"/>
                      <w:color w:val="auto"/>
                      <w:sz w:val="21"/>
                      <w:szCs w:val="21"/>
                    </w:rPr>
                    <w:t>对应灶头总功率（10</w:t>
                  </w:r>
                  <w:r>
                    <w:rPr>
                      <w:rFonts w:hint="eastAsia"/>
                      <w:color w:val="auto"/>
                      <w:sz w:val="21"/>
                      <w:szCs w:val="21"/>
                      <w:vertAlign w:val="superscript"/>
                    </w:rPr>
                    <w:t>8</w:t>
                  </w:r>
                  <w:r>
                    <w:rPr>
                      <w:rFonts w:hint="eastAsia"/>
                      <w:color w:val="auto"/>
                      <w:sz w:val="21"/>
                      <w:szCs w:val="21"/>
                    </w:rPr>
                    <w:t>J/h）</w:t>
                  </w:r>
                </w:p>
              </w:tc>
              <w:tc>
                <w:tcPr>
                  <w:tcW w:w="1729" w:type="dxa"/>
                  <w:noWrap w:val="0"/>
                  <w:vAlign w:val="center"/>
                </w:tcPr>
                <w:p w14:paraId="16852435">
                  <w:pPr>
                    <w:pStyle w:val="16"/>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rPr>
                      <w:color w:val="auto"/>
                      <w:sz w:val="21"/>
                      <w:szCs w:val="21"/>
                    </w:rPr>
                  </w:pPr>
                  <w:r>
                    <w:rPr>
                      <w:rFonts w:hint="eastAsia"/>
                      <w:color w:val="auto"/>
                      <w:sz w:val="21"/>
                      <w:szCs w:val="21"/>
                    </w:rPr>
                    <w:t>≥1.67</w:t>
                  </w:r>
                  <w:r>
                    <w:rPr>
                      <w:rFonts w:hint="eastAsia"/>
                      <w:color w:val="auto"/>
                      <w:sz w:val="21"/>
                      <w:szCs w:val="21"/>
                      <w:lang w:eastAsia="zh-CN"/>
                    </w:rPr>
                    <w:t>,&lt;</w:t>
                  </w:r>
                  <w:r>
                    <w:rPr>
                      <w:rFonts w:hint="eastAsia"/>
                      <w:color w:val="auto"/>
                      <w:sz w:val="21"/>
                      <w:szCs w:val="21"/>
                    </w:rPr>
                    <w:t>5.00</w:t>
                  </w:r>
                </w:p>
              </w:tc>
              <w:tc>
                <w:tcPr>
                  <w:tcW w:w="1619" w:type="dxa"/>
                  <w:noWrap w:val="0"/>
                  <w:vAlign w:val="center"/>
                </w:tcPr>
                <w:p w14:paraId="43DD6491">
                  <w:pPr>
                    <w:pStyle w:val="16"/>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rPr>
                      <w:color w:val="auto"/>
                      <w:sz w:val="21"/>
                      <w:szCs w:val="21"/>
                    </w:rPr>
                  </w:pPr>
                  <w:r>
                    <w:rPr>
                      <w:rFonts w:hint="eastAsia"/>
                      <w:color w:val="auto"/>
                      <w:sz w:val="21"/>
                      <w:szCs w:val="21"/>
                    </w:rPr>
                    <w:t>≥5.00</w:t>
                  </w:r>
                  <w:r>
                    <w:rPr>
                      <w:rFonts w:hint="eastAsia"/>
                      <w:color w:val="auto"/>
                      <w:sz w:val="21"/>
                      <w:szCs w:val="21"/>
                      <w:lang w:eastAsia="zh-CN"/>
                    </w:rPr>
                    <w:t>,&lt;</w:t>
                  </w:r>
                  <w:r>
                    <w:rPr>
                      <w:rFonts w:hint="eastAsia"/>
                      <w:color w:val="auto"/>
                      <w:sz w:val="21"/>
                      <w:szCs w:val="21"/>
                    </w:rPr>
                    <w:t>10</w:t>
                  </w:r>
                </w:p>
              </w:tc>
              <w:tc>
                <w:tcPr>
                  <w:tcW w:w="1513" w:type="dxa"/>
                  <w:noWrap w:val="0"/>
                  <w:vAlign w:val="center"/>
                </w:tcPr>
                <w:p w14:paraId="11BAF4FE">
                  <w:pPr>
                    <w:pStyle w:val="16"/>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rPr>
                      <w:color w:val="auto"/>
                      <w:sz w:val="21"/>
                      <w:szCs w:val="21"/>
                    </w:rPr>
                  </w:pPr>
                  <w:r>
                    <w:rPr>
                      <w:rFonts w:hint="eastAsia"/>
                      <w:color w:val="auto"/>
                      <w:sz w:val="21"/>
                      <w:szCs w:val="21"/>
                    </w:rPr>
                    <w:t>≥10</w:t>
                  </w:r>
                </w:p>
              </w:tc>
            </w:tr>
            <w:tr w14:paraId="66BD263C">
              <w:trPr>
                <w:trHeight w:val="278" w:hRule="atLeast"/>
              </w:trPr>
              <w:tc>
                <w:tcPr>
                  <w:tcW w:w="3496" w:type="dxa"/>
                  <w:noWrap w:val="0"/>
                  <w:vAlign w:val="center"/>
                </w:tcPr>
                <w:p w14:paraId="690BA3AF">
                  <w:pPr>
                    <w:pStyle w:val="16"/>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rPr>
                      <w:color w:val="auto"/>
                      <w:sz w:val="21"/>
                      <w:szCs w:val="21"/>
                    </w:rPr>
                  </w:pPr>
                  <w:r>
                    <w:rPr>
                      <w:rFonts w:hint="eastAsia"/>
                      <w:color w:val="auto"/>
                      <w:sz w:val="21"/>
                      <w:szCs w:val="21"/>
                    </w:rPr>
                    <w:t>对应排气罩灶面总投影面积（m</w:t>
                  </w:r>
                  <w:r>
                    <w:rPr>
                      <w:rFonts w:hint="eastAsia"/>
                      <w:color w:val="auto"/>
                      <w:sz w:val="21"/>
                      <w:szCs w:val="21"/>
                      <w:vertAlign w:val="superscript"/>
                    </w:rPr>
                    <w:t>3</w:t>
                  </w:r>
                  <w:r>
                    <w:rPr>
                      <w:rFonts w:hint="eastAsia"/>
                      <w:color w:val="auto"/>
                      <w:sz w:val="21"/>
                      <w:szCs w:val="21"/>
                    </w:rPr>
                    <w:t>）</w:t>
                  </w:r>
                </w:p>
              </w:tc>
              <w:tc>
                <w:tcPr>
                  <w:tcW w:w="1729" w:type="dxa"/>
                  <w:noWrap w:val="0"/>
                  <w:vAlign w:val="center"/>
                </w:tcPr>
                <w:p w14:paraId="6008BFDE">
                  <w:pPr>
                    <w:pStyle w:val="16"/>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rPr>
                      <w:color w:val="auto"/>
                      <w:sz w:val="21"/>
                      <w:szCs w:val="21"/>
                    </w:rPr>
                  </w:pPr>
                  <w:r>
                    <w:rPr>
                      <w:rFonts w:hint="eastAsia"/>
                      <w:color w:val="auto"/>
                      <w:sz w:val="21"/>
                      <w:szCs w:val="21"/>
                    </w:rPr>
                    <w:t>≥1.1</w:t>
                  </w:r>
                  <w:r>
                    <w:rPr>
                      <w:rFonts w:hint="eastAsia"/>
                      <w:color w:val="auto"/>
                      <w:sz w:val="21"/>
                      <w:szCs w:val="21"/>
                      <w:lang w:eastAsia="zh-CN"/>
                    </w:rPr>
                    <w:t>,&lt;</w:t>
                  </w:r>
                  <w:r>
                    <w:rPr>
                      <w:rFonts w:hint="eastAsia"/>
                      <w:color w:val="auto"/>
                      <w:sz w:val="21"/>
                      <w:szCs w:val="21"/>
                    </w:rPr>
                    <w:t>3.3</w:t>
                  </w:r>
                </w:p>
              </w:tc>
              <w:tc>
                <w:tcPr>
                  <w:tcW w:w="1619" w:type="dxa"/>
                  <w:noWrap w:val="0"/>
                  <w:vAlign w:val="center"/>
                </w:tcPr>
                <w:p w14:paraId="401A5D37">
                  <w:pPr>
                    <w:pStyle w:val="16"/>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rPr>
                      <w:color w:val="auto"/>
                      <w:sz w:val="21"/>
                      <w:szCs w:val="21"/>
                    </w:rPr>
                  </w:pPr>
                  <w:r>
                    <w:rPr>
                      <w:rFonts w:hint="eastAsia"/>
                      <w:color w:val="auto"/>
                      <w:sz w:val="21"/>
                      <w:szCs w:val="21"/>
                    </w:rPr>
                    <w:t>≥3.3</w:t>
                  </w:r>
                  <w:r>
                    <w:rPr>
                      <w:rFonts w:hint="eastAsia"/>
                      <w:color w:val="auto"/>
                      <w:sz w:val="21"/>
                      <w:szCs w:val="21"/>
                      <w:lang w:eastAsia="zh-CN"/>
                    </w:rPr>
                    <w:t>,&lt;</w:t>
                  </w:r>
                  <w:r>
                    <w:rPr>
                      <w:rFonts w:hint="eastAsia"/>
                      <w:color w:val="auto"/>
                      <w:sz w:val="21"/>
                      <w:szCs w:val="21"/>
                    </w:rPr>
                    <w:t>6.6</w:t>
                  </w:r>
                </w:p>
              </w:tc>
              <w:tc>
                <w:tcPr>
                  <w:tcW w:w="1513" w:type="dxa"/>
                  <w:noWrap w:val="0"/>
                  <w:vAlign w:val="center"/>
                </w:tcPr>
                <w:p w14:paraId="69D233EA">
                  <w:pPr>
                    <w:pStyle w:val="16"/>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rPr>
                      <w:color w:val="auto"/>
                      <w:sz w:val="21"/>
                      <w:szCs w:val="21"/>
                    </w:rPr>
                  </w:pPr>
                  <w:r>
                    <w:rPr>
                      <w:rFonts w:hint="eastAsia"/>
                      <w:color w:val="auto"/>
                      <w:sz w:val="21"/>
                      <w:szCs w:val="21"/>
                    </w:rPr>
                    <w:t>≥6.6</w:t>
                  </w:r>
                </w:p>
              </w:tc>
            </w:tr>
            <w:tr w14:paraId="681F892E">
              <w:trPr>
                <w:trHeight w:val="278" w:hRule="atLeast"/>
              </w:trPr>
              <w:tc>
                <w:tcPr>
                  <w:tcW w:w="3496" w:type="dxa"/>
                  <w:noWrap w:val="0"/>
                  <w:vAlign w:val="center"/>
                </w:tcPr>
                <w:p w14:paraId="27ACA4BF">
                  <w:pPr>
                    <w:pStyle w:val="16"/>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rPr>
                      <w:color w:val="auto"/>
                      <w:sz w:val="21"/>
                      <w:szCs w:val="21"/>
                    </w:rPr>
                  </w:pPr>
                  <w:r>
                    <w:rPr>
                      <w:rFonts w:hint="eastAsia"/>
                      <w:color w:val="auto"/>
                      <w:sz w:val="21"/>
                      <w:szCs w:val="21"/>
                    </w:rPr>
                    <w:t>最高允许排放浓度（mg/m</w:t>
                  </w:r>
                  <w:r>
                    <w:rPr>
                      <w:rFonts w:hint="eastAsia"/>
                      <w:color w:val="auto"/>
                      <w:sz w:val="21"/>
                      <w:szCs w:val="21"/>
                      <w:vertAlign w:val="superscript"/>
                    </w:rPr>
                    <w:t>3</w:t>
                  </w:r>
                  <w:r>
                    <w:rPr>
                      <w:rFonts w:hint="eastAsia"/>
                      <w:color w:val="auto"/>
                      <w:sz w:val="21"/>
                      <w:szCs w:val="21"/>
                    </w:rPr>
                    <w:t>）</w:t>
                  </w:r>
                </w:p>
              </w:tc>
              <w:tc>
                <w:tcPr>
                  <w:tcW w:w="4861" w:type="dxa"/>
                  <w:gridSpan w:val="3"/>
                  <w:noWrap w:val="0"/>
                  <w:vAlign w:val="center"/>
                </w:tcPr>
                <w:p w14:paraId="513E8AC6">
                  <w:pPr>
                    <w:pStyle w:val="16"/>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rPr>
                      <w:color w:val="auto"/>
                      <w:sz w:val="21"/>
                      <w:szCs w:val="21"/>
                    </w:rPr>
                  </w:pPr>
                  <w:r>
                    <w:rPr>
                      <w:rFonts w:hint="eastAsia"/>
                      <w:color w:val="auto"/>
                      <w:sz w:val="21"/>
                      <w:szCs w:val="21"/>
                    </w:rPr>
                    <w:t>2.0</w:t>
                  </w:r>
                </w:p>
              </w:tc>
            </w:tr>
            <w:tr w14:paraId="2B223B97">
              <w:trPr>
                <w:trHeight w:val="307" w:hRule="atLeast"/>
              </w:trPr>
              <w:tc>
                <w:tcPr>
                  <w:tcW w:w="3496" w:type="dxa"/>
                  <w:noWrap w:val="0"/>
                  <w:vAlign w:val="center"/>
                </w:tcPr>
                <w:p w14:paraId="33D7F94C">
                  <w:pPr>
                    <w:pStyle w:val="16"/>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rPr>
                      <w:color w:val="auto"/>
                      <w:sz w:val="21"/>
                      <w:szCs w:val="21"/>
                    </w:rPr>
                  </w:pPr>
                  <w:r>
                    <w:rPr>
                      <w:rFonts w:hint="eastAsia"/>
                      <w:color w:val="auto"/>
                      <w:sz w:val="21"/>
                      <w:szCs w:val="21"/>
                    </w:rPr>
                    <w:t>净化设施最低去除率（%）</w:t>
                  </w:r>
                </w:p>
              </w:tc>
              <w:tc>
                <w:tcPr>
                  <w:tcW w:w="1729" w:type="dxa"/>
                  <w:noWrap w:val="0"/>
                  <w:vAlign w:val="center"/>
                </w:tcPr>
                <w:p w14:paraId="5F1B2F06">
                  <w:pPr>
                    <w:pStyle w:val="16"/>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rPr>
                      <w:color w:val="auto"/>
                      <w:sz w:val="21"/>
                      <w:szCs w:val="21"/>
                    </w:rPr>
                  </w:pPr>
                  <w:r>
                    <w:rPr>
                      <w:rFonts w:hint="eastAsia"/>
                      <w:color w:val="auto"/>
                      <w:sz w:val="21"/>
                      <w:szCs w:val="21"/>
                    </w:rPr>
                    <w:t>60</w:t>
                  </w:r>
                </w:p>
              </w:tc>
              <w:tc>
                <w:tcPr>
                  <w:tcW w:w="1619" w:type="dxa"/>
                  <w:noWrap w:val="0"/>
                  <w:vAlign w:val="center"/>
                </w:tcPr>
                <w:p w14:paraId="169E72B2">
                  <w:pPr>
                    <w:pStyle w:val="16"/>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rPr>
                      <w:color w:val="auto"/>
                      <w:sz w:val="21"/>
                      <w:szCs w:val="21"/>
                    </w:rPr>
                  </w:pPr>
                  <w:r>
                    <w:rPr>
                      <w:rFonts w:hint="eastAsia"/>
                      <w:color w:val="auto"/>
                      <w:sz w:val="21"/>
                      <w:szCs w:val="21"/>
                    </w:rPr>
                    <w:t>75</w:t>
                  </w:r>
                </w:p>
              </w:tc>
              <w:tc>
                <w:tcPr>
                  <w:tcW w:w="1513" w:type="dxa"/>
                  <w:noWrap w:val="0"/>
                  <w:vAlign w:val="center"/>
                </w:tcPr>
                <w:p w14:paraId="6A0105C7">
                  <w:pPr>
                    <w:pStyle w:val="16"/>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rPr>
                      <w:color w:val="auto"/>
                      <w:sz w:val="21"/>
                      <w:szCs w:val="21"/>
                    </w:rPr>
                  </w:pPr>
                  <w:r>
                    <w:rPr>
                      <w:rFonts w:hint="eastAsia"/>
                      <w:color w:val="auto"/>
                      <w:sz w:val="21"/>
                      <w:szCs w:val="21"/>
                    </w:rPr>
                    <w:t>85</w:t>
                  </w:r>
                </w:p>
              </w:tc>
            </w:tr>
          </w:tbl>
          <w:p w14:paraId="7A04F79A">
            <w:pPr>
              <w:pStyle w:val="17"/>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p>
          <w:p w14:paraId="58249A8B">
            <w:pPr>
              <w:pStyle w:val="16"/>
              <w:keepNext w:val="0"/>
              <w:keepLines w:val="0"/>
              <w:pageBreakBefore w:val="0"/>
              <w:widowControl w:val="0"/>
              <w:kinsoku/>
              <w:wordWrap/>
              <w:overflowPunct/>
              <w:topLinePunct w:val="0"/>
              <w:autoSpaceDE/>
              <w:autoSpaceDN/>
              <w:bidi w:val="0"/>
              <w:adjustRightInd/>
              <w:snapToGrid/>
              <w:spacing w:after="0" w:line="360" w:lineRule="auto"/>
              <w:ind w:left="0" w:leftChars="0" w:firstLine="482"/>
              <w:textAlignment w:val="auto"/>
              <w:rPr>
                <w:b w:val="0"/>
                <w:bCs w:val="0"/>
                <w:color w:val="auto"/>
              </w:rPr>
            </w:pPr>
            <w:r>
              <w:rPr>
                <w:rFonts w:hint="eastAsia"/>
                <w:b w:val="0"/>
                <w:bCs w:val="0"/>
                <w:color w:val="auto"/>
                <w:lang w:eastAsia="zh-CN"/>
              </w:rPr>
              <w:t>2.</w:t>
            </w:r>
            <w:r>
              <w:rPr>
                <w:rFonts w:hint="eastAsia"/>
                <w:b w:val="0"/>
                <w:bCs w:val="0"/>
                <w:color w:val="auto"/>
              </w:rPr>
              <w:t>水污染排放标准</w:t>
            </w:r>
          </w:p>
          <w:p w14:paraId="30DB9F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eastAsia="宋体"/>
                <w:color w:val="auto"/>
                <w:sz w:val="24"/>
                <w:lang w:val="en-US" w:eastAsia="zh-CN"/>
              </w:rPr>
            </w:pPr>
            <w:r>
              <w:rPr>
                <w:rFonts w:eastAsia="宋体"/>
                <w:color w:val="auto"/>
                <w:sz w:val="24"/>
              </w:rPr>
              <w:t>项目综合废水经预处理后满足涟水经济开发区西区污水处理厂接管标准，</w:t>
            </w:r>
            <w:r>
              <w:rPr>
                <w:rFonts w:hint="eastAsia"/>
                <w:color w:val="auto"/>
                <w:sz w:val="24"/>
                <w:lang w:eastAsia="zh-CN"/>
              </w:rPr>
              <w:t>污水处理厂</w:t>
            </w:r>
            <w:r>
              <w:rPr>
                <w:rFonts w:eastAsia="宋体"/>
                <w:color w:val="auto"/>
                <w:sz w:val="24"/>
              </w:rPr>
              <w:t>尾水标准执行《城镇污水处理厂污染物排放标准》（GB18918-2002）表1中一级A标准，处理达标后尾水排入公兴河。具体标准详见下表</w:t>
            </w:r>
            <w:r>
              <w:rPr>
                <w:rFonts w:hint="eastAsia" w:eastAsia="宋体"/>
                <w:bCs/>
                <w:color w:val="auto"/>
                <w:sz w:val="24"/>
                <w:szCs w:val="24"/>
                <w:highlight w:val="none"/>
                <w:lang w:val="en-US" w:eastAsia="zh-CN"/>
              </w:rPr>
              <w:t>。</w:t>
            </w:r>
            <w:r>
              <w:rPr>
                <w:rFonts w:hint="eastAsia" w:eastAsia="宋体"/>
                <w:color w:val="auto"/>
                <w:sz w:val="24"/>
                <w:lang w:val="en-US" w:eastAsia="zh-CN"/>
              </w:rPr>
              <w:t>具体标准详见下表。</w:t>
            </w:r>
          </w:p>
          <w:p w14:paraId="149F84CB">
            <w:pPr>
              <w:pStyle w:val="56"/>
              <w:keepNext w:val="0"/>
              <w:keepLines w:val="0"/>
              <w:suppressLineNumbers w:val="0"/>
              <w:bidi w:val="0"/>
              <w:spacing w:after="0"/>
              <w:ind w:left="0" w:right="0"/>
              <w:rPr>
                <w:color w:val="auto"/>
              </w:rPr>
            </w:pPr>
            <w:bookmarkStart w:id="1" w:name="_Toc24643"/>
            <w:r>
              <w:rPr>
                <w:color w:val="auto"/>
              </w:rPr>
              <w:t>表3-</w:t>
            </w:r>
            <w:r>
              <w:rPr>
                <w:rFonts w:hint="eastAsia"/>
                <w:color w:val="auto"/>
                <w:lang w:val="en-US" w:eastAsia="zh-CN"/>
              </w:rPr>
              <w:t>8</w:t>
            </w:r>
            <w:r>
              <w:rPr>
                <w:color w:val="auto"/>
              </w:rPr>
              <w:t xml:space="preserve">  水污染物接管标准和</w:t>
            </w:r>
            <w:r>
              <w:rPr>
                <w:rFonts w:hint="eastAsia"/>
                <w:color w:val="auto"/>
                <w:lang w:val="en-US" w:eastAsia="zh-CN"/>
              </w:rPr>
              <w:t>尾水</w:t>
            </w:r>
            <w:r>
              <w:rPr>
                <w:color w:val="auto"/>
              </w:rPr>
              <w:t>排放标准（pH无量纲</w:t>
            </w:r>
            <w:r>
              <w:rPr>
                <w:rFonts w:hint="eastAsia"/>
                <w:color w:val="auto"/>
                <w:lang w:eastAsia="zh-CN"/>
              </w:rPr>
              <w:t>，</w:t>
            </w:r>
            <w:r>
              <w:rPr>
                <w:color w:val="auto"/>
              </w:rPr>
              <w:t>其余单位为mg/L）</w:t>
            </w:r>
            <w:bookmarkEnd w:id="1"/>
          </w:p>
          <w:tbl>
            <w:tblPr>
              <w:tblStyle w:val="20"/>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25"/>
              <w:gridCol w:w="686"/>
              <w:gridCol w:w="935"/>
              <w:gridCol w:w="770"/>
              <w:gridCol w:w="770"/>
              <w:gridCol w:w="1100"/>
              <w:gridCol w:w="818"/>
              <w:gridCol w:w="866"/>
              <w:gridCol w:w="1243"/>
            </w:tblGrid>
            <w:tr w14:paraId="641BBE39">
              <w:trPr>
                <w:cantSplit/>
                <w:trHeight w:val="340" w:hRule="atLeast"/>
                <w:jc w:val="center"/>
              </w:trPr>
              <w:tc>
                <w:tcPr>
                  <w:tcW w:w="728" w:type="pct"/>
                  <w:noWrap w:val="0"/>
                  <w:vAlign w:val="center"/>
                </w:tcPr>
                <w:p w14:paraId="51E8233E">
                  <w:pPr>
                    <w:pStyle w:val="36"/>
                    <w:keepNext w:val="0"/>
                    <w:keepLines w:val="0"/>
                    <w:suppressLineNumbers w:val="0"/>
                    <w:bidi w:val="0"/>
                    <w:spacing w:before="0" w:beforeAutospacing="0" w:after="0" w:afterAutospacing="0"/>
                    <w:ind w:left="0" w:right="0"/>
                    <w:rPr>
                      <w:rFonts w:ascii="Times New Roman" w:hAnsi="Times New Roman" w:eastAsia="宋体"/>
                      <w:color w:val="auto"/>
                      <w:sz w:val="21"/>
                    </w:rPr>
                  </w:pPr>
                  <w:r>
                    <w:rPr>
                      <w:rFonts w:ascii="Times New Roman" w:hAnsi="Times New Roman" w:eastAsia="宋体"/>
                      <w:color w:val="auto"/>
                      <w:sz w:val="21"/>
                    </w:rPr>
                    <w:t>项目</w:t>
                  </w:r>
                </w:p>
              </w:tc>
              <w:tc>
                <w:tcPr>
                  <w:tcW w:w="408" w:type="pct"/>
                  <w:noWrap w:val="0"/>
                  <w:vAlign w:val="center"/>
                </w:tcPr>
                <w:p w14:paraId="4EE61FDE">
                  <w:pPr>
                    <w:pStyle w:val="36"/>
                    <w:keepNext w:val="0"/>
                    <w:keepLines w:val="0"/>
                    <w:suppressLineNumbers w:val="0"/>
                    <w:bidi w:val="0"/>
                    <w:spacing w:before="0" w:beforeAutospacing="0" w:after="0" w:afterAutospacing="0"/>
                    <w:ind w:left="0" w:right="0"/>
                    <w:rPr>
                      <w:rFonts w:ascii="Times New Roman" w:hAnsi="Times New Roman" w:eastAsia="宋体"/>
                      <w:color w:val="auto"/>
                      <w:sz w:val="21"/>
                    </w:rPr>
                  </w:pPr>
                  <w:r>
                    <w:rPr>
                      <w:rFonts w:ascii="Times New Roman" w:hAnsi="Times New Roman" w:eastAsia="宋体"/>
                      <w:color w:val="auto"/>
                      <w:sz w:val="21"/>
                    </w:rPr>
                    <w:t>pH</w:t>
                  </w:r>
                </w:p>
              </w:tc>
              <w:tc>
                <w:tcPr>
                  <w:tcW w:w="555" w:type="pct"/>
                  <w:noWrap w:val="0"/>
                  <w:vAlign w:val="center"/>
                </w:tcPr>
                <w:p w14:paraId="720A37DB">
                  <w:pPr>
                    <w:pStyle w:val="36"/>
                    <w:keepNext w:val="0"/>
                    <w:keepLines w:val="0"/>
                    <w:suppressLineNumbers w:val="0"/>
                    <w:bidi w:val="0"/>
                    <w:spacing w:before="0" w:beforeAutospacing="0" w:after="0" w:afterAutospacing="0"/>
                    <w:ind w:left="0" w:right="0"/>
                    <w:rPr>
                      <w:rFonts w:ascii="Times New Roman" w:hAnsi="Times New Roman" w:eastAsia="宋体"/>
                      <w:color w:val="auto"/>
                      <w:sz w:val="21"/>
                    </w:rPr>
                  </w:pPr>
                  <w:r>
                    <w:rPr>
                      <w:rFonts w:ascii="Times New Roman" w:hAnsi="Times New Roman" w:eastAsia="宋体"/>
                      <w:color w:val="auto"/>
                      <w:sz w:val="21"/>
                    </w:rPr>
                    <w:t>COD</w:t>
                  </w:r>
                </w:p>
              </w:tc>
              <w:tc>
                <w:tcPr>
                  <w:tcW w:w="457" w:type="pct"/>
                  <w:noWrap w:val="0"/>
                  <w:vAlign w:val="center"/>
                </w:tcPr>
                <w:p w14:paraId="7EE9FDB3">
                  <w:pPr>
                    <w:pStyle w:val="36"/>
                    <w:keepNext w:val="0"/>
                    <w:keepLines w:val="0"/>
                    <w:suppressLineNumbers w:val="0"/>
                    <w:bidi w:val="0"/>
                    <w:spacing w:before="0" w:beforeAutospacing="0" w:after="0" w:afterAutospacing="0"/>
                    <w:ind w:left="0" w:right="0"/>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BOD</w:t>
                  </w:r>
                  <w:r>
                    <w:rPr>
                      <w:rFonts w:hint="eastAsia" w:ascii="Times New Roman" w:hAnsi="Times New Roman" w:eastAsia="宋体"/>
                      <w:color w:val="auto"/>
                      <w:sz w:val="21"/>
                      <w:vertAlign w:val="subscript"/>
                      <w:lang w:val="en-US" w:eastAsia="zh-CN"/>
                    </w:rPr>
                    <w:t>5</w:t>
                  </w:r>
                </w:p>
              </w:tc>
              <w:tc>
                <w:tcPr>
                  <w:tcW w:w="457" w:type="pct"/>
                  <w:noWrap w:val="0"/>
                  <w:vAlign w:val="center"/>
                </w:tcPr>
                <w:p w14:paraId="32D5C6C3">
                  <w:pPr>
                    <w:pStyle w:val="36"/>
                    <w:keepNext w:val="0"/>
                    <w:keepLines w:val="0"/>
                    <w:suppressLineNumbers w:val="0"/>
                    <w:bidi w:val="0"/>
                    <w:spacing w:before="0" w:beforeAutospacing="0" w:after="0" w:afterAutospacing="0"/>
                    <w:ind w:left="0" w:right="0"/>
                    <w:rPr>
                      <w:rFonts w:ascii="Times New Roman" w:hAnsi="Times New Roman" w:eastAsia="宋体"/>
                      <w:color w:val="auto"/>
                      <w:sz w:val="21"/>
                    </w:rPr>
                  </w:pPr>
                  <w:r>
                    <w:rPr>
                      <w:rFonts w:ascii="Times New Roman" w:hAnsi="Times New Roman" w:eastAsia="宋体"/>
                      <w:color w:val="auto"/>
                      <w:sz w:val="21"/>
                    </w:rPr>
                    <w:t>SS</w:t>
                  </w:r>
                </w:p>
              </w:tc>
              <w:tc>
                <w:tcPr>
                  <w:tcW w:w="653" w:type="pct"/>
                  <w:noWrap w:val="0"/>
                  <w:vAlign w:val="center"/>
                </w:tcPr>
                <w:p w14:paraId="4FCCC436">
                  <w:pPr>
                    <w:pStyle w:val="36"/>
                    <w:keepNext w:val="0"/>
                    <w:keepLines w:val="0"/>
                    <w:suppressLineNumbers w:val="0"/>
                    <w:bidi w:val="0"/>
                    <w:spacing w:before="0" w:beforeAutospacing="0" w:after="0" w:afterAutospacing="0"/>
                    <w:ind w:left="0" w:right="0"/>
                    <w:rPr>
                      <w:rFonts w:ascii="Times New Roman" w:hAnsi="Times New Roman" w:eastAsia="宋体"/>
                      <w:color w:val="auto"/>
                      <w:sz w:val="21"/>
                    </w:rPr>
                  </w:pPr>
                  <w:r>
                    <w:rPr>
                      <w:rFonts w:ascii="Times New Roman" w:hAnsi="Times New Roman" w:eastAsia="宋体"/>
                      <w:color w:val="auto"/>
                      <w:sz w:val="21"/>
                    </w:rPr>
                    <w:t>NH</w:t>
                  </w:r>
                  <w:r>
                    <w:rPr>
                      <w:rFonts w:ascii="Times New Roman" w:hAnsi="Times New Roman" w:eastAsia="宋体"/>
                      <w:color w:val="auto"/>
                      <w:sz w:val="21"/>
                      <w:vertAlign w:val="subscript"/>
                    </w:rPr>
                    <w:t>3</w:t>
                  </w:r>
                  <w:r>
                    <w:rPr>
                      <w:rFonts w:ascii="Times New Roman" w:hAnsi="Times New Roman" w:eastAsia="宋体"/>
                      <w:color w:val="auto"/>
                      <w:sz w:val="21"/>
                    </w:rPr>
                    <w:t>-N</w:t>
                  </w:r>
                </w:p>
              </w:tc>
              <w:tc>
                <w:tcPr>
                  <w:tcW w:w="486" w:type="pct"/>
                  <w:noWrap w:val="0"/>
                  <w:vAlign w:val="center"/>
                </w:tcPr>
                <w:p w14:paraId="46E4C998">
                  <w:pPr>
                    <w:pStyle w:val="36"/>
                    <w:keepNext w:val="0"/>
                    <w:keepLines w:val="0"/>
                    <w:suppressLineNumbers w:val="0"/>
                    <w:bidi w:val="0"/>
                    <w:spacing w:before="0" w:beforeAutospacing="0" w:after="0" w:afterAutospacing="0"/>
                    <w:ind w:left="0" w:right="0"/>
                    <w:rPr>
                      <w:rFonts w:ascii="Times New Roman" w:hAnsi="Times New Roman" w:eastAsia="宋体"/>
                      <w:color w:val="auto"/>
                      <w:sz w:val="21"/>
                    </w:rPr>
                  </w:pPr>
                  <w:r>
                    <w:rPr>
                      <w:rFonts w:ascii="Times New Roman" w:hAnsi="Times New Roman" w:eastAsia="宋体"/>
                      <w:color w:val="auto"/>
                      <w:sz w:val="21"/>
                    </w:rPr>
                    <w:t>TP</w:t>
                  </w:r>
                </w:p>
              </w:tc>
              <w:tc>
                <w:tcPr>
                  <w:tcW w:w="514" w:type="pct"/>
                  <w:noWrap w:val="0"/>
                  <w:vAlign w:val="center"/>
                </w:tcPr>
                <w:p w14:paraId="17B9EAE3">
                  <w:pPr>
                    <w:pStyle w:val="36"/>
                    <w:keepNext w:val="0"/>
                    <w:keepLines w:val="0"/>
                    <w:suppressLineNumbers w:val="0"/>
                    <w:bidi w:val="0"/>
                    <w:spacing w:before="0" w:beforeAutospacing="0" w:after="0" w:afterAutospacing="0"/>
                    <w:ind w:left="0" w:right="0"/>
                    <w:rPr>
                      <w:rFonts w:ascii="Times New Roman" w:hAnsi="Times New Roman" w:eastAsia="宋体"/>
                      <w:color w:val="auto"/>
                      <w:sz w:val="21"/>
                    </w:rPr>
                  </w:pPr>
                  <w:r>
                    <w:rPr>
                      <w:rFonts w:ascii="Times New Roman" w:hAnsi="Times New Roman" w:eastAsia="宋体"/>
                      <w:color w:val="auto"/>
                      <w:sz w:val="21"/>
                    </w:rPr>
                    <w:t>TN</w:t>
                  </w:r>
                </w:p>
              </w:tc>
              <w:tc>
                <w:tcPr>
                  <w:tcW w:w="738" w:type="pct"/>
                  <w:noWrap w:val="0"/>
                  <w:vAlign w:val="center"/>
                </w:tcPr>
                <w:p w14:paraId="03428D24">
                  <w:pPr>
                    <w:pStyle w:val="36"/>
                    <w:keepNext w:val="0"/>
                    <w:keepLines w:val="0"/>
                    <w:suppressLineNumbers w:val="0"/>
                    <w:bidi w:val="0"/>
                    <w:spacing w:before="0" w:beforeAutospacing="0" w:after="0" w:afterAutospacing="0"/>
                    <w:ind w:left="0" w:right="0"/>
                    <w:rPr>
                      <w:rFonts w:hint="eastAsia" w:ascii="Times New Roman" w:hAnsi="Times New Roman" w:eastAsia="宋体"/>
                      <w:color w:val="auto"/>
                      <w:sz w:val="21"/>
                    </w:rPr>
                  </w:pPr>
                  <w:r>
                    <w:rPr>
                      <w:rFonts w:hint="eastAsia" w:ascii="Times New Roman" w:hAnsi="Times New Roman" w:eastAsia="宋体"/>
                      <w:color w:val="auto"/>
                      <w:sz w:val="21"/>
                    </w:rPr>
                    <w:t>动植物油</w:t>
                  </w:r>
                </w:p>
              </w:tc>
            </w:tr>
            <w:tr w14:paraId="5D7601A4">
              <w:trPr>
                <w:cantSplit/>
                <w:trHeight w:val="340" w:hRule="atLeast"/>
                <w:jc w:val="center"/>
              </w:trPr>
              <w:tc>
                <w:tcPr>
                  <w:tcW w:w="728" w:type="pct"/>
                  <w:noWrap w:val="0"/>
                  <w:vAlign w:val="center"/>
                </w:tcPr>
                <w:p w14:paraId="7EC42D97">
                  <w:pPr>
                    <w:pStyle w:val="36"/>
                    <w:keepNext w:val="0"/>
                    <w:keepLines w:val="0"/>
                    <w:suppressLineNumbers w:val="0"/>
                    <w:bidi w:val="0"/>
                    <w:spacing w:before="0" w:beforeAutospacing="0" w:after="0" w:afterAutospacing="0"/>
                    <w:ind w:left="0" w:right="0"/>
                    <w:rPr>
                      <w:rFonts w:ascii="Times New Roman" w:hAnsi="Times New Roman" w:eastAsia="宋体"/>
                      <w:color w:val="auto"/>
                      <w:sz w:val="21"/>
                    </w:rPr>
                  </w:pPr>
                  <w:r>
                    <w:rPr>
                      <w:rFonts w:ascii="Times New Roman" w:hAnsi="Times New Roman" w:eastAsia="宋体"/>
                      <w:color w:val="auto"/>
                      <w:sz w:val="21"/>
                    </w:rPr>
                    <w:t>接管标准</w:t>
                  </w:r>
                </w:p>
              </w:tc>
              <w:tc>
                <w:tcPr>
                  <w:tcW w:w="408" w:type="pct"/>
                  <w:noWrap w:val="0"/>
                  <w:vAlign w:val="center"/>
                </w:tcPr>
                <w:p w14:paraId="74AD7C02">
                  <w:pPr>
                    <w:pStyle w:val="36"/>
                    <w:keepNext w:val="0"/>
                    <w:keepLines w:val="0"/>
                    <w:suppressLineNumbers w:val="0"/>
                    <w:bidi w:val="0"/>
                    <w:spacing w:before="0" w:beforeAutospacing="0" w:after="0" w:afterAutospacing="0"/>
                    <w:ind w:left="0" w:right="0"/>
                    <w:rPr>
                      <w:rFonts w:ascii="Times New Roman" w:hAnsi="Times New Roman" w:eastAsia="宋体"/>
                      <w:color w:val="auto"/>
                      <w:sz w:val="21"/>
                    </w:rPr>
                  </w:pPr>
                  <w:r>
                    <w:rPr>
                      <w:rFonts w:ascii="Times New Roman" w:hAnsi="Times New Roman" w:eastAsia="宋体"/>
                      <w:color w:val="auto"/>
                      <w:sz w:val="21"/>
                    </w:rPr>
                    <w:t>6~9</w:t>
                  </w:r>
                </w:p>
              </w:tc>
              <w:tc>
                <w:tcPr>
                  <w:tcW w:w="555" w:type="pct"/>
                  <w:noWrap w:val="0"/>
                  <w:vAlign w:val="center"/>
                </w:tcPr>
                <w:p w14:paraId="7E3B07E0">
                  <w:pPr>
                    <w:pStyle w:val="36"/>
                    <w:keepNext w:val="0"/>
                    <w:keepLines w:val="0"/>
                    <w:suppressLineNumbers w:val="0"/>
                    <w:bidi w:val="0"/>
                    <w:spacing w:before="0" w:beforeAutospacing="0" w:after="0" w:afterAutospacing="0"/>
                    <w:ind w:left="0" w:right="0"/>
                    <w:rPr>
                      <w:rFonts w:ascii="Times New Roman" w:hAnsi="Times New Roman" w:eastAsia="宋体"/>
                      <w:color w:val="auto"/>
                      <w:sz w:val="21"/>
                    </w:rPr>
                  </w:pPr>
                  <w:r>
                    <w:rPr>
                      <w:rFonts w:hint="eastAsia" w:ascii="Times New Roman" w:hAnsi="Times New Roman" w:eastAsia="宋体"/>
                      <w:color w:val="auto"/>
                      <w:sz w:val="21"/>
                    </w:rPr>
                    <w:t>500</w:t>
                  </w:r>
                </w:p>
              </w:tc>
              <w:tc>
                <w:tcPr>
                  <w:tcW w:w="457" w:type="pct"/>
                  <w:noWrap w:val="0"/>
                  <w:vAlign w:val="center"/>
                </w:tcPr>
                <w:p w14:paraId="51ACB047">
                  <w:pPr>
                    <w:pStyle w:val="36"/>
                    <w:keepNext w:val="0"/>
                    <w:keepLines w:val="0"/>
                    <w:suppressLineNumbers w:val="0"/>
                    <w:bidi w:val="0"/>
                    <w:spacing w:before="0" w:beforeAutospacing="0" w:after="0" w:afterAutospacing="0"/>
                    <w:ind w:left="0" w:right="0"/>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180</w:t>
                  </w:r>
                </w:p>
              </w:tc>
              <w:tc>
                <w:tcPr>
                  <w:tcW w:w="457" w:type="pct"/>
                  <w:noWrap w:val="0"/>
                  <w:vAlign w:val="center"/>
                </w:tcPr>
                <w:p w14:paraId="499A7B99">
                  <w:pPr>
                    <w:pStyle w:val="36"/>
                    <w:keepNext w:val="0"/>
                    <w:keepLines w:val="0"/>
                    <w:suppressLineNumbers w:val="0"/>
                    <w:bidi w:val="0"/>
                    <w:spacing w:before="0" w:beforeAutospacing="0" w:after="0" w:afterAutospacing="0"/>
                    <w:ind w:left="0" w:right="0"/>
                    <w:rPr>
                      <w:rFonts w:ascii="Times New Roman" w:hAnsi="Times New Roman" w:eastAsia="宋体"/>
                      <w:color w:val="auto"/>
                      <w:sz w:val="21"/>
                    </w:rPr>
                  </w:pPr>
                  <w:r>
                    <w:rPr>
                      <w:rFonts w:hint="eastAsia" w:ascii="Times New Roman" w:hAnsi="Times New Roman" w:eastAsia="宋体"/>
                      <w:color w:val="auto"/>
                      <w:sz w:val="21"/>
                    </w:rPr>
                    <w:t>4</w:t>
                  </w:r>
                  <w:r>
                    <w:rPr>
                      <w:rFonts w:ascii="Times New Roman" w:hAnsi="Times New Roman" w:eastAsia="宋体"/>
                      <w:color w:val="auto"/>
                      <w:sz w:val="21"/>
                    </w:rPr>
                    <w:t>00</w:t>
                  </w:r>
                </w:p>
              </w:tc>
              <w:tc>
                <w:tcPr>
                  <w:tcW w:w="653" w:type="pct"/>
                  <w:noWrap w:val="0"/>
                  <w:vAlign w:val="center"/>
                </w:tcPr>
                <w:p w14:paraId="316B2737">
                  <w:pPr>
                    <w:pStyle w:val="36"/>
                    <w:keepNext w:val="0"/>
                    <w:keepLines w:val="0"/>
                    <w:suppressLineNumbers w:val="0"/>
                    <w:bidi w:val="0"/>
                    <w:spacing w:before="0" w:beforeAutospacing="0" w:after="0" w:afterAutospacing="0"/>
                    <w:ind w:left="0" w:right="0"/>
                    <w:rPr>
                      <w:rFonts w:ascii="Times New Roman" w:hAnsi="Times New Roman" w:eastAsia="宋体"/>
                      <w:color w:val="auto"/>
                      <w:sz w:val="21"/>
                    </w:rPr>
                  </w:pPr>
                  <w:r>
                    <w:rPr>
                      <w:rFonts w:ascii="Times New Roman" w:hAnsi="Times New Roman" w:eastAsia="宋体"/>
                      <w:color w:val="auto"/>
                      <w:sz w:val="21"/>
                    </w:rPr>
                    <w:t>30</w:t>
                  </w:r>
                </w:p>
              </w:tc>
              <w:tc>
                <w:tcPr>
                  <w:tcW w:w="486" w:type="pct"/>
                  <w:noWrap w:val="0"/>
                  <w:vAlign w:val="center"/>
                </w:tcPr>
                <w:p w14:paraId="1BD79EE1">
                  <w:pPr>
                    <w:pStyle w:val="36"/>
                    <w:keepNext w:val="0"/>
                    <w:keepLines w:val="0"/>
                    <w:suppressLineNumbers w:val="0"/>
                    <w:bidi w:val="0"/>
                    <w:spacing w:before="0" w:beforeAutospacing="0" w:after="0" w:afterAutospacing="0"/>
                    <w:ind w:left="0" w:right="0"/>
                    <w:rPr>
                      <w:rFonts w:hint="eastAsia" w:ascii="Times New Roman" w:hAnsi="Times New Roman" w:eastAsia="宋体"/>
                      <w:color w:val="auto"/>
                      <w:sz w:val="21"/>
                    </w:rPr>
                  </w:pPr>
                  <w:r>
                    <w:rPr>
                      <w:rFonts w:hint="eastAsia" w:ascii="Times New Roman" w:hAnsi="Times New Roman" w:eastAsia="宋体"/>
                      <w:color w:val="auto"/>
                      <w:sz w:val="21"/>
                    </w:rPr>
                    <w:t>8</w:t>
                  </w:r>
                </w:p>
              </w:tc>
              <w:tc>
                <w:tcPr>
                  <w:tcW w:w="514" w:type="pct"/>
                  <w:noWrap w:val="0"/>
                  <w:vAlign w:val="center"/>
                </w:tcPr>
                <w:p w14:paraId="49CAE9DA">
                  <w:pPr>
                    <w:pStyle w:val="36"/>
                    <w:keepNext w:val="0"/>
                    <w:keepLines w:val="0"/>
                    <w:suppressLineNumbers w:val="0"/>
                    <w:bidi w:val="0"/>
                    <w:spacing w:before="0" w:beforeAutospacing="0" w:after="0" w:afterAutospacing="0"/>
                    <w:ind w:left="0" w:right="0"/>
                    <w:rPr>
                      <w:rFonts w:ascii="Times New Roman" w:hAnsi="Times New Roman" w:eastAsia="宋体"/>
                      <w:color w:val="auto"/>
                      <w:sz w:val="21"/>
                    </w:rPr>
                  </w:pPr>
                  <w:r>
                    <w:rPr>
                      <w:rFonts w:hint="eastAsia" w:ascii="Times New Roman" w:hAnsi="Times New Roman" w:eastAsia="宋体"/>
                      <w:color w:val="auto"/>
                      <w:sz w:val="21"/>
                    </w:rPr>
                    <w:t>45</w:t>
                  </w:r>
                </w:p>
              </w:tc>
              <w:tc>
                <w:tcPr>
                  <w:tcW w:w="738" w:type="pct"/>
                  <w:noWrap w:val="0"/>
                  <w:vAlign w:val="center"/>
                </w:tcPr>
                <w:p w14:paraId="6DF5823A">
                  <w:pPr>
                    <w:pStyle w:val="36"/>
                    <w:keepNext w:val="0"/>
                    <w:keepLines w:val="0"/>
                    <w:suppressLineNumbers w:val="0"/>
                    <w:bidi w:val="0"/>
                    <w:spacing w:before="0" w:beforeAutospacing="0" w:after="0" w:afterAutospacing="0"/>
                    <w:ind w:left="0" w:right="0"/>
                    <w:rPr>
                      <w:rFonts w:ascii="Times New Roman" w:hAnsi="Times New Roman" w:eastAsia="宋体"/>
                      <w:color w:val="auto"/>
                      <w:sz w:val="21"/>
                    </w:rPr>
                  </w:pPr>
                  <w:r>
                    <w:rPr>
                      <w:rFonts w:hint="eastAsia" w:ascii="Times New Roman" w:hAnsi="Times New Roman" w:eastAsia="宋体"/>
                      <w:color w:val="auto"/>
                      <w:sz w:val="21"/>
                    </w:rPr>
                    <w:t>100</w:t>
                  </w:r>
                </w:p>
              </w:tc>
            </w:tr>
            <w:tr w14:paraId="440751AF">
              <w:trPr>
                <w:cantSplit/>
                <w:trHeight w:val="340" w:hRule="atLeast"/>
                <w:jc w:val="center"/>
              </w:trPr>
              <w:tc>
                <w:tcPr>
                  <w:tcW w:w="728" w:type="pct"/>
                  <w:noWrap w:val="0"/>
                  <w:vAlign w:val="center"/>
                </w:tcPr>
                <w:p w14:paraId="5E76B6F6">
                  <w:pPr>
                    <w:pStyle w:val="36"/>
                    <w:keepNext w:val="0"/>
                    <w:keepLines w:val="0"/>
                    <w:suppressLineNumbers w:val="0"/>
                    <w:bidi w:val="0"/>
                    <w:spacing w:before="0" w:beforeAutospacing="0" w:after="0" w:afterAutospacing="0"/>
                    <w:ind w:left="0" w:right="0"/>
                    <w:rPr>
                      <w:rFonts w:ascii="Times New Roman" w:hAnsi="Times New Roman" w:eastAsia="宋体"/>
                      <w:color w:val="auto"/>
                      <w:sz w:val="21"/>
                    </w:rPr>
                  </w:pPr>
                  <w:r>
                    <w:rPr>
                      <w:rFonts w:ascii="Times New Roman" w:hAnsi="Times New Roman" w:eastAsia="宋体"/>
                      <w:color w:val="auto"/>
                      <w:sz w:val="21"/>
                    </w:rPr>
                    <w:t>排放标准</w:t>
                  </w:r>
                </w:p>
              </w:tc>
              <w:tc>
                <w:tcPr>
                  <w:tcW w:w="408" w:type="pct"/>
                  <w:noWrap w:val="0"/>
                  <w:vAlign w:val="center"/>
                </w:tcPr>
                <w:p w14:paraId="05903F5E">
                  <w:pPr>
                    <w:pStyle w:val="36"/>
                    <w:keepNext w:val="0"/>
                    <w:keepLines w:val="0"/>
                    <w:suppressLineNumbers w:val="0"/>
                    <w:bidi w:val="0"/>
                    <w:spacing w:before="0" w:beforeAutospacing="0" w:after="0" w:afterAutospacing="0"/>
                    <w:ind w:left="0" w:right="0"/>
                    <w:rPr>
                      <w:rFonts w:ascii="Times New Roman" w:hAnsi="Times New Roman" w:eastAsia="宋体"/>
                      <w:color w:val="auto"/>
                      <w:sz w:val="21"/>
                    </w:rPr>
                  </w:pPr>
                  <w:r>
                    <w:rPr>
                      <w:rFonts w:ascii="Times New Roman" w:hAnsi="Times New Roman" w:eastAsia="宋体"/>
                      <w:color w:val="auto"/>
                      <w:sz w:val="21"/>
                    </w:rPr>
                    <w:t>6~9</w:t>
                  </w:r>
                </w:p>
              </w:tc>
              <w:tc>
                <w:tcPr>
                  <w:tcW w:w="555" w:type="pct"/>
                  <w:noWrap w:val="0"/>
                  <w:vAlign w:val="center"/>
                </w:tcPr>
                <w:p w14:paraId="76113D73">
                  <w:pPr>
                    <w:pStyle w:val="36"/>
                    <w:keepNext w:val="0"/>
                    <w:keepLines w:val="0"/>
                    <w:suppressLineNumbers w:val="0"/>
                    <w:bidi w:val="0"/>
                    <w:spacing w:before="0" w:beforeAutospacing="0" w:after="0" w:afterAutospacing="0"/>
                    <w:ind w:left="0" w:right="0"/>
                    <w:rPr>
                      <w:rFonts w:ascii="Times New Roman" w:hAnsi="Times New Roman" w:eastAsia="宋体"/>
                      <w:color w:val="auto"/>
                      <w:sz w:val="21"/>
                    </w:rPr>
                  </w:pPr>
                  <w:r>
                    <w:rPr>
                      <w:rFonts w:ascii="Times New Roman" w:hAnsi="Times New Roman" w:eastAsia="宋体"/>
                      <w:color w:val="auto"/>
                      <w:sz w:val="21"/>
                    </w:rPr>
                    <w:t>50</w:t>
                  </w:r>
                </w:p>
              </w:tc>
              <w:tc>
                <w:tcPr>
                  <w:tcW w:w="457" w:type="pct"/>
                  <w:noWrap w:val="0"/>
                  <w:vAlign w:val="center"/>
                </w:tcPr>
                <w:p w14:paraId="67702A9F">
                  <w:pPr>
                    <w:pStyle w:val="36"/>
                    <w:keepNext w:val="0"/>
                    <w:keepLines w:val="0"/>
                    <w:suppressLineNumbers w:val="0"/>
                    <w:bidi w:val="0"/>
                    <w:spacing w:before="0" w:beforeAutospacing="0" w:after="0" w:afterAutospacing="0"/>
                    <w:ind w:left="0" w:right="0"/>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10</w:t>
                  </w:r>
                </w:p>
              </w:tc>
              <w:tc>
                <w:tcPr>
                  <w:tcW w:w="457" w:type="pct"/>
                  <w:noWrap w:val="0"/>
                  <w:vAlign w:val="center"/>
                </w:tcPr>
                <w:p w14:paraId="202F9018">
                  <w:pPr>
                    <w:pStyle w:val="36"/>
                    <w:keepNext w:val="0"/>
                    <w:keepLines w:val="0"/>
                    <w:suppressLineNumbers w:val="0"/>
                    <w:bidi w:val="0"/>
                    <w:spacing w:before="0" w:beforeAutospacing="0" w:after="0" w:afterAutospacing="0"/>
                    <w:ind w:left="0" w:right="0"/>
                    <w:rPr>
                      <w:rFonts w:ascii="Times New Roman" w:hAnsi="Times New Roman" w:eastAsia="宋体"/>
                      <w:color w:val="auto"/>
                      <w:sz w:val="21"/>
                    </w:rPr>
                  </w:pPr>
                  <w:r>
                    <w:rPr>
                      <w:rFonts w:ascii="Times New Roman" w:hAnsi="Times New Roman" w:eastAsia="宋体"/>
                      <w:color w:val="auto"/>
                      <w:sz w:val="21"/>
                    </w:rPr>
                    <w:t>10</w:t>
                  </w:r>
                </w:p>
              </w:tc>
              <w:tc>
                <w:tcPr>
                  <w:tcW w:w="653" w:type="pct"/>
                  <w:noWrap w:val="0"/>
                  <w:vAlign w:val="center"/>
                </w:tcPr>
                <w:p w14:paraId="2B07029E">
                  <w:pPr>
                    <w:pStyle w:val="36"/>
                    <w:keepNext w:val="0"/>
                    <w:keepLines w:val="0"/>
                    <w:suppressLineNumbers w:val="0"/>
                    <w:bidi w:val="0"/>
                    <w:spacing w:before="0" w:beforeAutospacing="0" w:after="0" w:afterAutospacing="0"/>
                    <w:ind w:left="0" w:right="0"/>
                    <w:rPr>
                      <w:rFonts w:ascii="Times New Roman" w:hAnsi="Times New Roman" w:eastAsia="宋体"/>
                      <w:color w:val="auto"/>
                      <w:sz w:val="21"/>
                    </w:rPr>
                  </w:pPr>
                  <w:r>
                    <w:rPr>
                      <w:rFonts w:ascii="Times New Roman" w:hAnsi="Times New Roman" w:eastAsia="宋体"/>
                      <w:color w:val="auto"/>
                      <w:sz w:val="21"/>
                    </w:rPr>
                    <w:t>5</w:t>
                  </w:r>
                  <w:r>
                    <w:rPr>
                      <w:rFonts w:hint="eastAsia" w:ascii="Times New Roman"/>
                      <w:color w:val="auto"/>
                      <w:sz w:val="21"/>
                      <w:lang w:eastAsia="zh-CN"/>
                    </w:rPr>
                    <w:t>(</w:t>
                  </w:r>
                  <w:r>
                    <w:rPr>
                      <w:rFonts w:ascii="Times New Roman" w:hAnsi="Times New Roman" w:eastAsia="宋体"/>
                      <w:color w:val="auto"/>
                      <w:sz w:val="21"/>
                    </w:rPr>
                    <w:t>8</w:t>
                  </w:r>
                  <w:r>
                    <w:rPr>
                      <w:rFonts w:hint="eastAsia" w:ascii="Times New Roman"/>
                      <w:color w:val="auto"/>
                      <w:sz w:val="21"/>
                      <w:lang w:eastAsia="zh-CN"/>
                    </w:rPr>
                    <w:t>)</w:t>
                  </w:r>
                </w:p>
              </w:tc>
              <w:tc>
                <w:tcPr>
                  <w:tcW w:w="486" w:type="pct"/>
                  <w:noWrap w:val="0"/>
                  <w:vAlign w:val="center"/>
                </w:tcPr>
                <w:p w14:paraId="771E917C">
                  <w:pPr>
                    <w:pStyle w:val="36"/>
                    <w:keepNext w:val="0"/>
                    <w:keepLines w:val="0"/>
                    <w:suppressLineNumbers w:val="0"/>
                    <w:bidi w:val="0"/>
                    <w:spacing w:before="0" w:beforeAutospacing="0" w:after="0" w:afterAutospacing="0"/>
                    <w:ind w:left="0" w:right="0"/>
                    <w:rPr>
                      <w:rFonts w:ascii="Times New Roman" w:hAnsi="Times New Roman" w:eastAsia="宋体"/>
                      <w:color w:val="auto"/>
                      <w:sz w:val="21"/>
                    </w:rPr>
                  </w:pPr>
                  <w:r>
                    <w:rPr>
                      <w:rFonts w:ascii="Times New Roman" w:hAnsi="Times New Roman" w:eastAsia="宋体"/>
                      <w:color w:val="auto"/>
                      <w:sz w:val="21"/>
                    </w:rPr>
                    <w:t>0.5</w:t>
                  </w:r>
                </w:p>
              </w:tc>
              <w:tc>
                <w:tcPr>
                  <w:tcW w:w="514" w:type="pct"/>
                  <w:noWrap w:val="0"/>
                  <w:vAlign w:val="center"/>
                </w:tcPr>
                <w:p w14:paraId="7E0B7C20">
                  <w:pPr>
                    <w:pStyle w:val="36"/>
                    <w:keepNext w:val="0"/>
                    <w:keepLines w:val="0"/>
                    <w:suppressLineNumbers w:val="0"/>
                    <w:bidi w:val="0"/>
                    <w:spacing w:before="0" w:beforeAutospacing="0" w:after="0" w:afterAutospacing="0"/>
                    <w:ind w:left="0" w:right="0"/>
                    <w:rPr>
                      <w:rFonts w:ascii="Times New Roman" w:hAnsi="Times New Roman" w:eastAsia="宋体"/>
                      <w:color w:val="auto"/>
                      <w:sz w:val="21"/>
                    </w:rPr>
                  </w:pPr>
                  <w:r>
                    <w:rPr>
                      <w:rFonts w:ascii="Times New Roman" w:hAnsi="Times New Roman" w:eastAsia="宋体"/>
                      <w:color w:val="auto"/>
                      <w:sz w:val="21"/>
                    </w:rPr>
                    <w:t>15</w:t>
                  </w:r>
                </w:p>
              </w:tc>
              <w:tc>
                <w:tcPr>
                  <w:tcW w:w="738" w:type="pct"/>
                  <w:noWrap w:val="0"/>
                  <w:vAlign w:val="center"/>
                </w:tcPr>
                <w:p w14:paraId="76A58156">
                  <w:pPr>
                    <w:pStyle w:val="36"/>
                    <w:keepNext w:val="0"/>
                    <w:keepLines w:val="0"/>
                    <w:suppressLineNumbers w:val="0"/>
                    <w:bidi w:val="0"/>
                    <w:spacing w:before="0" w:beforeAutospacing="0" w:after="0" w:afterAutospacing="0"/>
                    <w:ind w:left="0" w:right="0"/>
                    <w:rPr>
                      <w:rFonts w:hint="eastAsia" w:ascii="Times New Roman" w:hAnsi="Times New Roman" w:eastAsia="宋体"/>
                      <w:color w:val="auto"/>
                      <w:sz w:val="21"/>
                    </w:rPr>
                  </w:pPr>
                  <w:r>
                    <w:rPr>
                      <w:rFonts w:hint="eastAsia" w:ascii="Times New Roman" w:hAnsi="Times New Roman" w:eastAsia="宋体"/>
                      <w:color w:val="auto"/>
                      <w:sz w:val="21"/>
                    </w:rPr>
                    <w:t>1</w:t>
                  </w:r>
                </w:p>
              </w:tc>
            </w:tr>
          </w:tbl>
          <w:p w14:paraId="0999FA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b w:val="0"/>
                <w:bCs w:val="0"/>
                <w:color w:val="auto"/>
                <w:sz w:val="18"/>
                <w:szCs w:val="18"/>
              </w:rPr>
            </w:pPr>
            <w:r>
              <w:rPr>
                <w:b w:val="0"/>
                <w:bCs w:val="0"/>
                <w:color w:val="auto"/>
                <w:sz w:val="18"/>
                <w:szCs w:val="18"/>
              </w:rPr>
              <w:t>注：括号外数值为水温＞12℃时的控制指标</w:t>
            </w:r>
            <w:r>
              <w:rPr>
                <w:rFonts w:hint="eastAsia"/>
                <w:b w:val="0"/>
                <w:bCs w:val="0"/>
                <w:color w:val="auto"/>
                <w:sz w:val="18"/>
                <w:szCs w:val="18"/>
                <w:lang w:eastAsia="zh-CN"/>
              </w:rPr>
              <w:t>，</w:t>
            </w:r>
            <w:r>
              <w:rPr>
                <w:b w:val="0"/>
                <w:bCs w:val="0"/>
                <w:color w:val="auto"/>
                <w:sz w:val="18"/>
                <w:szCs w:val="18"/>
              </w:rPr>
              <w:t>括号内数值为水温≤12℃时的控制指标。</w:t>
            </w:r>
          </w:p>
          <w:p w14:paraId="7D9BEEC4">
            <w:pPr>
              <w:pStyle w:val="16"/>
              <w:keepNext w:val="0"/>
              <w:keepLines w:val="0"/>
              <w:pageBreakBefore w:val="0"/>
              <w:widowControl w:val="0"/>
              <w:kinsoku/>
              <w:wordWrap/>
              <w:overflowPunct/>
              <w:topLinePunct w:val="0"/>
              <w:autoSpaceDE/>
              <w:autoSpaceDN/>
              <w:bidi w:val="0"/>
              <w:adjustRightInd/>
              <w:snapToGrid/>
              <w:spacing w:after="0" w:line="360" w:lineRule="auto"/>
              <w:ind w:left="0" w:leftChars="0" w:firstLine="482"/>
              <w:textAlignment w:val="auto"/>
              <w:rPr>
                <w:b w:val="0"/>
                <w:bCs w:val="0"/>
                <w:color w:val="auto"/>
              </w:rPr>
            </w:pPr>
            <w:r>
              <w:rPr>
                <w:rFonts w:hint="eastAsia"/>
                <w:b w:val="0"/>
                <w:bCs w:val="0"/>
                <w:color w:val="auto"/>
                <w:lang w:eastAsia="zh-CN"/>
              </w:rPr>
              <w:t>3.</w:t>
            </w:r>
            <w:r>
              <w:rPr>
                <w:rFonts w:hint="eastAsia"/>
                <w:b w:val="0"/>
                <w:bCs w:val="0"/>
                <w:color w:val="auto"/>
              </w:rPr>
              <w:t>环境噪声排放标准</w:t>
            </w:r>
          </w:p>
          <w:p w14:paraId="17BF7184">
            <w:pPr>
              <w:pStyle w:val="16"/>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textAlignment w:val="auto"/>
              <w:rPr>
                <w:rFonts w:hint="eastAsia"/>
                <w:color w:val="auto"/>
                <w:sz w:val="24"/>
              </w:rPr>
            </w:pPr>
            <w:r>
              <w:rPr>
                <w:rFonts w:hint="eastAsia"/>
                <w:color w:val="auto"/>
                <w:sz w:val="24"/>
              </w:rPr>
              <w:t>本项目位于</w:t>
            </w:r>
            <w:r>
              <w:rPr>
                <w:rFonts w:hint="eastAsia"/>
                <w:color w:val="auto"/>
                <w:sz w:val="24"/>
                <w:lang w:val="en-US" w:eastAsia="zh-CN"/>
              </w:rPr>
              <w:t>江苏涟水经济开发区内</w:t>
            </w:r>
            <w:r>
              <w:rPr>
                <w:rFonts w:hint="eastAsia"/>
                <w:color w:val="auto"/>
                <w:sz w:val="24"/>
              </w:rPr>
              <w:t>，其声环境功能区为</w:t>
            </w:r>
            <w:r>
              <w:rPr>
                <w:rFonts w:hint="eastAsia"/>
                <w:color w:val="auto"/>
                <w:sz w:val="24"/>
                <w:lang w:val="en-US" w:eastAsia="zh-CN"/>
              </w:rPr>
              <w:t>3</w:t>
            </w:r>
            <w:r>
              <w:rPr>
                <w:rFonts w:hint="eastAsia"/>
                <w:color w:val="auto"/>
                <w:sz w:val="24"/>
              </w:rPr>
              <w:t>类区，</w:t>
            </w:r>
            <w:r>
              <w:rPr>
                <w:rFonts w:hint="eastAsia"/>
                <w:color w:val="auto"/>
                <w:sz w:val="24"/>
                <w:lang w:val="en-US" w:eastAsia="zh-CN"/>
              </w:rPr>
              <w:t>新建生产厂房</w:t>
            </w:r>
            <w:r>
              <w:rPr>
                <w:rFonts w:hint="eastAsia"/>
                <w:color w:val="auto"/>
                <w:sz w:val="24"/>
              </w:rPr>
              <w:t>进行生产</w:t>
            </w:r>
            <w:r>
              <w:rPr>
                <w:rFonts w:hint="eastAsia"/>
                <w:color w:val="auto"/>
                <w:sz w:val="24"/>
                <w:lang w:eastAsia="zh-CN"/>
              </w:rPr>
              <w:t>，</w:t>
            </w:r>
            <w:r>
              <w:rPr>
                <w:rFonts w:hint="eastAsia"/>
                <w:color w:val="auto"/>
                <w:sz w:val="24"/>
              </w:rPr>
              <w:t>施工期项目四周厂界噪声执行《建筑施工</w:t>
            </w:r>
            <w:r>
              <w:rPr>
                <w:rFonts w:hint="eastAsia"/>
                <w:color w:val="auto"/>
                <w:sz w:val="24"/>
                <w:lang w:val="en-US" w:eastAsia="zh-CN"/>
              </w:rPr>
              <w:t>场</w:t>
            </w:r>
            <w:r>
              <w:rPr>
                <w:rFonts w:hint="eastAsia"/>
                <w:color w:val="auto"/>
                <w:sz w:val="24"/>
              </w:rPr>
              <w:t>界环境噪声排放标准》（GB12523-2011）的标准，具体见</w:t>
            </w:r>
            <w:r>
              <w:rPr>
                <w:rFonts w:hint="eastAsia"/>
                <w:color w:val="auto"/>
                <w:sz w:val="24"/>
                <w:lang w:val="en-US" w:eastAsia="zh-CN"/>
              </w:rPr>
              <w:t>下表</w:t>
            </w:r>
            <w:r>
              <w:rPr>
                <w:rFonts w:hint="eastAsia"/>
                <w:color w:val="auto"/>
                <w:sz w:val="24"/>
              </w:rPr>
              <w:t>。</w:t>
            </w:r>
          </w:p>
          <w:p w14:paraId="7555001A">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480"/>
              <w:jc w:val="center"/>
              <w:textAlignment w:val="auto"/>
              <w:rPr>
                <w:rFonts w:hint="eastAsia" w:ascii="Times New Roman" w:hAnsi="Times New Roman" w:eastAsia="宋体" w:cs="宋体"/>
                <w:b/>
                <w:color w:val="auto"/>
                <w:kern w:val="2"/>
                <w:sz w:val="21"/>
                <w:szCs w:val="21"/>
                <w:lang w:val="en-US" w:eastAsia="zh-CN" w:bidi="ar-SA"/>
              </w:rPr>
            </w:pPr>
            <w:r>
              <w:rPr>
                <w:rFonts w:hint="eastAsia" w:ascii="Times New Roman" w:hAnsi="Times New Roman" w:eastAsia="宋体" w:cs="宋体"/>
                <w:b/>
                <w:color w:val="auto"/>
                <w:kern w:val="2"/>
                <w:sz w:val="21"/>
                <w:szCs w:val="21"/>
                <w:lang w:val="en-US" w:eastAsia="zh-CN" w:bidi="ar-SA"/>
              </w:rPr>
              <w:t>表3-</w:t>
            </w:r>
            <w:r>
              <w:rPr>
                <w:rFonts w:hint="eastAsia" w:cs="宋体"/>
                <w:b/>
                <w:color w:val="auto"/>
                <w:kern w:val="2"/>
                <w:sz w:val="21"/>
                <w:szCs w:val="21"/>
                <w:lang w:val="en-US" w:eastAsia="zh-CN" w:bidi="ar-SA"/>
              </w:rPr>
              <w:t xml:space="preserve">9  </w:t>
            </w:r>
            <w:r>
              <w:rPr>
                <w:rFonts w:hint="eastAsia" w:ascii="Times New Roman" w:hAnsi="Times New Roman" w:eastAsia="宋体" w:cs="宋体"/>
                <w:b/>
                <w:color w:val="auto"/>
                <w:kern w:val="2"/>
                <w:sz w:val="21"/>
                <w:szCs w:val="21"/>
                <w:lang w:val="en-US" w:eastAsia="zh-CN" w:bidi="ar-SA"/>
              </w:rPr>
              <w:t>建筑施工厂界环境噪声排放限值单位：dB（A）</w:t>
            </w:r>
          </w:p>
          <w:tbl>
            <w:tblPr>
              <w:tblStyle w:val="21"/>
              <w:tblW w:w="8419"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06"/>
              <w:gridCol w:w="2807"/>
              <w:gridCol w:w="2806"/>
            </w:tblGrid>
            <w:tr w14:paraId="5FD002AB">
              <w:trPr>
                <w:trHeight w:val="420" w:hRule="atLeast"/>
              </w:trPr>
              <w:tc>
                <w:tcPr>
                  <w:tcW w:w="5613" w:type="dxa"/>
                  <w:gridSpan w:val="2"/>
                  <w:noWrap w:val="0"/>
                  <w:vAlign w:val="center"/>
                </w:tcPr>
                <w:p w14:paraId="20B8190C">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标准值</w:t>
                  </w:r>
                </w:p>
              </w:tc>
              <w:tc>
                <w:tcPr>
                  <w:tcW w:w="2806" w:type="dxa"/>
                  <w:noWrap w:val="0"/>
                  <w:vAlign w:val="center"/>
                </w:tcPr>
                <w:p w14:paraId="555014D9">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标准来源</w:t>
                  </w:r>
                </w:p>
              </w:tc>
            </w:tr>
            <w:tr w14:paraId="41440B34">
              <w:trPr>
                <w:trHeight w:val="398" w:hRule="atLeast"/>
              </w:trPr>
              <w:tc>
                <w:tcPr>
                  <w:tcW w:w="2806" w:type="dxa"/>
                  <w:noWrap w:val="0"/>
                  <w:vAlign w:val="center"/>
                </w:tcPr>
                <w:p w14:paraId="07759FDF">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昼间</w:t>
                  </w:r>
                </w:p>
              </w:tc>
              <w:tc>
                <w:tcPr>
                  <w:tcW w:w="2807" w:type="dxa"/>
                  <w:noWrap w:val="0"/>
                  <w:vAlign w:val="center"/>
                </w:tcPr>
                <w:p w14:paraId="274EF781">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夜间</w:t>
                  </w:r>
                </w:p>
              </w:tc>
              <w:tc>
                <w:tcPr>
                  <w:tcW w:w="2806" w:type="dxa"/>
                  <w:vMerge w:val="restart"/>
                  <w:noWrap w:val="0"/>
                  <w:vAlign w:val="center"/>
                </w:tcPr>
                <w:p w14:paraId="2C9FEF28">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《建筑施工场界环境噪声排放标准》GB12523-2011</w:t>
                  </w:r>
                </w:p>
              </w:tc>
            </w:tr>
            <w:tr w14:paraId="54716FC6">
              <w:trPr>
                <w:trHeight w:val="431" w:hRule="atLeast"/>
              </w:trPr>
              <w:tc>
                <w:tcPr>
                  <w:tcW w:w="2806" w:type="dxa"/>
                  <w:noWrap w:val="0"/>
                  <w:vAlign w:val="center"/>
                </w:tcPr>
                <w:p w14:paraId="22C09BF8">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70</w:t>
                  </w:r>
                </w:p>
              </w:tc>
              <w:tc>
                <w:tcPr>
                  <w:tcW w:w="2807" w:type="dxa"/>
                  <w:noWrap w:val="0"/>
                  <w:vAlign w:val="center"/>
                </w:tcPr>
                <w:p w14:paraId="4AD9135F">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55</w:t>
                  </w:r>
                </w:p>
              </w:tc>
              <w:tc>
                <w:tcPr>
                  <w:tcW w:w="2806" w:type="dxa"/>
                  <w:vMerge w:val="continue"/>
                  <w:noWrap w:val="0"/>
                  <w:vAlign w:val="center"/>
                </w:tcPr>
                <w:p w14:paraId="402E4787">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p>
              </w:tc>
            </w:tr>
          </w:tbl>
          <w:p w14:paraId="5CB2973A">
            <w:pPr>
              <w:pStyle w:val="16"/>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auto"/>
              </w:rPr>
            </w:pPr>
            <w:r>
              <w:rPr>
                <w:rFonts w:hint="eastAsia"/>
                <w:color w:val="auto"/>
                <w:lang w:val="en-US" w:eastAsia="zh-CN"/>
              </w:rPr>
              <w:t>本项目</w:t>
            </w:r>
            <w:r>
              <w:rPr>
                <w:rFonts w:hint="eastAsia"/>
                <w:color w:val="auto"/>
              </w:rPr>
              <w:t>营运期四周厂界噪声执行《工业企业厂界环境噪声排放标准》（GB12348-2008）中的</w:t>
            </w:r>
            <w:r>
              <w:rPr>
                <w:rFonts w:hint="eastAsia"/>
                <w:color w:val="auto"/>
                <w:lang w:val="en-US" w:eastAsia="zh-CN"/>
              </w:rPr>
              <w:t>3</w:t>
            </w:r>
            <w:r>
              <w:rPr>
                <w:rFonts w:hint="eastAsia"/>
                <w:color w:val="auto"/>
              </w:rPr>
              <w:t>类标准，具体见下表。</w:t>
            </w:r>
          </w:p>
          <w:p w14:paraId="1C022D23">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b/>
                <w:bCs/>
                <w:color w:val="auto"/>
                <w:sz w:val="21"/>
                <w:szCs w:val="21"/>
              </w:rPr>
            </w:pPr>
            <w:r>
              <w:rPr>
                <w:rFonts w:hint="eastAsia" w:ascii="Times New Roman" w:hAnsi="Times New Roman" w:eastAsia="宋体" w:cs="宋体"/>
                <w:b/>
                <w:color w:val="auto"/>
                <w:kern w:val="2"/>
                <w:sz w:val="21"/>
                <w:szCs w:val="21"/>
                <w:lang w:val="en-US" w:eastAsia="zh-CN" w:bidi="ar-SA"/>
              </w:rPr>
              <w:t>表3-</w:t>
            </w:r>
            <w:r>
              <w:rPr>
                <w:rFonts w:hint="eastAsia" w:cs="宋体"/>
                <w:b/>
                <w:color w:val="auto"/>
                <w:kern w:val="2"/>
                <w:sz w:val="21"/>
                <w:szCs w:val="21"/>
                <w:lang w:val="en-US" w:eastAsia="zh-CN" w:bidi="ar-SA"/>
              </w:rPr>
              <w:t xml:space="preserve">10  </w:t>
            </w:r>
            <w:r>
              <w:rPr>
                <w:rFonts w:hint="eastAsia" w:ascii="Times New Roman" w:hAnsi="Times New Roman" w:eastAsia="宋体" w:cs="宋体"/>
                <w:b/>
                <w:color w:val="auto"/>
                <w:kern w:val="2"/>
                <w:sz w:val="21"/>
                <w:szCs w:val="21"/>
                <w:lang w:val="en-US" w:eastAsia="zh-CN" w:bidi="ar-SA"/>
              </w:rPr>
              <w:t>噪声排放标准限值单位：dB（A）</w:t>
            </w:r>
          </w:p>
          <w:tbl>
            <w:tblPr>
              <w:tblStyle w:val="20"/>
              <w:tblW w:w="835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436"/>
              <w:gridCol w:w="1758"/>
              <w:gridCol w:w="1675"/>
              <w:gridCol w:w="1676"/>
              <w:gridCol w:w="1812"/>
            </w:tblGrid>
            <w:tr w14:paraId="083C0BE2">
              <w:trPr>
                <w:trHeight w:val="369" w:hRule="exact"/>
                <w:jc w:val="center"/>
              </w:trPr>
              <w:tc>
                <w:tcPr>
                  <w:tcW w:w="1436" w:type="dxa"/>
                  <w:vMerge w:val="restart"/>
                  <w:noWrap w:val="0"/>
                  <w:tcMar>
                    <w:top w:w="0" w:type="dxa"/>
                    <w:left w:w="108" w:type="dxa"/>
                    <w:bottom w:w="0" w:type="dxa"/>
                    <w:right w:w="108" w:type="dxa"/>
                  </w:tcMar>
                  <w:vAlign w:val="center"/>
                </w:tcPr>
                <w:p w14:paraId="64E62DBE">
                  <w:pPr>
                    <w:jc w:val="center"/>
                    <w:rPr>
                      <w:color w:val="auto"/>
                    </w:rPr>
                  </w:pPr>
                  <w:r>
                    <w:rPr>
                      <w:color w:val="auto"/>
                    </w:rPr>
                    <w:t>位置</w:t>
                  </w:r>
                </w:p>
              </w:tc>
              <w:tc>
                <w:tcPr>
                  <w:tcW w:w="1758" w:type="dxa"/>
                  <w:vMerge w:val="restart"/>
                  <w:noWrap w:val="0"/>
                  <w:tcMar>
                    <w:top w:w="0" w:type="dxa"/>
                    <w:left w:w="108" w:type="dxa"/>
                    <w:bottom w:w="0" w:type="dxa"/>
                    <w:right w:w="108" w:type="dxa"/>
                  </w:tcMar>
                  <w:vAlign w:val="center"/>
                </w:tcPr>
                <w:p w14:paraId="5AA656E9">
                  <w:pPr>
                    <w:jc w:val="center"/>
                    <w:rPr>
                      <w:color w:val="auto"/>
                    </w:rPr>
                  </w:pPr>
                  <w:r>
                    <w:rPr>
                      <w:color w:val="auto"/>
                    </w:rPr>
                    <w:t>声环境功能区</w:t>
                  </w:r>
                </w:p>
              </w:tc>
              <w:tc>
                <w:tcPr>
                  <w:tcW w:w="3351" w:type="dxa"/>
                  <w:gridSpan w:val="2"/>
                  <w:noWrap w:val="0"/>
                  <w:vAlign w:val="center"/>
                </w:tcPr>
                <w:p w14:paraId="36349698">
                  <w:pPr>
                    <w:jc w:val="center"/>
                    <w:rPr>
                      <w:color w:val="auto"/>
                    </w:rPr>
                  </w:pPr>
                  <w:r>
                    <w:rPr>
                      <w:color w:val="auto"/>
                    </w:rPr>
                    <w:t>标准值</w:t>
                  </w:r>
                </w:p>
              </w:tc>
              <w:tc>
                <w:tcPr>
                  <w:tcW w:w="1812" w:type="dxa"/>
                  <w:vMerge w:val="restart"/>
                  <w:noWrap w:val="0"/>
                  <w:vAlign w:val="center"/>
                </w:tcPr>
                <w:p w14:paraId="1DB1CA9E">
                  <w:pPr>
                    <w:jc w:val="center"/>
                    <w:rPr>
                      <w:color w:val="auto"/>
                    </w:rPr>
                  </w:pPr>
                  <w:r>
                    <w:rPr>
                      <w:color w:val="auto"/>
                    </w:rPr>
                    <w:t>标准来源</w:t>
                  </w:r>
                </w:p>
              </w:tc>
            </w:tr>
            <w:tr w14:paraId="0E2E48BA">
              <w:trPr>
                <w:trHeight w:val="369" w:hRule="exact"/>
                <w:jc w:val="center"/>
              </w:trPr>
              <w:tc>
                <w:tcPr>
                  <w:tcW w:w="1436" w:type="dxa"/>
                  <w:vMerge w:val="continue"/>
                  <w:noWrap w:val="0"/>
                  <w:tcMar>
                    <w:top w:w="0" w:type="dxa"/>
                    <w:left w:w="108" w:type="dxa"/>
                    <w:bottom w:w="0" w:type="dxa"/>
                    <w:right w:w="108" w:type="dxa"/>
                  </w:tcMar>
                  <w:vAlign w:val="center"/>
                </w:tcPr>
                <w:p w14:paraId="7C88D3FC">
                  <w:pPr>
                    <w:jc w:val="center"/>
                    <w:rPr>
                      <w:color w:val="auto"/>
                    </w:rPr>
                  </w:pPr>
                </w:p>
              </w:tc>
              <w:tc>
                <w:tcPr>
                  <w:tcW w:w="1758" w:type="dxa"/>
                  <w:vMerge w:val="continue"/>
                  <w:noWrap w:val="0"/>
                  <w:tcMar>
                    <w:top w:w="0" w:type="dxa"/>
                    <w:left w:w="108" w:type="dxa"/>
                    <w:bottom w:w="0" w:type="dxa"/>
                    <w:right w:w="108" w:type="dxa"/>
                  </w:tcMar>
                  <w:vAlign w:val="center"/>
                </w:tcPr>
                <w:p w14:paraId="0003CF4E">
                  <w:pPr>
                    <w:jc w:val="center"/>
                    <w:rPr>
                      <w:color w:val="auto"/>
                    </w:rPr>
                  </w:pPr>
                </w:p>
              </w:tc>
              <w:tc>
                <w:tcPr>
                  <w:tcW w:w="1675" w:type="dxa"/>
                  <w:noWrap w:val="0"/>
                  <w:vAlign w:val="center"/>
                </w:tcPr>
                <w:p w14:paraId="4DD42501">
                  <w:pPr>
                    <w:jc w:val="center"/>
                    <w:rPr>
                      <w:color w:val="auto"/>
                    </w:rPr>
                  </w:pPr>
                  <w:r>
                    <w:rPr>
                      <w:color w:val="auto"/>
                    </w:rPr>
                    <w:t>昼间</w:t>
                  </w:r>
                </w:p>
              </w:tc>
              <w:tc>
                <w:tcPr>
                  <w:tcW w:w="1676" w:type="dxa"/>
                  <w:noWrap w:val="0"/>
                  <w:vAlign w:val="center"/>
                </w:tcPr>
                <w:p w14:paraId="1985967A">
                  <w:pPr>
                    <w:jc w:val="center"/>
                    <w:rPr>
                      <w:color w:val="auto"/>
                    </w:rPr>
                  </w:pPr>
                  <w:r>
                    <w:rPr>
                      <w:color w:val="auto"/>
                    </w:rPr>
                    <w:t>夜间</w:t>
                  </w:r>
                </w:p>
              </w:tc>
              <w:tc>
                <w:tcPr>
                  <w:tcW w:w="1812" w:type="dxa"/>
                  <w:vMerge w:val="continue"/>
                  <w:noWrap w:val="0"/>
                  <w:vAlign w:val="center"/>
                </w:tcPr>
                <w:p w14:paraId="190BF852">
                  <w:pPr>
                    <w:jc w:val="center"/>
                    <w:rPr>
                      <w:color w:val="auto"/>
                    </w:rPr>
                  </w:pPr>
                </w:p>
              </w:tc>
            </w:tr>
            <w:tr w14:paraId="1F2CB2EA">
              <w:trPr>
                <w:trHeight w:val="369" w:hRule="exact"/>
                <w:jc w:val="center"/>
              </w:trPr>
              <w:tc>
                <w:tcPr>
                  <w:tcW w:w="1436" w:type="dxa"/>
                  <w:noWrap w:val="0"/>
                  <w:tcMar>
                    <w:top w:w="0" w:type="dxa"/>
                    <w:left w:w="108" w:type="dxa"/>
                    <w:bottom w:w="0" w:type="dxa"/>
                    <w:right w:w="108" w:type="dxa"/>
                  </w:tcMar>
                  <w:vAlign w:val="center"/>
                </w:tcPr>
                <w:p w14:paraId="23048AD9">
                  <w:pPr>
                    <w:jc w:val="center"/>
                    <w:rPr>
                      <w:color w:val="auto"/>
                    </w:rPr>
                  </w:pPr>
                  <w:r>
                    <w:rPr>
                      <w:color w:val="auto"/>
                    </w:rPr>
                    <w:t>东厂界</w:t>
                  </w:r>
                </w:p>
              </w:tc>
              <w:tc>
                <w:tcPr>
                  <w:tcW w:w="1758" w:type="dxa"/>
                  <w:noWrap w:val="0"/>
                  <w:tcMar>
                    <w:top w:w="0" w:type="dxa"/>
                    <w:left w:w="108" w:type="dxa"/>
                    <w:bottom w:w="0" w:type="dxa"/>
                    <w:right w:w="108" w:type="dxa"/>
                  </w:tcMar>
                  <w:vAlign w:val="center"/>
                </w:tcPr>
                <w:p w14:paraId="3F044089">
                  <w:pPr>
                    <w:jc w:val="center"/>
                    <w:rPr>
                      <w:color w:val="auto"/>
                    </w:rPr>
                  </w:pPr>
                  <w:r>
                    <w:rPr>
                      <w:rFonts w:hint="eastAsia"/>
                      <w:color w:val="auto"/>
                      <w:lang w:val="en-US" w:eastAsia="zh-CN"/>
                    </w:rPr>
                    <w:t>3</w:t>
                  </w:r>
                  <w:r>
                    <w:rPr>
                      <w:color w:val="auto"/>
                    </w:rPr>
                    <w:t>类</w:t>
                  </w:r>
                </w:p>
              </w:tc>
              <w:tc>
                <w:tcPr>
                  <w:tcW w:w="1675" w:type="dxa"/>
                  <w:noWrap w:val="0"/>
                  <w:vAlign w:val="center"/>
                </w:tcPr>
                <w:p w14:paraId="4CC8A32D">
                  <w:pPr>
                    <w:jc w:val="center"/>
                    <w:rPr>
                      <w:rFonts w:hint="eastAsia" w:eastAsia="宋体"/>
                      <w:color w:val="auto"/>
                      <w:lang w:val="en-US" w:eastAsia="zh-CN"/>
                    </w:rPr>
                  </w:pPr>
                  <w:r>
                    <w:rPr>
                      <w:rFonts w:hint="eastAsia"/>
                      <w:color w:val="auto"/>
                    </w:rPr>
                    <w:t>6</w:t>
                  </w:r>
                  <w:r>
                    <w:rPr>
                      <w:rFonts w:hint="eastAsia"/>
                      <w:color w:val="auto"/>
                      <w:lang w:val="en-US" w:eastAsia="zh-CN"/>
                    </w:rPr>
                    <w:t>5</w:t>
                  </w:r>
                </w:p>
              </w:tc>
              <w:tc>
                <w:tcPr>
                  <w:tcW w:w="1676" w:type="dxa"/>
                  <w:noWrap w:val="0"/>
                  <w:vAlign w:val="center"/>
                </w:tcPr>
                <w:p w14:paraId="2AD6ED2E">
                  <w:pPr>
                    <w:jc w:val="center"/>
                    <w:rPr>
                      <w:rFonts w:hint="default" w:eastAsia="宋体"/>
                      <w:color w:val="auto"/>
                      <w:lang w:val="en-US" w:eastAsia="zh-CN"/>
                    </w:rPr>
                  </w:pPr>
                  <w:r>
                    <w:rPr>
                      <w:rFonts w:hint="eastAsia" w:eastAsia="宋体"/>
                      <w:color w:val="auto"/>
                      <w:lang w:val="en-US" w:eastAsia="zh-CN"/>
                    </w:rPr>
                    <w:t>55</w:t>
                  </w:r>
                </w:p>
              </w:tc>
              <w:tc>
                <w:tcPr>
                  <w:tcW w:w="1812" w:type="dxa"/>
                  <w:vMerge w:val="restart"/>
                  <w:noWrap w:val="0"/>
                  <w:vAlign w:val="center"/>
                </w:tcPr>
                <w:p w14:paraId="44146B9F">
                  <w:pPr>
                    <w:jc w:val="center"/>
                    <w:rPr>
                      <w:color w:val="auto"/>
                    </w:rPr>
                  </w:pPr>
                  <w:r>
                    <w:rPr>
                      <w:color w:val="auto"/>
                    </w:rPr>
                    <w:t>《工业企业厂界环境噪声排放标准》GB12348-2008</w:t>
                  </w:r>
                </w:p>
              </w:tc>
            </w:tr>
            <w:tr w14:paraId="7D781A87">
              <w:trPr>
                <w:trHeight w:val="369" w:hRule="exact"/>
                <w:jc w:val="center"/>
              </w:trPr>
              <w:tc>
                <w:tcPr>
                  <w:tcW w:w="1436" w:type="dxa"/>
                  <w:noWrap w:val="0"/>
                  <w:tcMar>
                    <w:top w:w="0" w:type="dxa"/>
                    <w:left w:w="108" w:type="dxa"/>
                    <w:bottom w:w="0" w:type="dxa"/>
                    <w:right w:w="108" w:type="dxa"/>
                  </w:tcMar>
                  <w:vAlign w:val="center"/>
                </w:tcPr>
                <w:p w14:paraId="5929C3AB">
                  <w:pPr>
                    <w:jc w:val="center"/>
                    <w:rPr>
                      <w:color w:val="auto"/>
                    </w:rPr>
                  </w:pPr>
                  <w:r>
                    <w:rPr>
                      <w:color w:val="auto"/>
                    </w:rPr>
                    <w:t>南厂界</w:t>
                  </w:r>
                </w:p>
              </w:tc>
              <w:tc>
                <w:tcPr>
                  <w:tcW w:w="1758" w:type="dxa"/>
                  <w:noWrap w:val="0"/>
                  <w:vAlign w:val="center"/>
                </w:tcPr>
                <w:p w14:paraId="3E6C9B33">
                  <w:pPr>
                    <w:jc w:val="center"/>
                    <w:rPr>
                      <w:color w:val="auto"/>
                    </w:rPr>
                  </w:pPr>
                  <w:r>
                    <w:rPr>
                      <w:rFonts w:hint="eastAsia"/>
                      <w:color w:val="auto"/>
                      <w:lang w:val="en-US" w:eastAsia="zh-CN"/>
                    </w:rPr>
                    <w:t>3</w:t>
                  </w:r>
                  <w:r>
                    <w:rPr>
                      <w:color w:val="auto"/>
                    </w:rPr>
                    <w:t>类</w:t>
                  </w:r>
                </w:p>
              </w:tc>
              <w:tc>
                <w:tcPr>
                  <w:tcW w:w="1675" w:type="dxa"/>
                  <w:noWrap w:val="0"/>
                  <w:vAlign w:val="center"/>
                </w:tcPr>
                <w:p w14:paraId="0CA307DC">
                  <w:pPr>
                    <w:jc w:val="center"/>
                    <w:rPr>
                      <w:rFonts w:hint="default" w:eastAsia="宋体"/>
                      <w:color w:val="auto"/>
                      <w:lang w:val="en-US" w:eastAsia="zh-CN"/>
                    </w:rPr>
                  </w:pPr>
                  <w:r>
                    <w:rPr>
                      <w:rFonts w:hint="eastAsia" w:eastAsia="宋体"/>
                      <w:color w:val="auto"/>
                      <w:lang w:val="en-US" w:eastAsia="zh-CN"/>
                    </w:rPr>
                    <w:t>65</w:t>
                  </w:r>
                </w:p>
              </w:tc>
              <w:tc>
                <w:tcPr>
                  <w:tcW w:w="1676" w:type="dxa"/>
                  <w:noWrap w:val="0"/>
                  <w:vAlign w:val="center"/>
                </w:tcPr>
                <w:p w14:paraId="1D1EE3E9">
                  <w:pPr>
                    <w:jc w:val="center"/>
                    <w:rPr>
                      <w:rFonts w:hint="default" w:eastAsia="宋体"/>
                      <w:color w:val="auto"/>
                      <w:lang w:val="en-US" w:eastAsia="zh-CN"/>
                    </w:rPr>
                  </w:pPr>
                  <w:r>
                    <w:rPr>
                      <w:rFonts w:hint="eastAsia" w:eastAsia="宋体"/>
                      <w:color w:val="auto"/>
                      <w:lang w:val="en-US" w:eastAsia="zh-CN"/>
                    </w:rPr>
                    <w:t>55</w:t>
                  </w:r>
                </w:p>
              </w:tc>
              <w:tc>
                <w:tcPr>
                  <w:tcW w:w="1812" w:type="dxa"/>
                  <w:vMerge w:val="continue"/>
                  <w:noWrap w:val="0"/>
                  <w:vAlign w:val="center"/>
                </w:tcPr>
                <w:p w14:paraId="3157C7DF">
                  <w:pPr>
                    <w:jc w:val="center"/>
                    <w:rPr>
                      <w:color w:val="auto"/>
                    </w:rPr>
                  </w:pPr>
                </w:p>
              </w:tc>
            </w:tr>
            <w:tr w14:paraId="6B98026F">
              <w:trPr>
                <w:trHeight w:val="369" w:hRule="exact"/>
                <w:jc w:val="center"/>
              </w:trPr>
              <w:tc>
                <w:tcPr>
                  <w:tcW w:w="1436" w:type="dxa"/>
                  <w:noWrap w:val="0"/>
                  <w:tcMar>
                    <w:top w:w="0" w:type="dxa"/>
                    <w:left w:w="108" w:type="dxa"/>
                    <w:bottom w:w="0" w:type="dxa"/>
                    <w:right w:w="108" w:type="dxa"/>
                  </w:tcMar>
                  <w:vAlign w:val="center"/>
                </w:tcPr>
                <w:p w14:paraId="028561CD">
                  <w:pPr>
                    <w:jc w:val="center"/>
                    <w:rPr>
                      <w:color w:val="auto"/>
                    </w:rPr>
                  </w:pPr>
                  <w:r>
                    <w:rPr>
                      <w:color w:val="auto"/>
                    </w:rPr>
                    <w:t>西厂界</w:t>
                  </w:r>
                </w:p>
              </w:tc>
              <w:tc>
                <w:tcPr>
                  <w:tcW w:w="1758" w:type="dxa"/>
                  <w:noWrap w:val="0"/>
                  <w:vAlign w:val="center"/>
                </w:tcPr>
                <w:p w14:paraId="090D0E57">
                  <w:pPr>
                    <w:jc w:val="center"/>
                    <w:rPr>
                      <w:color w:val="auto"/>
                    </w:rPr>
                  </w:pPr>
                  <w:r>
                    <w:rPr>
                      <w:rFonts w:hint="eastAsia"/>
                      <w:color w:val="auto"/>
                      <w:lang w:val="en-US" w:eastAsia="zh-CN"/>
                    </w:rPr>
                    <w:t>3</w:t>
                  </w:r>
                  <w:r>
                    <w:rPr>
                      <w:color w:val="auto"/>
                    </w:rPr>
                    <w:t>类</w:t>
                  </w:r>
                </w:p>
              </w:tc>
              <w:tc>
                <w:tcPr>
                  <w:tcW w:w="1675" w:type="dxa"/>
                  <w:noWrap w:val="0"/>
                  <w:vAlign w:val="center"/>
                </w:tcPr>
                <w:p w14:paraId="10BBF9DB">
                  <w:pPr>
                    <w:jc w:val="center"/>
                    <w:rPr>
                      <w:rFonts w:hint="default" w:eastAsia="宋体"/>
                      <w:color w:val="auto"/>
                      <w:lang w:val="en-US" w:eastAsia="zh-CN"/>
                    </w:rPr>
                  </w:pPr>
                  <w:r>
                    <w:rPr>
                      <w:rFonts w:hint="eastAsia" w:eastAsia="宋体"/>
                      <w:color w:val="auto"/>
                      <w:lang w:val="en-US" w:eastAsia="zh-CN"/>
                    </w:rPr>
                    <w:t>65</w:t>
                  </w:r>
                </w:p>
              </w:tc>
              <w:tc>
                <w:tcPr>
                  <w:tcW w:w="1676" w:type="dxa"/>
                  <w:noWrap w:val="0"/>
                  <w:vAlign w:val="center"/>
                </w:tcPr>
                <w:p w14:paraId="6936192A">
                  <w:pPr>
                    <w:jc w:val="center"/>
                    <w:rPr>
                      <w:rFonts w:hint="default" w:eastAsia="宋体"/>
                      <w:color w:val="auto"/>
                      <w:lang w:val="en-US" w:eastAsia="zh-CN"/>
                    </w:rPr>
                  </w:pPr>
                  <w:r>
                    <w:rPr>
                      <w:rFonts w:hint="eastAsia" w:eastAsia="宋体"/>
                      <w:color w:val="auto"/>
                      <w:lang w:val="en-US" w:eastAsia="zh-CN"/>
                    </w:rPr>
                    <w:t>55</w:t>
                  </w:r>
                </w:p>
              </w:tc>
              <w:tc>
                <w:tcPr>
                  <w:tcW w:w="1812" w:type="dxa"/>
                  <w:vMerge w:val="continue"/>
                  <w:noWrap w:val="0"/>
                  <w:vAlign w:val="center"/>
                </w:tcPr>
                <w:p w14:paraId="4CC467A8">
                  <w:pPr>
                    <w:jc w:val="center"/>
                    <w:rPr>
                      <w:color w:val="auto"/>
                    </w:rPr>
                  </w:pPr>
                </w:p>
              </w:tc>
            </w:tr>
            <w:tr w14:paraId="30E809B3">
              <w:trPr>
                <w:trHeight w:val="369" w:hRule="exact"/>
                <w:jc w:val="center"/>
              </w:trPr>
              <w:tc>
                <w:tcPr>
                  <w:tcW w:w="1436" w:type="dxa"/>
                  <w:noWrap w:val="0"/>
                  <w:tcMar>
                    <w:top w:w="0" w:type="dxa"/>
                    <w:left w:w="108" w:type="dxa"/>
                    <w:bottom w:w="0" w:type="dxa"/>
                    <w:right w:w="108" w:type="dxa"/>
                  </w:tcMar>
                  <w:vAlign w:val="center"/>
                </w:tcPr>
                <w:p w14:paraId="0B1EC5A7">
                  <w:pPr>
                    <w:jc w:val="center"/>
                    <w:rPr>
                      <w:color w:val="auto"/>
                    </w:rPr>
                  </w:pPr>
                  <w:r>
                    <w:rPr>
                      <w:color w:val="auto"/>
                    </w:rPr>
                    <w:t>北厂界</w:t>
                  </w:r>
                </w:p>
              </w:tc>
              <w:tc>
                <w:tcPr>
                  <w:tcW w:w="1758" w:type="dxa"/>
                  <w:noWrap w:val="0"/>
                  <w:vAlign w:val="center"/>
                </w:tcPr>
                <w:p w14:paraId="0FA12CE4">
                  <w:pPr>
                    <w:jc w:val="center"/>
                    <w:rPr>
                      <w:color w:val="auto"/>
                    </w:rPr>
                  </w:pPr>
                  <w:r>
                    <w:rPr>
                      <w:rFonts w:hint="eastAsia"/>
                      <w:color w:val="auto"/>
                      <w:lang w:val="en-US" w:eastAsia="zh-CN"/>
                    </w:rPr>
                    <w:t>3</w:t>
                  </w:r>
                  <w:r>
                    <w:rPr>
                      <w:color w:val="auto"/>
                    </w:rPr>
                    <w:t>类</w:t>
                  </w:r>
                </w:p>
              </w:tc>
              <w:tc>
                <w:tcPr>
                  <w:tcW w:w="1675" w:type="dxa"/>
                  <w:noWrap w:val="0"/>
                  <w:vAlign w:val="center"/>
                </w:tcPr>
                <w:p w14:paraId="3F26A404">
                  <w:pPr>
                    <w:jc w:val="center"/>
                    <w:rPr>
                      <w:rFonts w:hint="default" w:eastAsia="宋体"/>
                      <w:color w:val="auto"/>
                      <w:lang w:val="en-US" w:eastAsia="zh-CN"/>
                    </w:rPr>
                  </w:pPr>
                  <w:r>
                    <w:rPr>
                      <w:rFonts w:hint="eastAsia" w:eastAsia="宋体"/>
                      <w:color w:val="auto"/>
                      <w:lang w:val="en-US" w:eastAsia="zh-CN"/>
                    </w:rPr>
                    <w:t>65</w:t>
                  </w:r>
                </w:p>
              </w:tc>
              <w:tc>
                <w:tcPr>
                  <w:tcW w:w="1676" w:type="dxa"/>
                  <w:noWrap w:val="0"/>
                  <w:vAlign w:val="center"/>
                </w:tcPr>
                <w:p w14:paraId="1E923B1E">
                  <w:pPr>
                    <w:jc w:val="center"/>
                    <w:rPr>
                      <w:rFonts w:hint="default" w:eastAsia="宋体"/>
                      <w:color w:val="auto"/>
                      <w:lang w:val="en-US" w:eastAsia="zh-CN"/>
                    </w:rPr>
                  </w:pPr>
                  <w:r>
                    <w:rPr>
                      <w:rFonts w:hint="eastAsia" w:eastAsia="宋体"/>
                      <w:color w:val="auto"/>
                      <w:lang w:val="en-US" w:eastAsia="zh-CN"/>
                    </w:rPr>
                    <w:t>55</w:t>
                  </w:r>
                </w:p>
              </w:tc>
              <w:tc>
                <w:tcPr>
                  <w:tcW w:w="1812" w:type="dxa"/>
                  <w:vMerge w:val="continue"/>
                  <w:noWrap w:val="0"/>
                  <w:vAlign w:val="center"/>
                </w:tcPr>
                <w:p w14:paraId="67AE416D">
                  <w:pPr>
                    <w:jc w:val="center"/>
                    <w:rPr>
                      <w:color w:val="auto"/>
                    </w:rPr>
                  </w:pPr>
                </w:p>
              </w:tc>
            </w:tr>
          </w:tbl>
          <w:p w14:paraId="5FC1D1D2">
            <w:pPr>
              <w:pStyle w:val="16"/>
              <w:keepNext w:val="0"/>
              <w:keepLines w:val="0"/>
              <w:pageBreakBefore w:val="0"/>
              <w:widowControl w:val="0"/>
              <w:kinsoku/>
              <w:wordWrap/>
              <w:overflowPunct/>
              <w:topLinePunct w:val="0"/>
              <w:autoSpaceDE/>
              <w:autoSpaceDN/>
              <w:bidi w:val="0"/>
              <w:spacing w:after="0" w:line="360" w:lineRule="auto"/>
              <w:ind w:left="0" w:leftChars="0" w:firstLine="482"/>
              <w:textAlignment w:val="auto"/>
              <w:rPr>
                <w:b w:val="0"/>
                <w:bCs w:val="0"/>
                <w:color w:val="auto"/>
              </w:rPr>
            </w:pPr>
            <w:r>
              <w:rPr>
                <w:rFonts w:hint="eastAsia"/>
                <w:b w:val="0"/>
                <w:bCs w:val="0"/>
                <w:color w:val="auto"/>
                <w:lang w:eastAsia="zh-CN"/>
              </w:rPr>
              <w:t>4.</w:t>
            </w:r>
            <w:r>
              <w:rPr>
                <w:b w:val="0"/>
                <w:bCs w:val="0"/>
                <w:color w:val="auto"/>
              </w:rPr>
              <w:t>固体废物排放标准</w:t>
            </w:r>
          </w:p>
          <w:p w14:paraId="0E2DA31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cs="宋体"/>
                <w:color w:val="auto"/>
                <w:kern w:val="0"/>
                <w:szCs w:val="21"/>
              </w:rPr>
            </w:pPr>
            <w:r>
              <w:rPr>
                <w:b w:val="0"/>
                <w:bCs w:val="0"/>
                <w:color w:val="auto"/>
                <w:sz w:val="24"/>
                <w:szCs w:val="24"/>
              </w:rPr>
              <w:t>项目固体废物属性鉴别执行《固体废物鉴别标准通则》（GB34330-2017）中相关规定；生活垃圾的储存与处置参照执行《城市生活垃圾管理办法》（建设部令2007年第157号）中相关规定；一般工业固废储存执行《一般工业固体废物贮存和填埋污染控制标准》（GB18599-2020）中相关规定；</w:t>
            </w:r>
            <w:r>
              <w:rPr>
                <w:rFonts w:hint="eastAsia"/>
                <w:b w:val="0"/>
                <w:bCs w:val="0"/>
                <w:color w:val="auto"/>
                <w:sz w:val="24"/>
                <w:szCs w:val="24"/>
              </w:rPr>
              <w:t>危险废物执行</w:t>
            </w:r>
            <w:r>
              <w:rPr>
                <w:rFonts w:hint="eastAsia"/>
                <w:b w:val="0"/>
                <w:bCs w:val="0"/>
                <w:color w:val="auto"/>
                <w:sz w:val="24"/>
                <w:szCs w:val="24"/>
                <w:lang w:eastAsia="zh-CN"/>
              </w:rPr>
              <w:t>《</w:t>
            </w:r>
            <w:r>
              <w:rPr>
                <w:rFonts w:hint="eastAsia"/>
                <w:b w:val="0"/>
                <w:bCs w:val="0"/>
                <w:color w:val="auto"/>
                <w:sz w:val="24"/>
                <w:szCs w:val="24"/>
              </w:rPr>
              <w:t>危险废物贮存污染控制标准</w:t>
            </w:r>
            <w:r>
              <w:rPr>
                <w:rFonts w:hint="eastAsia"/>
                <w:b w:val="0"/>
                <w:bCs w:val="0"/>
                <w:color w:val="auto"/>
                <w:sz w:val="24"/>
                <w:szCs w:val="24"/>
                <w:lang w:eastAsia="zh-CN"/>
              </w:rPr>
              <w:t>》</w:t>
            </w:r>
            <w:r>
              <w:rPr>
                <w:rFonts w:hint="eastAsia"/>
                <w:b w:val="0"/>
                <w:bCs w:val="0"/>
                <w:color w:val="auto"/>
                <w:sz w:val="24"/>
                <w:szCs w:val="24"/>
              </w:rPr>
              <w:t>（GB18597-20</w:t>
            </w:r>
            <w:r>
              <w:rPr>
                <w:rFonts w:hint="eastAsia"/>
                <w:b w:val="0"/>
                <w:bCs w:val="0"/>
                <w:color w:val="auto"/>
                <w:sz w:val="24"/>
                <w:szCs w:val="24"/>
                <w:lang w:val="en-US" w:eastAsia="zh-CN"/>
              </w:rPr>
              <w:t>23</w:t>
            </w:r>
            <w:r>
              <w:rPr>
                <w:rFonts w:hint="eastAsia"/>
                <w:b w:val="0"/>
                <w:bCs w:val="0"/>
                <w:color w:val="auto"/>
                <w:sz w:val="24"/>
                <w:szCs w:val="24"/>
              </w:rPr>
              <w:t>）</w:t>
            </w:r>
            <w:r>
              <w:rPr>
                <w:b w:val="0"/>
                <w:bCs w:val="0"/>
                <w:color w:val="auto"/>
                <w:sz w:val="24"/>
                <w:szCs w:val="24"/>
              </w:rPr>
              <w:t>的相关规定</w:t>
            </w:r>
            <w:r>
              <w:rPr>
                <w:rFonts w:hint="eastAsia"/>
                <w:b w:val="0"/>
                <w:bCs w:val="0"/>
                <w:color w:val="auto"/>
                <w:sz w:val="24"/>
                <w:szCs w:val="24"/>
                <w:lang w:eastAsia="zh-CN"/>
              </w:rPr>
              <w:t>，</w:t>
            </w:r>
            <w:r>
              <w:rPr>
                <w:b w:val="0"/>
                <w:bCs w:val="0"/>
                <w:color w:val="auto"/>
                <w:sz w:val="24"/>
                <w:szCs w:val="24"/>
              </w:rPr>
              <w:t>危废暂存间污染防治工作执行《危险废物收集贮存运输技术规范》（HJ2025-2012）</w:t>
            </w:r>
            <w:r>
              <w:rPr>
                <w:rFonts w:hint="eastAsia"/>
                <w:b w:val="0"/>
                <w:bCs w:val="0"/>
                <w:color w:val="auto"/>
                <w:sz w:val="24"/>
                <w:szCs w:val="24"/>
                <w:lang w:eastAsia="zh-CN"/>
              </w:rPr>
              <w:t>、</w:t>
            </w:r>
            <w:r>
              <w:rPr>
                <w:rFonts w:hint="eastAsia"/>
                <w:b w:val="0"/>
                <w:bCs w:val="0"/>
                <w:color w:val="auto"/>
                <w:sz w:val="24"/>
                <w:szCs w:val="24"/>
                <w:lang w:val="en-US" w:eastAsia="zh-CN"/>
              </w:rPr>
              <w:t>《关于进一步加强危险废物环境治理严密防控环境风险的指导意见》（环固体〔2025〕10号）</w:t>
            </w:r>
            <w:r>
              <w:rPr>
                <w:b w:val="0"/>
                <w:bCs w:val="0"/>
                <w:color w:val="auto"/>
                <w:sz w:val="24"/>
                <w:szCs w:val="24"/>
              </w:rPr>
              <w:t>以及</w:t>
            </w:r>
            <w:r>
              <w:rPr>
                <w:rFonts w:hint="eastAsia"/>
                <w:b w:val="0"/>
                <w:bCs w:val="0"/>
                <w:color w:val="auto"/>
                <w:sz w:val="24"/>
                <w:szCs w:val="24"/>
              </w:rPr>
              <w:t>《省生态环境厅关于印发</w:t>
            </w:r>
            <w:r>
              <w:rPr>
                <w:rFonts w:hint="eastAsia"/>
                <w:b w:val="0"/>
                <w:bCs w:val="0"/>
                <w:color w:val="auto"/>
                <w:sz w:val="24"/>
                <w:szCs w:val="24"/>
                <w:lang w:eastAsia="zh-CN"/>
              </w:rPr>
              <w:t>〈</w:t>
            </w:r>
            <w:r>
              <w:rPr>
                <w:rFonts w:hint="eastAsia"/>
                <w:b w:val="0"/>
                <w:bCs w:val="0"/>
                <w:color w:val="auto"/>
                <w:sz w:val="24"/>
                <w:szCs w:val="24"/>
              </w:rPr>
              <w:t>江苏省固体废物全过程环境监管工作意见</w:t>
            </w:r>
            <w:r>
              <w:rPr>
                <w:rFonts w:hint="eastAsia"/>
                <w:b w:val="0"/>
                <w:bCs w:val="0"/>
                <w:color w:val="auto"/>
                <w:sz w:val="24"/>
                <w:szCs w:val="24"/>
                <w:lang w:eastAsia="zh-CN"/>
              </w:rPr>
              <w:t>〉的通知》</w:t>
            </w:r>
            <w:r>
              <w:rPr>
                <w:rFonts w:hint="eastAsia"/>
                <w:b w:val="0"/>
                <w:bCs w:val="0"/>
                <w:color w:val="auto"/>
                <w:sz w:val="24"/>
                <w:szCs w:val="24"/>
              </w:rPr>
              <w:t>（苏环办</w:t>
            </w:r>
            <w:r>
              <w:rPr>
                <w:rFonts w:hint="eastAsia"/>
                <w:b w:val="0"/>
                <w:bCs w:val="0"/>
                <w:color w:val="auto"/>
                <w:sz w:val="24"/>
                <w:szCs w:val="24"/>
                <w:lang w:eastAsia="zh-CN"/>
              </w:rPr>
              <w:t>〔2024〕16号</w:t>
            </w:r>
            <w:r>
              <w:rPr>
                <w:rFonts w:hint="eastAsia"/>
                <w:b w:val="0"/>
                <w:bCs w:val="0"/>
                <w:color w:val="auto"/>
                <w:sz w:val="24"/>
                <w:szCs w:val="24"/>
              </w:rPr>
              <w:t>）</w:t>
            </w:r>
            <w:r>
              <w:rPr>
                <w:rFonts w:hint="eastAsia"/>
                <w:b w:val="0"/>
                <w:bCs w:val="0"/>
                <w:color w:val="auto"/>
                <w:sz w:val="24"/>
                <w:szCs w:val="24"/>
                <w:lang w:eastAsia="zh-CN"/>
              </w:rPr>
              <w:t>的相关规定</w:t>
            </w:r>
            <w:r>
              <w:rPr>
                <w:b w:val="0"/>
                <w:bCs w:val="0"/>
                <w:color w:val="auto"/>
                <w:sz w:val="24"/>
              </w:rPr>
              <w:t>。</w:t>
            </w:r>
          </w:p>
        </w:tc>
      </w:tr>
      <w:tr w14:paraId="5E9D621F">
        <w:trPr>
          <w:trHeight w:val="12712" w:hRule="atLeast"/>
          <w:jc w:val="center"/>
        </w:trPr>
        <w:tc>
          <w:tcPr>
            <w:tcW w:w="800" w:type="dxa"/>
            <w:noWrap w:val="0"/>
            <w:vAlign w:val="center"/>
          </w:tcPr>
          <w:p w14:paraId="4C170835">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总量</w:t>
            </w:r>
          </w:p>
          <w:p w14:paraId="7F86FC58">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控制</w:t>
            </w:r>
          </w:p>
          <w:p w14:paraId="7C450069">
            <w:pPr>
              <w:adjustRightInd w:val="0"/>
              <w:snapToGrid w:val="0"/>
              <w:jc w:val="center"/>
              <w:rPr>
                <w:rFonts w:ascii="宋体" w:hAnsi="宋体" w:cs="宋体"/>
                <w:color w:val="auto"/>
                <w:kern w:val="0"/>
                <w:szCs w:val="21"/>
              </w:rPr>
            </w:pPr>
            <w:r>
              <w:rPr>
                <w:rFonts w:hint="eastAsia" w:ascii="宋体" w:hAnsi="宋体" w:cs="宋体"/>
                <w:color w:val="auto"/>
                <w:kern w:val="0"/>
                <w:szCs w:val="21"/>
              </w:rPr>
              <w:t>指标</w:t>
            </w:r>
          </w:p>
        </w:tc>
        <w:tc>
          <w:tcPr>
            <w:tcW w:w="8190" w:type="dxa"/>
            <w:noWrap w:val="0"/>
            <w:vAlign w:val="top"/>
          </w:tcPr>
          <w:p w14:paraId="613573C1">
            <w:pPr>
              <w:pStyle w:val="17"/>
              <w:keepNext w:val="0"/>
              <w:keepLines w:val="0"/>
              <w:pageBreakBefore w:val="0"/>
              <w:widowControl w:val="0"/>
              <w:kinsoku/>
              <w:wordWrap/>
              <w:overflowPunct/>
              <w:topLinePunct w:val="0"/>
              <w:bidi w:val="0"/>
              <w:spacing w:line="360" w:lineRule="auto"/>
              <w:ind w:firstLine="480" w:firstLineChars="200"/>
              <w:jc w:val="both"/>
              <w:textAlignment w:val="auto"/>
              <w:rPr>
                <w:rFonts w:ascii="Times New Roman" w:hAnsi="Times New Roman"/>
                <w:b w:val="0"/>
                <w:bCs/>
                <w:color w:val="auto"/>
                <w:sz w:val="24"/>
              </w:rPr>
            </w:pPr>
            <w:r>
              <w:rPr>
                <w:rFonts w:hint="eastAsia" w:ascii="Times New Roman" w:hAnsi="Times New Roman"/>
                <w:b w:val="0"/>
                <w:bCs/>
                <w:color w:val="auto"/>
                <w:sz w:val="24"/>
                <w:lang w:eastAsia="zh-CN"/>
              </w:rPr>
              <w:t>1.</w:t>
            </w:r>
            <w:r>
              <w:rPr>
                <w:rFonts w:hint="eastAsia" w:ascii="Times New Roman" w:hAnsi="Times New Roman"/>
                <w:b w:val="0"/>
                <w:bCs/>
                <w:color w:val="auto"/>
                <w:sz w:val="24"/>
              </w:rPr>
              <w:t>建设项目污染物排放情况</w:t>
            </w:r>
          </w:p>
          <w:p w14:paraId="6D10E3F7">
            <w:pPr>
              <w:pStyle w:val="16"/>
              <w:keepNext w:val="0"/>
              <w:keepLines w:val="0"/>
              <w:pageBreakBefore w:val="0"/>
              <w:widowControl w:val="0"/>
              <w:kinsoku/>
              <w:wordWrap/>
              <w:overflowPunct/>
              <w:topLinePunct w:val="0"/>
              <w:bidi w:val="0"/>
              <w:spacing w:after="0" w:line="360" w:lineRule="auto"/>
              <w:ind w:left="0" w:leftChars="0" w:firstLine="480"/>
              <w:jc w:val="both"/>
              <w:textAlignment w:val="auto"/>
              <w:rPr>
                <w:rFonts w:ascii="Times New Roman" w:hAnsi="Times New Roman"/>
                <w:color w:val="auto"/>
                <w:sz w:val="24"/>
              </w:rPr>
            </w:pPr>
            <w:r>
              <w:rPr>
                <w:rFonts w:hint="eastAsia" w:ascii="Times New Roman" w:hAnsi="Times New Roman"/>
                <w:color w:val="auto"/>
                <w:sz w:val="24"/>
              </w:rPr>
              <w:t>本项目污染物排放情况汇总见下表。</w:t>
            </w:r>
          </w:p>
          <w:p w14:paraId="126A1D83">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b/>
                <w:bCs/>
                <w:color w:val="auto"/>
                <w:sz w:val="21"/>
                <w:szCs w:val="21"/>
              </w:rPr>
            </w:pPr>
            <w:r>
              <w:rPr>
                <w:rFonts w:hint="eastAsia"/>
                <w:b/>
                <w:bCs/>
                <w:color w:val="auto"/>
                <w:sz w:val="21"/>
                <w:szCs w:val="21"/>
              </w:rPr>
              <w:t>表3-</w:t>
            </w:r>
            <w:r>
              <w:rPr>
                <w:rFonts w:hint="eastAsia"/>
                <w:b/>
                <w:bCs/>
                <w:color w:val="auto"/>
                <w:sz w:val="21"/>
                <w:szCs w:val="21"/>
                <w:lang w:val="en-US" w:eastAsia="zh-CN"/>
              </w:rPr>
              <w:t xml:space="preserve">11  </w:t>
            </w:r>
            <w:r>
              <w:rPr>
                <w:rFonts w:hint="eastAsia"/>
                <w:b/>
                <w:bCs/>
                <w:color w:val="auto"/>
                <w:sz w:val="21"/>
                <w:szCs w:val="21"/>
              </w:rPr>
              <w:t>项目污染物排放情况汇总一览表单位：t/a</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77"/>
              <w:gridCol w:w="908"/>
              <w:gridCol w:w="1465"/>
              <w:gridCol w:w="1196"/>
              <w:gridCol w:w="1194"/>
              <w:gridCol w:w="1059"/>
              <w:gridCol w:w="1418"/>
            </w:tblGrid>
            <w:tr w14:paraId="6DA65C1C">
              <w:trPr>
                <w:trHeight w:val="397" w:hRule="exact"/>
                <w:jc w:val="center"/>
              </w:trPr>
              <w:tc>
                <w:tcPr>
                  <w:tcW w:w="2108" w:type="pct"/>
                  <w:gridSpan w:val="3"/>
                  <w:noWrap w:val="0"/>
                  <w:vAlign w:val="center"/>
                </w:tcPr>
                <w:p w14:paraId="4F98C5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r>
                    <w:rPr>
                      <w:rFonts w:hint="eastAsia" w:cs="宋体"/>
                      <w:color w:val="auto"/>
                      <w:kern w:val="0"/>
                      <w:szCs w:val="21"/>
                    </w:rPr>
                    <w:t>污染物</w:t>
                  </w:r>
                </w:p>
              </w:tc>
              <w:tc>
                <w:tcPr>
                  <w:tcW w:w="710" w:type="pct"/>
                  <w:noWrap w:val="0"/>
                  <w:vAlign w:val="center"/>
                </w:tcPr>
                <w:p w14:paraId="0C40D6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r>
                    <w:rPr>
                      <w:rFonts w:hint="eastAsia" w:cs="宋体"/>
                      <w:color w:val="auto"/>
                      <w:kern w:val="0"/>
                      <w:szCs w:val="21"/>
                    </w:rPr>
                    <w:t>产生量</w:t>
                  </w:r>
                </w:p>
              </w:tc>
              <w:tc>
                <w:tcPr>
                  <w:tcW w:w="709" w:type="pct"/>
                  <w:noWrap w:val="0"/>
                  <w:vAlign w:val="center"/>
                </w:tcPr>
                <w:p w14:paraId="27A2E9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r>
                    <w:rPr>
                      <w:rFonts w:hint="eastAsia" w:cs="宋体"/>
                      <w:color w:val="auto"/>
                      <w:kern w:val="0"/>
                      <w:szCs w:val="21"/>
                    </w:rPr>
                    <w:t>削减量</w:t>
                  </w:r>
                </w:p>
              </w:tc>
              <w:tc>
                <w:tcPr>
                  <w:tcW w:w="629" w:type="pct"/>
                  <w:noWrap w:val="0"/>
                  <w:vAlign w:val="center"/>
                </w:tcPr>
                <w:p w14:paraId="38755F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r>
                    <w:rPr>
                      <w:rFonts w:hint="eastAsia" w:cs="宋体"/>
                      <w:color w:val="auto"/>
                      <w:kern w:val="0"/>
                      <w:szCs w:val="21"/>
                    </w:rPr>
                    <w:t>接管量</w:t>
                  </w:r>
                </w:p>
              </w:tc>
              <w:tc>
                <w:tcPr>
                  <w:tcW w:w="842" w:type="pct"/>
                  <w:noWrap w:val="0"/>
                  <w:vAlign w:val="center"/>
                </w:tcPr>
                <w:p w14:paraId="59B53A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r>
                    <w:rPr>
                      <w:rFonts w:hint="eastAsia" w:cs="宋体"/>
                      <w:color w:val="auto"/>
                      <w:kern w:val="0"/>
                      <w:szCs w:val="21"/>
                    </w:rPr>
                    <w:t>排入环境量</w:t>
                  </w:r>
                </w:p>
              </w:tc>
            </w:tr>
            <w:tr w14:paraId="15467E85">
              <w:trPr>
                <w:trHeight w:val="397" w:hRule="exact"/>
                <w:jc w:val="center"/>
              </w:trPr>
              <w:tc>
                <w:tcPr>
                  <w:tcW w:w="699" w:type="pct"/>
                  <w:vMerge w:val="restart"/>
                  <w:noWrap w:val="0"/>
                  <w:vAlign w:val="center"/>
                </w:tcPr>
                <w:p w14:paraId="6C2DBE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r>
                    <w:rPr>
                      <w:rFonts w:hint="eastAsia" w:cs="宋体"/>
                      <w:color w:val="auto"/>
                      <w:kern w:val="0"/>
                      <w:szCs w:val="21"/>
                    </w:rPr>
                    <w:t>废气</w:t>
                  </w:r>
                </w:p>
              </w:tc>
              <w:tc>
                <w:tcPr>
                  <w:tcW w:w="539" w:type="pct"/>
                  <w:noWrap w:val="0"/>
                  <w:vAlign w:val="center"/>
                </w:tcPr>
                <w:p w14:paraId="3E19A6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r>
                    <w:rPr>
                      <w:rFonts w:hint="eastAsia" w:cs="宋体"/>
                      <w:color w:val="auto"/>
                      <w:kern w:val="0"/>
                      <w:szCs w:val="21"/>
                    </w:rPr>
                    <w:t>有组织</w:t>
                  </w:r>
                </w:p>
              </w:tc>
              <w:tc>
                <w:tcPr>
                  <w:tcW w:w="870" w:type="pct"/>
                  <w:noWrap w:val="0"/>
                  <w:vAlign w:val="center"/>
                </w:tcPr>
                <w:p w14:paraId="3CF9F7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宋体"/>
                      <w:color w:val="auto"/>
                      <w:kern w:val="0"/>
                      <w:sz w:val="21"/>
                      <w:szCs w:val="21"/>
                      <w:lang w:val="en-US" w:eastAsia="zh-CN" w:bidi="ar-SA"/>
                    </w:rPr>
                  </w:pPr>
                  <w:r>
                    <w:rPr>
                      <w:rFonts w:hint="eastAsia" w:cs="宋体"/>
                      <w:color w:val="auto"/>
                      <w:kern w:val="0"/>
                      <w:szCs w:val="21"/>
                      <w:lang w:val="en-US" w:eastAsia="zh-CN"/>
                    </w:rPr>
                    <w:t>非甲烷总烃</w:t>
                  </w:r>
                </w:p>
              </w:tc>
              <w:tc>
                <w:tcPr>
                  <w:tcW w:w="710" w:type="pct"/>
                  <w:noWrap w:val="0"/>
                  <w:vAlign w:val="center"/>
                </w:tcPr>
                <w:p w14:paraId="002CDB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6.787</w:t>
                  </w:r>
                </w:p>
              </w:tc>
              <w:tc>
                <w:tcPr>
                  <w:tcW w:w="709" w:type="pct"/>
                  <w:noWrap w:val="0"/>
                  <w:vAlign w:val="center"/>
                </w:tcPr>
                <w:p w14:paraId="54A3C7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6.108</w:t>
                  </w:r>
                </w:p>
              </w:tc>
              <w:tc>
                <w:tcPr>
                  <w:tcW w:w="629" w:type="pct"/>
                  <w:noWrap w:val="0"/>
                  <w:vAlign w:val="center"/>
                </w:tcPr>
                <w:p w14:paraId="123BF50F">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842" w:type="pct"/>
                  <w:noWrap w:val="0"/>
                  <w:vAlign w:val="center"/>
                </w:tcPr>
                <w:p w14:paraId="3CE99B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0.679</w:t>
                  </w:r>
                </w:p>
              </w:tc>
            </w:tr>
            <w:tr w14:paraId="5EB81644">
              <w:trPr>
                <w:trHeight w:val="397" w:hRule="exact"/>
                <w:jc w:val="center"/>
              </w:trPr>
              <w:tc>
                <w:tcPr>
                  <w:tcW w:w="699" w:type="pct"/>
                  <w:vMerge w:val="continue"/>
                  <w:noWrap w:val="0"/>
                  <w:vAlign w:val="center"/>
                </w:tcPr>
                <w:p w14:paraId="59CB6C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539" w:type="pct"/>
                  <w:noWrap w:val="0"/>
                  <w:vAlign w:val="center"/>
                </w:tcPr>
                <w:p w14:paraId="408381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r>
                    <w:rPr>
                      <w:rFonts w:hint="eastAsia" w:cs="宋体"/>
                      <w:color w:val="auto"/>
                      <w:kern w:val="0"/>
                      <w:szCs w:val="21"/>
                    </w:rPr>
                    <w:t>无组织</w:t>
                  </w:r>
                </w:p>
              </w:tc>
              <w:tc>
                <w:tcPr>
                  <w:tcW w:w="870" w:type="pct"/>
                  <w:noWrap w:val="0"/>
                  <w:vAlign w:val="center"/>
                </w:tcPr>
                <w:p w14:paraId="238E89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宋体"/>
                      <w:color w:val="auto"/>
                      <w:kern w:val="0"/>
                      <w:sz w:val="21"/>
                      <w:szCs w:val="21"/>
                      <w:lang w:val="en-US" w:eastAsia="zh-CN" w:bidi="ar-SA"/>
                    </w:rPr>
                  </w:pPr>
                  <w:r>
                    <w:rPr>
                      <w:rFonts w:hint="eastAsia" w:cs="宋体"/>
                      <w:color w:val="auto"/>
                      <w:kern w:val="0"/>
                      <w:szCs w:val="21"/>
                      <w:lang w:val="en-US" w:eastAsia="zh-CN"/>
                    </w:rPr>
                    <w:t>非甲烷总烃</w:t>
                  </w:r>
                </w:p>
              </w:tc>
              <w:tc>
                <w:tcPr>
                  <w:tcW w:w="710" w:type="pct"/>
                  <w:noWrap w:val="0"/>
                  <w:vAlign w:val="center"/>
                </w:tcPr>
                <w:p w14:paraId="587F1D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0.358</w:t>
                  </w:r>
                </w:p>
              </w:tc>
              <w:tc>
                <w:tcPr>
                  <w:tcW w:w="709" w:type="pct"/>
                  <w:noWrap w:val="0"/>
                  <w:vAlign w:val="center"/>
                </w:tcPr>
                <w:p w14:paraId="24B5C5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p>
              </w:tc>
              <w:tc>
                <w:tcPr>
                  <w:tcW w:w="629" w:type="pct"/>
                  <w:noWrap w:val="0"/>
                  <w:vAlign w:val="center"/>
                </w:tcPr>
                <w:p w14:paraId="2ED1E890">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842" w:type="pct"/>
                  <w:noWrap w:val="0"/>
                  <w:vAlign w:val="center"/>
                </w:tcPr>
                <w:p w14:paraId="0F1FA9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0.358</w:t>
                  </w:r>
                </w:p>
              </w:tc>
            </w:tr>
            <w:tr w14:paraId="598B2297">
              <w:trPr>
                <w:trHeight w:val="397" w:hRule="exact"/>
                <w:jc w:val="center"/>
              </w:trPr>
              <w:tc>
                <w:tcPr>
                  <w:tcW w:w="699" w:type="pct"/>
                  <w:vMerge w:val="restart"/>
                  <w:noWrap w:val="0"/>
                  <w:vAlign w:val="center"/>
                </w:tcPr>
                <w:p w14:paraId="670D13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r>
                    <w:rPr>
                      <w:rFonts w:hint="eastAsia" w:cs="宋体"/>
                      <w:color w:val="auto"/>
                      <w:kern w:val="0"/>
                      <w:szCs w:val="21"/>
                    </w:rPr>
                    <w:t>废水</w:t>
                  </w:r>
                </w:p>
              </w:tc>
              <w:tc>
                <w:tcPr>
                  <w:tcW w:w="539" w:type="pct"/>
                  <w:vMerge w:val="restart"/>
                  <w:noWrap w:val="0"/>
                  <w:vAlign w:val="center"/>
                </w:tcPr>
                <w:p w14:paraId="2CD211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s="宋体"/>
                      <w:color w:val="auto"/>
                      <w:kern w:val="0"/>
                      <w:szCs w:val="21"/>
                      <w:lang w:val="en-US" w:eastAsia="zh-CN"/>
                    </w:rPr>
                  </w:pPr>
                  <w:r>
                    <w:rPr>
                      <w:rFonts w:hint="eastAsia" w:cs="宋体"/>
                      <w:color w:val="auto"/>
                      <w:kern w:val="0"/>
                      <w:szCs w:val="21"/>
                      <w:lang w:val="en-US" w:eastAsia="zh-CN"/>
                    </w:rPr>
                    <w:t>综合废水</w:t>
                  </w:r>
                </w:p>
              </w:tc>
              <w:tc>
                <w:tcPr>
                  <w:tcW w:w="870" w:type="pct"/>
                  <w:noWrap w:val="0"/>
                  <w:vAlign w:val="center"/>
                </w:tcPr>
                <w:p w14:paraId="353B7A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r>
                    <w:rPr>
                      <w:rFonts w:hint="eastAsia" w:cs="宋体"/>
                      <w:color w:val="auto"/>
                      <w:kern w:val="0"/>
                      <w:szCs w:val="21"/>
                    </w:rPr>
                    <w:t>废水量</w:t>
                  </w:r>
                </w:p>
              </w:tc>
              <w:tc>
                <w:tcPr>
                  <w:tcW w:w="710" w:type="pct"/>
                  <w:noWrap w:val="0"/>
                  <w:vAlign w:val="center"/>
                </w:tcPr>
                <w:p w14:paraId="08E7B32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99480</w:t>
                  </w:r>
                </w:p>
              </w:tc>
              <w:tc>
                <w:tcPr>
                  <w:tcW w:w="709" w:type="pct"/>
                  <w:noWrap w:val="0"/>
                  <w:vAlign w:val="center"/>
                </w:tcPr>
                <w:p w14:paraId="592110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p>
              </w:tc>
              <w:tc>
                <w:tcPr>
                  <w:tcW w:w="629" w:type="pct"/>
                  <w:noWrap w:val="0"/>
                  <w:vAlign w:val="center"/>
                </w:tcPr>
                <w:p w14:paraId="1D532A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99480</w:t>
                  </w:r>
                </w:p>
              </w:tc>
              <w:tc>
                <w:tcPr>
                  <w:tcW w:w="842" w:type="pct"/>
                  <w:noWrap w:val="0"/>
                  <w:vAlign w:val="center"/>
                </w:tcPr>
                <w:p w14:paraId="7C3AF9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99480</w:t>
                  </w:r>
                </w:p>
              </w:tc>
            </w:tr>
            <w:tr w14:paraId="189C39F7">
              <w:trPr>
                <w:trHeight w:val="397" w:hRule="exact"/>
                <w:jc w:val="center"/>
              </w:trPr>
              <w:tc>
                <w:tcPr>
                  <w:tcW w:w="699" w:type="pct"/>
                  <w:vMerge w:val="continue"/>
                  <w:noWrap w:val="0"/>
                  <w:vAlign w:val="center"/>
                </w:tcPr>
                <w:p w14:paraId="33B39C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539" w:type="pct"/>
                  <w:vMerge w:val="continue"/>
                  <w:noWrap w:val="0"/>
                  <w:vAlign w:val="center"/>
                </w:tcPr>
                <w:p w14:paraId="4D3221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870" w:type="pct"/>
                  <w:noWrap w:val="0"/>
                  <w:vAlign w:val="center"/>
                </w:tcPr>
                <w:p w14:paraId="7699BF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r>
                    <w:rPr>
                      <w:rFonts w:hint="eastAsia" w:cs="宋体"/>
                      <w:color w:val="auto"/>
                      <w:kern w:val="0"/>
                      <w:szCs w:val="21"/>
                    </w:rPr>
                    <w:t>COD</w:t>
                  </w:r>
                </w:p>
              </w:tc>
              <w:tc>
                <w:tcPr>
                  <w:tcW w:w="1196" w:type="dxa"/>
                  <w:noWrap w:val="0"/>
                  <w:vAlign w:val="center"/>
                </w:tcPr>
                <w:p w14:paraId="682B3D2A">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41.089</w:t>
                  </w:r>
                </w:p>
              </w:tc>
              <w:tc>
                <w:tcPr>
                  <w:tcW w:w="1194" w:type="dxa"/>
                  <w:noWrap w:val="0"/>
                  <w:vAlign w:val="center"/>
                </w:tcPr>
                <w:p w14:paraId="4243D611">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 xml:space="preserve">28.135 </w:t>
                  </w:r>
                </w:p>
              </w:tc>
              <w:tc>
                <w:tcPr>
                  <w:tcW w:w="1059" w:type="dxa"/>
                  <w:noWrap w:val="0"/>
                  <w:vAlign w:val="center"/>
                </w:tcPr>
                <w:p w14:paraId="43A33F7B">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12.954</w:t>
                  </w:r>
                </w:p>
              </w:tc>
              <w:tc>
                <w:tcPr>
                  <w:tcW w:w="1418" w:type="dxa"/>
                  <w:noWrap w:val="0"/>
                  <w:vAlign w:val="center"/>
                </w:tcPr>
                <w:p w14:paraId="1AF0BE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4.974</w:t>
                  </w:r>
                  <w:r>
                    <w:rPr>
                      <w:rFonts w:hint="eastAsia" w:ascii="Times New Roman" w:hAnsi="Times New Roman" w:eastAsia="宋体" w:cs="Times New Roman"/>
                      <w:i w:val="0"/>
                      <w:iCs w:val="0"/>
                      <w:color w:val="auto"/>
                      <w:kern w:val="0"/>
                      <w:sz w:val="21"/>
                      <w:szCs w:val="21"/>
                      <w:u w:val="none"/>
                      <w:lang w:val="en-US" w:eastAsia="zh-CN" w:bidi="ar"/>
                    </w:rPr>
                    <w:t xml:space="preserve"> </w:t>
                  </w:r>
                </w:p>
              </w:tc>
            </w:tr>
            <w:tr w14:paraId="46A17980">
              <w:trPr>
                <w:trHeight w:val="397" w:hRule="exact"/>
                <w:jc w:val="center"/>
              </w:trPr>
              <w:tc>
                <w:tcPr>
                  <w:tcW w:w="699" w:type="pct"/>
                  <w:vMerge w:val="continue"/>
                  <w:noWrap w:val="0"/>
                  <w:vAlign w:val="center"/>
                </w:tcPr>
                <w:p w14:paraId="19E61F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539" w:type="pct"/>
                  <w:vMerge w:val="continue"/>
                  <w:noWrap w:val="0"/>
                  <w:vAlign w:val="center"/>
                </w:tcPr>
                <w:p w14:paraId="2897C9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870" w:type="pct"/>
                  <w:noWrap w:val="0"/>
                  <w:vAlign w:val="center"/>
                </w:tcPr>
                <w:p w14:paraId="70AD9B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s="宋体"/>
                      <w:color w:val="auto"/>
                      <w:kern w:val="0"/>
                      <w:szCs w:val="21"/>
                      <w:lang w:val="en-US" w:eastAsia="zh-CN"/>
                    </w:rPr>
                  </w:pPr>
                  <w:r>
                    <w:rPr>
                      <w:rFonts w:hint="eastAsia" w:cs="宋体"/>
                      <w:color w:val="auto"/>
                      <w:kern w:val="0"/>
                      <w:szCs w:val="21"/>
                      <w:lang w:val="en-US" w:eastAsia="zh-CN"/>
                    </w:rPr>
                    <w:t>BOD</w:t>
                  </w:r>
                  <w:r>
                    <w:rPr>
                      <w:rFonts w:hint="eastAsia" w:cs="宋体"/>
                      <w:color w:val="auto"/>
                      <w:kern w:val="0"/>
                      <w:szCs w:val="21"/>
                      <w:vertAlign w:val="subscript"/>
                      <w:lang w:val="en-US" w:eastAsia="zh-CN"/>
                    </w:rPr>
                    <w:t>5</w:t>
                  </w:r>
                </w:p>
              </w:tc>
              <w:tc>
                <w:tcPr>
                  <w:tcW w:w="1196" w:type="dxa"/>
                  <w:noWrap w:val="0"/>
                  <w:vAlign w:val="center"/>
                </w:tcPr>
                <w:p w14:paraId="2704A8B9">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default" w:cs="Times New Roman"/>
                      <w:i w:val="0"/>
                      <w:iCs w:val="0"/>
                      <w:color w:val="auto"/>
                      <w:kern w:val="0"/>
                      <w:sz w:val="21"/>
                      <w:szCs w:val="21"/>
                      <w:u w:val="none"/>
                      <w:lang w:val="en-US" w:eastAsia="zh-CN" w:bidi="ar"/>
                    </w:rPr>
                    <w:t xml:space="preserve">16.837 </w:t>
                  </w:r>
                </w:p>
              </w:tc>
              <w:tc>
                <w:tcPr>
                  <w:tcW w:w="1194" w:type="dxa"/>
                  <w:noWrap w:val="0"/>
                  <w:vAlign w:val="center"/>
                </w:tcPr>
                <w:p w14:paraId="3517A284">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 xml:space="preserve">11.654 </w:t>
                  </w:r>
                </w:p>
              </w:tc>
              <w:tc>
                <w:tcPr>
                  <w:tcW w:w="1059" w:type="dxa"/>
                  <w:noWrap w:val="0"/>
                  <w:vAlign w:val="center"/>
                </w:tcPr>
                <w:p w14:paraId="2E2ED4E1">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default" w:cs="Times New Roman"/>
                      <w:i w:val="0"/>
                      <w:iCs w:val="0"/>
                      <w:color w:val="auto"/>
                      <w:kern w:val="0"/>
                      <w:sz w:val="21"/>
                      <w:szCs w:val="21"/>
                      <w:u w:val="none"/>
                      <w:lang w:val="en-US" w:eastAsia="zh-CN" w:bidi="ar"/>
                    </w:rPr>
                    <w:t xml:space="preserve">5.183 </w:t>
                  </w:r>
                </w:p>
              </w:tc>
              <w:tc>
                <w:tcPr>
                  <w:tcW w:w="1418" w:type="dxa"/>
                  <w:noWrap w:val="0"/>
                  <w:vAlign w:val="center"/>
                </w:tcPr>
                <w:p w14:paraId="708231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0.995</w:t>
                  </w:r>
                </w:p>
              </w:tc>
            </w:tr>
            <w:tr w14:paraId="22AE50DD">
              <w:trPr>
                <w:trHeight w:val="397" w:hRule="exact"/>
                <w:jc w:val="center"/>
              </w:trPr>
              <w:tc>
                <w:tcPr>
                  <w:tcW w:w="699" w:type="pct"/>
                  <w:vMerge w:val="continue"/>
                  <w:noWrap w:val="0"/>
                  <w:vAlign w:val="center"/>
                </w:tcPr>
                <w:p w14:paraId="21DAEE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539" w:type="pct"/>
                  <w:vMerge w:val="continue"/>
                  <w:noWrap w:val="0"/>
                  <w:vAlign w:val="center"/>
                </w:tcPr>
                <w:p w14:paraId="0E6DE5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870" w:type="pct"/>
                  <w:noWrap w:val="0"/>
                  <w:vAlign w:val="center"/>
                </w:tcPr>
                <w:p w14:paraId="5DFCFA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r>
                    <w:rPr>
                      <w:rFonts w:hint="eastAsia" w:cs="宋体"/>
                      <w:color w:val="auto"/>
                      <w:kern w:val="0"/>
                      <w:szCs w:val="21"/>
                    </w:rPr>
                    <w:t>SS</w:t>
                  </w:r>
                </w:p>
              </w:tc>
              <w:tc>
                <w:tcPr>
                  <w:tcW w:w="1196" w:type="dxa"/>
                  <w:noWrap w:val="0"/>
                  <w:vAlign w:val="center"/>
                </w:tcPr>
                <w:p w14:paraId="4D21CDBD">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default" w:cs="Times New Roman"/>
                      <w:i w:val="0"/>
                      <w:iCs w:val="0"/>
                      <w:color w:val="auto"/>
                      <w:kern w:val="0"/>
                      <w:sz w:val="21"/>
                      <w:szCs w:val="21"/>
                      <w:u w:val="none"/>
                      <w:lang w:val="en-US" w:eastAsia="zh-CN" w:bidi="ar"/>
                    </w:rPr>
                    <w:t xml:space="preserve">14.328 </w:t>
                  </w:r>
                </w:p>
              </w:tc>
              <w:tc>
                <w:tcPr>
                  <w:tcW w:w="1194" w:type="dxa"/>
                  <w:noWrap w:val="0"/>
                  <w:vAlign w:val="center"/>
                </w:tcPr>
                <w:p w14:paraId="16CF5CD8">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 xml:space="preserve">9.306 </w:t>
                  </w:r>
                </w:p>
              </w:tc>
              <w:tc>
                <w:tcPr>
                  <w:tcW w:w="1059" w:type="dxa"/>
                  <w:noWrap w:val="0"/>
                  <w:vAlign w:val="center"/>
                </w:tcPr>
                <w:p w14:paraId="3C7FC41C">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default" w:cs="Times New Roman"/>
                      <w:i w:val="0"/>
                      <w:iCs w:val="0"/>
                      <w:color w:val="auto"/>
                      <w:kern w:val="0"/>
                      <w:sz w:val="21"/>
                      <w:szCs w:val="21"/>
                      <w:u w:val="none"/>
                      <w:lang w:val="en-US" w:eastAsia="zh-CN" w:bidi="ar"/>
                    </w:rPr>
                    <w:t xml:space="preserve">5.021 </w:t>
                  </w:r>
                </w:p>
              </w:tc>
              <w:tc>
                <w:tcPr>
                  <w:tcW w:w="1418" w:type="dxa"/>
                  <w:noWrap w:val="0"/>
                  <w:vAlign w:val="center"/>
                </w:tcPr>
                <w:p w14:paraId="4F47099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0.995</w:t>
                  </w:r>
                </w:p>
              </w:tc>
            </w:tr>
            <w:tr w14:paraId="69AD8021">
              <w:trPr>
                <w:trHeight w:val="397" w:hRule="exact"/>
                <w:jc w:val="center"/>
              </w:trPr>
              <w:tc>
                <w:tcPr>
                  <w:tcW w:w="699" w:type="pct"/>
                  <w:vMerge w:val="continue"/>
                  <w:noWrap w:val="0"/>
                  <w:vAlign w:val="center"/>
                </w:tcPr>
                <w:p w14:paraId="5F5201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539" w:type="pct"/>
                  <w:vMerge w:val="continue"/>
                  <w:noWrap w:val="0"/>
                  <w:vAlign w:val="center"/>
                </w:tcPr>
                <w:p w14:paraId="617493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870" w:type="pct"/>
                  <w:noWrap w:val="0"/>
                  <w:vAlign w:val="center"/>
                </w:tcPr>
                <w:p w14:paraId="488571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r>
                    <w:rPr>
                      <w:rFonts w:hint="eastAsia" w:cs="宋体"/>
                      <w:color w:val="auto"/>
                      <w:kern w:val="0"/>
                      <w:szCs w:val="21"/>
                    </w:rPr>
                    <w:t>NH</w:t>
                  </w:r>
                  <w:r>
                    <w:rPr>
                      <w:rFonts w:hint="eastAsia" w:cs="宋体"/>
                      <w:color w:val="auto"/>
                      <w:kern w:val="0"/>
                      <w:szCs w:val="21"/>
                      <w:vertAlign w:val="subscript"/>
                    </w:rPr>
                    <w:t>3</w:t>
                  </w:r>
                  <w:r>
                    <w:rPr>
                      <w:rFonts w:hint="eastAsia" w:cs="宋体"/>
                      <w:color w:val="auto"/>
                      <w:kern w:val="0"/>
                      <w:szCs w:val="21"/>
                    </w:rPr>
                    <w:t>-N</w:t>
                  </w:r>
                </w:p>
              </w:tc>
              <w:tc>
                <w:tcPr>
                  <w:tcW w:w="1196" w:type="dxa"/>
                  <w:noWrap w:val="0"/>
                  <w:vAlign w:val="center"/>
                </w:tcPr>
                <w:p w14:paraId="709E3DA3">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default" w:cs="Times New Roman"/>
                      <w:i w:val="0"/>
                      <w:iCs w:val="0"/>
                      <w:color w:val="auto"/>
                      <w:kern w:val="0"/>
                      <w:sz w:val="21"/>
                      <w:szCs w:val="21"/>
                      <w:u w:val="none"/>
                      <w:lang w:val="en-US" w:eastAsia="zh-CN" w:bidi="ar"/>
                    </w:rPr>
                    <w:t xml:space="preserve">0.833 </w:t>
                  </w:r>
                </w:p>
              </w:tc>
              <w:tc>
                <w:tcPr>
                  <w:tcW w:w="1194" w:type="dxa"/>
                  <w:noWrap w:val="0"/>
                  <w:vAlign w:val="center"/>
                </w:tcPr>
                <w:p w14:paraId="1F8D0138">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 xml:space="preserve">0.641 </w:t>
                  </w:r>
                </w:p>
              </w:tc>
              <w:tc>
                <w:tcPr>
                  <w:tcW w:w="1059" w:type="dxa"/>
                  <w:noWrap w:val="0"/>
                  <w:vAlign w:val="center"/>
                </w:tcPr>
                <w:p w14:paraId="385DDCC5">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default" w:cs="Times New Roman"/>
                      <w:i w:val="0"/>
                      <w:iCs w:val="0"/>
                      <w:color w:val="auto"/>
                      <w:kern w:val="0"/>
                      <w:sz w:val="21"/>
                      <w:szCs w:val="21"/>
                      <w:u w:val="none"/>
                      <w:lang w:val="en-US" w:eastAsia="zh-CN" w:bidi="ar"/>
                    </w:rPr>
                    <w:t xml:space="preserve">0.192 </w:t>
                  </w:r>
                </w:p>
              </w:tc>
              <w:tc>
                <w:tcPr>
                  <w:tcW w:w="1418" w:type="dxa"/>
                  <w:noWrap w:val="0"/>
                  <w:vAlign w:val="center"/>
                </w:tcPr>
                <w:p w14:paraId="23A04C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w:t>
                  </w:r>
                  <w:r>
                    <w:rPr>
                      <w:rFonts w:hint="eastAsia" w:cs="Times New Roman"/>
                      <w:i w:val="0"/>
                      <w:iCs w:val="0"/>
                      <w:color w:val="auto"/>
                      <w:kern w:val="0"/>
                      <w:sz w:val="21"/>
                      <w:szCs w:val="21"/>
                      <w:u w:val="none"/>
                      <w:lang w:val="en-US" w:eastAsia="zh-CN" w:bidi="ar"/>
                    </w:rPr>
                    <w:t>92</w:t>
                  </w:r>
                </w:p>
              </w:tc>
            </w:tr>
            <w:tr w14:paraId="2DCB25A2">
              <w:trPr>
                <w:trHeight w:val="397" w:hRule="exact"/>
                <w:jc w:val="center"/>
              </w:trPr>
              <w:tc>
                <w:tcPr>
                  <w:tcW w:w="699" w:type="pct"/>
                  <w:vMerge w:val="continue"/>
                  <w:noWrap w:val="0"/>
                  <w:vAlign w:val="center"/>
                </w:tcPr>
                <w:p w14:paraId="29604A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539" w:type="pct"/>
                  <w:vMerge w:val="continue"/>
                  <w:noWrap w:val="0"/>
                  <w:vAlign w:val="center"/>
                </w:tcPr>
                <w:p w14:paraId="530B28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870" w:type="pct"/>
                  <w:noWrap w:val="0"/>
                  <w:vAlign w:val="center"/>
                </w:tcPr>
                <w:p w14:paraId="65891C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r>
                    <w:rPr>
                      <w:rFonts w:hint="eastAsia" w:cs="宋体"/>
                      <w:color w:val="auto"/>
                      <w:kern w:val="0"/>
                      <w:szCs w:val="21"/>
                    </w:rPr>
                    <w:t>TN</w:t>
                  </w:r>
                </w:p>
              </w:tc>
              <w:tc>
                <w:tcPr>
                  <w:tcW w:w="1196" w:type="dxa"/>
                  <w:noWrap w:val="0"/>
                  <w:vAlign w:val="center"/>
                </w:tcPr>
                <w:p w14:paraId="45ADDEF9">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default" w:cs="Times New Roman"/>
                      <w:i w:val="0"/>
                      <w:iCs w:val="0"/>
                      <w:color w:val="auto"/>
                      <w:kern w:val="0"/>
                      <w:sz w:val="21"/>
                      <w:szCs w:val="21"/>
                      <w:u w:val="none"/>
                      <w:lang w:val="en-US" w:eastAsia="zh-CN" w:bidi="ar"/>
                    </w:rPr>
                    <w:t xml:space="preserve">2.303 </w:t>
                  </w:r>
                </w:p>
              </w:tc>
              <w:tc>
                <w:tcPr>
                  <w:tcW w:w="1194" w:type="dxa"/>
                  <w:noWrap w:val="0"/>
                  <w:vAlign w:val="center"/>
                </w:tcPr>
                <w:p w14:paraId="41A844C7">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 xml:space="preserve">1.358 </w:t>
                  </w:r>
                </w:p>
              </w:tc>
              <w:tc>
                <w:tcPr>
                  <w:tcW w:w="1059" w:type="dxa"/>
                  <w:noWrap w:val="0"/>
                  <w:vAlign w:val="center"/>
                </w:tcPr>
                <w:p w14:paraId="01FA468E">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default" w:cs="Times New Roman"/>
                      <w:i w:val="0"/>
                      <w:iCs w:val="0"/>
                      <w:color w:val="auto"/>
                      <w:kern w:val="0"/>
                      <w:sz w:val="21"/>
                      <w:szCs w:val="21"/>
                      <w:u w:val="none"/>
                      <w:lang w:val="en-US" w:eastAsia="zh-CN" w:bidi="ar"/>
                    </w:rPr>
                    <w:t xml:space="preserve">0.945 </w:t>
                  </w:r>
                </w:p>
              </w:tc>
              <w:tc>
                <w:tcPr>
                  <w:tcW w:w="1418" w:type="dxa"/>
                  <w:noWrap w:val="0"/>
                  <w:vAlign w:val="center"/>
                </w:tcPr>
                <w:p w14:paraId="7E869F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945</w:t>
                  </w:r>
                  <w:r>
                    <w:rPr>
                      <w:rFonts w:hint="eastAsia" w:ascii="Times New Roman" w:hAnsi="Times New Roman" w:eastAsia="宋体" w:cs="Times New Roman"/>
                      <w:i w:val="0"/>
                      <w:iCs w:val="0"/>
                      <w:color w:val="auto"/>
                      <w:kern w:val="0"/>
                      <w:sz w:val="21"/>
                      <w:szCs w:val="21"/>
                      <w:u w:val="none"/>
                      <w:lang w:val="en-US" w:eastAsia="zh-CN" w:bidi="ar"/>
                    </w:rPr>
                    <w:t xml:space="preserve"> </w:t>
                  </w:r>
                </w:p>
              </w:tc>
            </w:tr>
            <w:tr w14:paraId="0265CB4D">
              <w:trPr>
                <w:trHeight w:val="397" w:hRule="exact"/>
                <w:jc w:val="center"/>
              </w:trPr>
              <w:tc>
                <w:tcPr>
                  <w:tcW w:w="699" w:type="pct"/>
                  <w:vMerge w:val="continue"/>
                  <w:noWrap w:val="0"/>
                  <w:vAlign w:val="center"/>
                </w:tcPr>
                <w:p w14:paraId="12C309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539" w:type="pct"/>
                  <w:vMerge w:val="continue"/>
                  <w:noWrap w:val="0"/>
                  <w:vAlign w:val="center"/>
                </w:tcPr>
                <w:p w14:paraId="03A46F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870" w:type="pct"/>
                  <w:noWrap w:val="0"/>
                  <w:vAlign w:val="center"/>
                </w:tcPr>
                <w:p w14:paraId="2BB77B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r>
                    <w:rPr>
                      <w:rFonts w:hint="eastAsia" w:cs="宋体"/>
                      <w:color w:val="auto"/>
                      <w:kern w:val="0"/>
                      <w:szCs w:val="21"/>
                    </w:rPr>
                    <w:t>TP</w:t>
                  </w:r>
                </w:p>
              </w:tc>
              <w:tc>
                <w:tcPr>
                  <w:tcW w:w="1196" w:type="dxa"/>
                  <w:noWrap w:val="0"/>
                  <w:vAlign w:val="center"/>
                </w:tcPr>
                <w:p w14:paraId="063CF31B">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default" w:cs="Times New Roman"/>
                      <w:i w:val="0"/>
                      <w:iCs w:val="0"/>
                      <w:color w:val="auto"/>
                      <w:kern w:val="0"/>
                      <w:sz w:val="21"/>
                      <w:szCs w:val="21"/>
                      <w:u w:val="none"/>
                      <w:lang w:val="en-US" w:eastAsia="zh-CN" w:bidi="ar"/>
                    </w:rPr>
                    <w:t xml:space="preserve">0.196 </w:t>
                  </w:r>
                </w:p>
              </w:tc>
              <w:tc>
                <w:tcPr>
                  <w:tcW w:w="1194" w:type="dxa"/>
                  <w:noWrap w:val="0"/>
                  <w:vAlign w:val="center"/>
                </w:tcPr>
                <w:p w14:paraId="3412227D">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 xml:space="preserve">0.115 </w:t>
                  </w:r>
                </w:p>
              </w:tc>
              <w:tc>
                <w:tcPr>
                  <w:tcW w:w="1059" w:type="dxa"/>
                  <w:noWrap w:val="0"/>
                  <w:vAlign w:val="center"/>
                </w:tcPr>
                <w:p w14:paraId="04DE6E04">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default" w:cs="Times New Roman"/>
                      <w:i w:val="0"/>
                      <w:iCs w:val="0"/>
                      <w:color w:val="auto"/>
                      <w:kern w:val="0"/>
                      <w:sz w:val="21"/>
                      <w:szCs w:val="21"/>
                      <w:u w:val="none"/>
                      <w:lang w:val="en-US" w:eastAsia="zh-CN" w:bidi="ar"/>
                    </w:rPr>
                    <w:t xml:space="preserve">0.081 </w:t>
                  </w:r>
                </w:p>
              </w:tc>
              <w:tc>
                <w:tcPr>
                  <w:tcW w:w="1418" w:type="dxa"/>
                  <w:noWrap w:val="0"/>
                  <w:vAlign w:val="center"/>
                </w:tcPr>
                <w:p w14:paraId="671ABC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0.05</w:t>
                  </w:r>
                  <w:r>
                    <w:rPr>
                      <w:rFonts w:hint="eastAsia" w:cs="Times New Roman"/>
                      <w:i w:val="0"/>
                      <w:iCs w:val="0"/>
                      <w:color w:val="auto"/>
                      <w:kern w:val="0"/>
                      <w:sz w:val="21"/>
                      <w:szCs w:val="21"/>
                      <w:u w:val="none"/>
                      <w:lang w:val="en-US" w:eastAsia="zh-CN" w:bidi="ar"/>
                    </w:rPr>
                    <w:t>0</w:t>
                  </w:r>
                </w:p>
              </w:tc>
            </w:tr>
            <w:tr w14:paraId="53FE054A">
              <w:trPr>
                <w:trHeight w:val="397" w:hRule="exact"/>
                <w:jc w:val="center"/>
              </w:trPr>
              <w:tc>
                <w:tcPr>
                  <w:tcW w:w="699" w:type="pct"/>
                  <w:vMerge w:val="continue"/>
                  <w:noWrap w:val="0"/>
                  <w:vAlign w:val="center"/>
                </w:tcPr>
                <w:p w14:paraId="3BDDDF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539" w:type="pct"/>
                  <w:vMerge w:val="continue"/>
                  <w:noWrap w:val="0"/>
                  <w:vAlign w:val="center"/>
                </w:tcPr>
                <w:p w14:paraId="74ACF3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870" w:type="pct"/>
                  <w:noWrap w:val="0"/>
                  <w:vAlign w:val="center"/>
                </w:tcPr>
                <w:p w14:paraId="4EB8EE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宋体"/>
                      <w:color w:val="auto"/>
                      <w:kern w:val="0"/>
                      <w:szCs w:val="21"/>
                      <w:lang w:val="en-US" w:eastAsia="zh-CN"/>
                    </w:rPr>
                  </w:pPr>
                  <w:r>
                    <w:rPr>
                      <w:rFonts w:hint="eastAsia" w:cs="宋体"/>
                      <w:color w:val="auto"/>
                      <w:kern w:val="0"/>
                      <w:szCs w:val="21"/>
                      <w:lang w:val="en-US" w:eastAsia="zh-CN"/>
                    </w:rPr>
                    <w:t>动植物油</w:t>
                  </w:r>
                </w:p>
              </w:tc>
              <w:tc>
                <w:tcPr>
                  <w:tcW w:w="1196" w:type="dxa"/>
                  <w:noWrap w:val="0"/>
                  <w:vAlign w:val="center"/>
                </w:tcPr>
                <w:p w14:paraId="7590E9FF">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default" w:cs="Times New Roman"/>
                      <w:i w:val="0"/>
                      <w:iCs w:val="0"/>
                      <w:color w:val="auto"/>
                      <w:kern w:val="0"/>
                      <w:sz w:val="21"/>
                      <w:szCs w:val="21"/>
                      <w:u w:val="none"/>
                      <w:lang w:val="en-US" w:eastAsia="zh-CN" w:bidi="ar"/>
                    </w:rPr>
                    <w:t xml:space="preserve">0.099 </w:t>
                  </w:r>
                </w:p>
              </w:tc>
              <w:tc>
                <w:tcPr>
                  <w:tcW w:w="1194" w:type="dxa"/>
                  <w:noWrap w:val="0"/>
                  <w:vAlign w:val="center"/>
                </w:tcPr>
                <w:p w14:paraId="5F3328A7">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 xml:space="preserve">0.079 </w:t>
                  </w:r>
                </w:p>
              </w:tc>
              <w:tc>
                <w:tcPr>
                  <w:tcW w:w="1059" w:type="dxa"/>
                  <w:noWrap w:val="0"/>
                  <w:vAlign w:val="center"/>
                </w:tcPr>
                <w:p w14:paraId="6A70646D">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default" w:cs="Times New Roman"/>
                      <w:i w:val="0"/>
                      <w:iCs w:val="0"/>
                      <w:color w:val="auto"/>
                      <w:kern w:val="0"/>
                      <w:sz w:val="21"/>
                      <w:szCs w:val="21"/>
                      <w:u w:val="none"/>
                      <w:lang w:val="en-US" w:eastAsia="zh-CN" w:bidi="ar"/>
                    </w:rPr>
                    <w:t xml:space="preserve">0.020 </w:t>
                  </w:r>
                </w:p>
              </w:tc>
              <w:tc>
                <w:tcPr>
                  <w:tcW w:w="1418" w:type="dxa"/>
                  <w:noWrap w:val="0"/>
                  <w:vAlign w:val="center"/>
                </w:tcPr>
                <w:p w14:paraId="4C4D2EC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0.020 </w:t>
                  </w:r>
                </w:p>
              </w:tc>
            </w:tr>
            <w:tr w14:paraId="66A739A2">
              <w:trPr>
                <w:trHeight w:val="397" w:hRule="exact"/>
                <w:jc w:val="center"/>
              </w:trPr>
              <w:tc>
                <w:tcPr>
                  <w:tcW w:w="699" w:type="pct"/>
                  <w:vMerge w:val="restart"/>
                  <w:noWrap w:val="0"/>
                  <w:vAlign w:val="center"/>
                </w:tcPr>
                <w:p w14:paraId="14B785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r>
                    <w:rPr>
                      <w:rFonts w:hint="eastAsia" w:cs="宋体"/>
                      <w:color w:val="auto"/>
                      <w:kern w:val="0"/>
                      <w:szCs w:val="21"/>
                    </w:rPr>
                    <w:t>固废</w:t>
                  </w:r>
                </w:p>
              </w:tc>
              <w:tc>
                <w:tcPr>
                  <w:tcW w:w="1409" w:type="pct"/>
                  <w:gridSpan w:val="2"/>
                  <w:noWrap w:val="0"/>
                  <w:vAlign w:val="center"/>
                </w:tcPr>
                <w:p w14:paraId="7537EE23">
                  <w:pPr>
                    <w:pStyle w:val="17"/>
                    <w:spacing w:line="240" w:lineRule="auto"/>
                    <w:ind w:left="0" w:leftChars="0" w:firstLine="0" w:firstLineChars="0"/>
                    <w:jc w:val="center"/>
                    <w:rPr>
                      <w:rFonts w:hint="eastAsia" w:ascii="Times New Roman" w:hAnsi="Times New Roman" w:eastAsia="宋体" w:cs="Times New Roman"/>
                      <w:b w:val="0"/>
                      <w:color w:val="auto"/>
                      <w:kern w:val="2"/>
                      <w:sz w:val="21"/>
                      <w:szCs w:val="18"/>
                      <w:lang w:val="en-US" w:eastAsia="zh-CN" w:bidi="ar-SA"/>
                    </w:rPr>
                  </w:pPr>
                  <w:r>
                    <w:rPr>
                      <w:rFonts w:hint="eastAsia" w:ascii="Times New Roman" w:hAnsi="Times New Roman" w:eastAsia="宋体" w:cs="Times New Roman"/>
                      <w:b w:val="0"/>
                      <w:color w:val="auto"/>
                      <w:sz w:val="21"/>
                      <w:szCs w:val="18"/>
                      <w:lang w:val="en-US" w:eastAsia="zh-CN"/>
                    </w:rPr>
                    <w:t>一般固废</w:t>
                  </w:r>
                </w:p>
              </w:tc>
              <w:tc>
                <w:tcPr>
                  <w:tcW w:w="710" w:type="pct"/>
                  <w:noWrap w:val="0"/>
                  <w:vAlign w:val="center"/>
                </w:tcPr>
                <w:p w14:paraId="09D40A6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68.83</w:t>
                  </w:r>
                </w:p>
              </w:tc>
              <w:tc>
                <w:tcPr>
                  <w:tcW w:w="709" w:type="pct"/>
                  <w:noWrap w:val="0"/>
                  <w:vAlign w:val="center"/>
                </w:tcPr>
                <w:p w14:paraId="52A060B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68.83</w:t>
                  </w:r>
                </w:p>
              </w:tc>
              <w:tc>
                <w:tcPr>
                  <w:tcW w:w="629" w:type="pct"/>
                  <w:noWrap w:val="0"/>
                  <w:vAlign w:val="center"/>
                </w:tcPr>
                <w:p w14:paraId="321C9A61">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842" w:type="pct"/>
                  <w:noWrap w:val="0"/>
                  <w:vAlign w:val="center"/>
                </w:tcPr>
                <w:p w14:paraId="5F1D4F2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p>
              </w:tc>
            </w:tr>
            <w:tr w14:paraId="4C42DD2F">
              <w:trPr>
                <w:trHeight w:val="397" w:hRule="exact"/>
                <w:jc w:val="center"/>
              </w:trPr>
              <w:tc>
                <w:tcPr>
                  <w:tcW w:w="699" w:type="pct"/>
                  <w:vMerge w:val="continue"/>
                  <w:noWrap w:val="0"/>
                  <w:vAlign w:val="center"/>
                </w:tcPr>
                <w:p w14:paraId="3635D3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1409" w:type="pct"/>
                  <w:gridSpan w:val="2"/>
                  <w:noWrap w:val="0"/>
                  <w:vAlign w:val="center"/>
                </w:tcPr>
                <w:p w14:paraId="49CB24DC">
                  <w:pPr>
                    <w:pStyle w:val="17"/>
                    <w:spacing w:line="240" w:lineRule="auto"/>
                    <w:ind w:left="0" w:leftChars="0" w:firstLine="0" w:firstLineChars="0"/>
                    <w:jc w:val="center"/>
                    <w:rPr>
                      <w:rFonts w:hint="default" w:ascii="Times New Roman" w:hAnsi="Times New Roman" w:eastAsia="宋体" w:cs="Times New Roman"/>
                      <w:b w:val="0"/>
                      <w:color w:val="auto"/>
                      <w:kern w:val="2"/>
                      <w:sz w:val="21"/>
                      <w:szCs w:val="18"/>
                      <w:lang w:val="en-US" w:eastAsia="zh-CN" w:bidi="ar-SA"/>
                    </w:rPr>
                  </w:pPr>
                  <w:r>
                    <w:rPr>
                      <w:rFonts w:hint="eastAsia" w:ascii="Times New Roman" w:hAnsi="Times New Roman" w:eastAsia="宋体" w:cs="Times New Roman"/>
                      <w:b w:val="0"/>
                      <w:color w:val="auto"/>
                      <w:sz w:val="21"/>
                      <w:szCs w:val="18"/>
                      <w:lang w:val="en-US" w:eastAsia="zh-CN"/>
                    </w:rPr>
                    <w:t>危险废物</w:t>
                  </w:r>
                </w:p>
              </w:tc>
              <w:tc>
                <w:tcPr>
                  <w:tcW w:w="710" w:type="pct"/>
                  <w:noWrap w:val="0"/>
                  <w:vAlign w:val="center"/>
                </w:tcPr>
                <w:p w14:paraId="092FED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7.9</w:t>
                  </w:r>
                </w:p>
              </w:tc>
              <w:tc>
                <w:tcPr>
                  <w:tcW w:w="709" w:type="pct"/>
                  <w:noWrap w:val="0"/>
                  <w:vAlign w:val="center"/>
                </w:tcPr>
                <w:p w14:paraId="4ED92A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7.9</w:t>
                  </w:r>
                </w:p>
              </w:tc>
              <w:tc>
                <w:tcPr>
                  <w:tcW w:w="629" w:type="pct"/>
                  <w:noWrap w:val="0"/>
                  <w:vAlign w:val="center"/>
                </w:tcPr>
                <w:p w14:paraId="3135910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842" w:type="pct"/>
                  <w:noWrap w:val="0"/>
                  <w:vAlign w:val="center"/>
                </w:tcPr>
                <w:p w14:paraId="0C516DB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p>
              </w:tc>
            </w:tr>
            <w:tr w14:paraId="2FFA2B8C">
              <w:trPr>
                <w:trHeight w:val="397" w:hRule="exact"/>
                <w:jc w:val="center"/>
              </w:trPr>
              <w:tc>
                <w:tcPr>
                  <w:tcW w:w="699" w:type="pct"/>
                  <w:vMerge w:val="continue"/>
                  <w:noWrap w:val="0"/>
                  <w:vAlign w:val="center"/>
                </w:tcPr>
                <w:p w14:paraId="46988E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1409" w:type="pct"/>
                  <w:gridSpan w:val="2"/>
                  <w:noWrap w:val="0"/>
                  <w:vAlign w:val="center"/>
                </w:tcPr>
                <w:p w14:paraId="23C7665C">
                  <w:pPr>
                    <w:pStyle w:val="17"/>
                    <w:spacing w:line="240" w:lineRule="auto"/>
                    <w:ind w:left="0" w:leftChars="0" w:firstLine="0" w:firstLineChars="0"/>
                    <w:jc w:val="center"/>
                    <w:rPr>
                      <w:rFonts w:hint="eastAsia" w:ascii="Times New Roman" w:hAnsi="Times New Roman" w:eastAsia="宋体" w:cs="Times New Roman"/>
                      <w:b w:val="0"/>
                      <w:color w:val="auto"/>
                      <w:kern w:val="2"/>
                      <w:sz w:val="21"/>
                      <w:szCs w:val="18"/>
                      <w:lang w:val="en-US" w:eastAsia="zh-CN" w:bidi="ar-SA"/>
                    </w:rPr>
                  </w:pPr>
                  <w:r>
                    <w:rPr>
                      <w:rFonts w:hint="eastAsia" w:ascii="Times New Roman" w:hAnsi="Times New Roman" w:eastAsia="宋体" w:cs="Times New Roman"/>
                      <w:b w:val="0"/>
                      <w:color w:val="auto"/>
                      <w:sz w:val="21"/>
                      <w:szCs w:val="18"/>
                    </w:rPr>
                    <w:t>生活垃圾</w:t>
                  </w:r>
                </w:p>
              </w:tc>
              <w:tc>
                <w:tcPr>
                  <w:tcW w:w="710" w:type="pct"/>
                  <w:noWrap w:val="0"/>
                  <w:vAlign w:val="center"/>
                </w:tcPr>
                <w:p w14:paraId="10306A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8.25</w:t>
                  </w:r>
                </w:p>
              </w:tc>
              <w:tc>
                <w:tcPr>
                  <w:tcW w:w="709" w:type="pct"/>
                  <w:noWrap w:val="0"/>
                  <w:vAlign w:val="center"/>
                </w:tcPr>
                <w:p w14:paraId="3C1EF8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8.25</w:t>
                  </w:r>
                </w:p>
              </w:tc>
              <w:tc>
                <w:tcPr>
                  <w:tcW w:w="629" w:type="pct"/>
                  <w:noWrap w:val="0"/>
                  <w:vAlign w:val="center"/>
                </w:tcPr>
                <w:p w14:paraId="025C92CE">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842" w:type="pct"/>
                  <w:noWrap w:val="0"/>
                  <w:vAlign w:val="center"/>
                </w:tcPr>
                <w:p w14:paraId="64EA0E9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p>
              </w:tc>
            </w:tr>
          </w:tbl>
          <w:p w14:paraId="5889C44D">
            <w:pPr>
              <w:pStyle w:val="16"/>
              <w:keepNext w:val="0"/>
              <w:keepLines w:val="0"/>
              <w:pageBreakBefore w:val="0"/>
              <w:widowControl w:val="0"/>
              <w:kinsoku/>
              <w:wordWrap/>
              <w:overflowPunct/>
              <w:topLinePunct w:val="0"/>
              <w:autoSpaceDE/>
              <w:autoSpaceDN/>
              <w:bidi w:val="0"/>
              <w:adjustRightInd/>
              <w:snapToGrid/>
              <w:spacing w:after="0" w:line="360" w:lineRule="auto"/>
              <w:ind w:left="0" w:leftChars="0" w:firstLine="482"/>
              <w:jc w:val="both"/>
              <w:textAlignment w:val="auto"/>
              <w:rPr>
                <w:b w:val="0"/>
                <w:bCs w:val="0"/>
                <w:color w:val="auto"/>
              </w:rPr>
            </w:pPr>
            <w:r>
              <w:rPr>
                <w:rFonts w:hint="eastAsia"/>
                <w:b w:val="0"/>
                <w:bCs w:val="0"/>
                <w:color w:val="auto"/>
                <w:lang w:eastAsia="zh-CN"/>
              </w:rPr>
              <w:t>2.</w:t>
            </w:r>
            <w:r>
              <w:rPr>
                <w:b w:val="0"/>
                <w:bCs w:val="0"/>
                <w:color w:val="auto"/>
              </w:rPr>
              <w:t>总量控制指标</w:t>
            </w:r>
          </w:p>
          <w:p w14:paraId="0C1B370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根据《江苏省排污权有偿使用和交易管理暂行办法》和《江苏省排污权有偿使用和交易实施细则（试行）》，</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按照《固定污染源排污许可分类管理名录（2019年版）》，在排污许可证中载明许可排放量的排污单位，应在申领排污许可证时取得排污权。</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对照《固定污染源排污许可分类管理名录（2019年版）》，本项目</w:t>
            </w:r>
            <w:r>
              <w:rPr>
                <w:rFonts w:hint="eastAsia" w:cs="Times New Roman"/>
                <w:color w:val="auto"/>
                <w:sz w:val="24"/>
                <w:lang w:eastAsia="zh-CN"/>
              </w:rPr>
              <w:t>属于</w:t>
            </w:r>
            <w:r>
              <w:rPr>
                <w:rFonts w:hint="eastAsia" w:cs="Times New Roman"/>
                <w:color w:val="auto"/>
                <w:sz w:val="24"/>
                <w:lang w:val="en-US" w:eastAsia="zh-CN"/>
              </w:rPr>
              <w:t>名录中“十、酒、饮料和精制茶制造业15中22、饮料制造152”中“其他*”类别，为登记管理；“</w:t>
            </w:r>
            <w:r>
              <w:rPr>
                <w:rFonts w:hint="eastAsia" w:cs="Times New Roman"/>
                <w:color w:val="auto"/>
                <w:sz w:val="24"/>
                <w:lang w:eastAsia="zh-CN"/>
              </w:rPr>
              <w:t>二十四、橡胶和塑料制品业29</w:t>
            </w:r>
            <w:r>
              <w:rPr>
                <w:rFonts w:hint="eastAsia" w:cs="Times New Roman"/>
                <w:color w:val="auto"/>
                <w:sz w:val="24"/>
                <w:lang w:val="en-US" w:eastAsia="zh-CN"/>
              </w:rPr>
              <w:t>中62、塑料制品业292”中“其他”类别，为登记管理</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建设项目管理类别详见下表：</w:t>
            </w:r>
          </w:p>
          <w:p w14:paraId="0683107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4"/>
              </w:rPr>
            </w:pPr>
          </w:p>
          <w:p w14:paraId="0B30740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4"/>
              </w:rPr>
            </w:pPr>
          </w:p>
          <w:p w14:paraId="20FAC1F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4"/>
              </w:rPr>
            </w:pPr>
          </w:p>
          <w:p w14:paraId="654B49E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4"/>
              </w:rPr>
            </w:pPr>
          </w:p>
          <w:p w14:paraId="2886482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4"/>
              </w:rPr>
            </w:pPr>
          </w:p>
          <w:p w14:paraId="31A808A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4"/>
              </w:rPr>
            </w:pPr>
          </w:p>
          <w:p w14:paraId="69D1ABC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4"/>
              </w:rPr>
            </w:pPr>
          </w:p>
          <w:p w14:paraId="68832EB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4"/>
              </w:rPr>
            </w:pPr>
          </w:p>
          <w:p w14:paraId="4E760C8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4"/>
              </w:rPr>
            </w:pPr>
          </w:p>
          <w:p w14:paraId="7C2049E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vertAlign w:val="baseline"/>
                <w:lang w:val="en-US" w:eastAsia="zh-CN"/>
              </w:rPr>
            </w:pPr>
            <w:r>
              <w:rPr>
                <w:rFonts w:hint="default" w:ascii="Times New Roman" w:hAnsi="Times New Roman" w:eastAsia="宋体" w:cs="Times New Roman"/>
                <w:b/>
                <w:bCs/>
                <w:color w:val="auto"/>
                <w:sz w:val="21"/>
                <w:szCs w:val="24"/>
              </w:rPr>
              <w:t>表3-</w:t>
            </w:r>
            <w:r>
              <w:rPr>
                <w:rFonts w:hint="eastAsia" w:cs="Times New Roman"/>
                <w:b/>
                <w:bCs/>
                <w:color w:val="auto"/>
                <w:sz w:val="21"/>
                <w:szCs w:val="24"/>
                <w:lang w:val="en-US" w:eastAsia="zh-CN"/>
              </w:rPr>
              <w:t xml:space="preserve">12  </w:t>
            </w:r>
            <w:r>
              <w:rPr>
                <w:rFonts w:hint="default" w:ascii="Times New Roman" w:hAnsi="Times New Roman" w:eastAsia="宋体" w:cs="Times New Roman"/>
                <w:b/>
                <w:bCs/>
                <w:color w:val="auto"/>
                <w:sz w:val="21"/>
                <w:szCs w:val="24"/>
                <w:lang w:val="en-US" w:eastAsia="zh-CN"/>
              </w:rPr>
              <w:t>建设</w:t>
            </w:r>
            <w:r>
              <w:rPr>
                <w:rFonts w:hint="default" w:ascii="Times New Roman" w:hAnsi="Times New Roman" w:eastAsia="宋体" w:cs="Times New Roman"/>
                <w:b/>
                <w:bCs/>
                <w:color w:val="auto"/>
                <w:sz w:val="21"/>
                <w:szCs w:val="24"/>
              </w:rPr>
              <w:t>项目</w:t>
            </w:r>
            <w:r>
              <w:rPr>
                <w:rFonts w:hint="default" w:ascii="Times New Roman" w:hAnsi="Times New Roman" w:eastAsia="宋体" w:cs="Times New Roman"/>
                <w:b/>
                <w:bCs/>
                <w:color w:val="auto"/>
                <w:sz w:val="21"/>
                <w:szCs w:val="24"/>
                <w:lang w:val="en-US" w:eastAsia="zh-CN"/>
              </w:rPr>
              <w:t>排污许可分类管理类别</w:t>
            </w:r>
          </w:p>
          <w:tbl>
            <w:tblPr>
              <w:tblStyle w:val="21"/>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540"/>
              <w:gridCol w:w="1140"/>
              <w:gridCol w:w="2520"/>
              <w:gridCol w:w="1086"/>
              <w:gridCol w:w="1469"/>
            </w:tblGrid>
            <w:tr w14:paraId="5BB329F3">
              <w:trPr>
                <w:trHeight w:val="397" w:hRule="atLeast"/>
              </w:trPr>
              <w:tc>
                <w:tcPr>
                  <w:tcW w:w="638" w:type="dxa"/>
                  <w:vAlign w:val="center"/>
                </w:tcPr>
                <w:p w14:paraId="291FC27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序号</w:t>
                  </w:r>
                </w:p>
              </w:tc>
              <w:tc>
                <w:tcPr>
                  <w:tcW w:w="1540" w:type="dxa"/>
                  <w:vAlign w:val="center"/>
                </w:tcPr>
                <w:p w14:paraId="0C055D1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行业类别</w:t>
                  </w:r>
                </w:p>
              </w:tc>
              <w:tc>
                <w:tcPr>
                  <w:tcW w:w="1140" w:type="dxa"/>
                  <w:vAlign w:val="center"/>
                </w:tcPr>
                <w:p w14:paraId="63B67A3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重点管理</w:t>
                  </w:r>
                </w:p>
              </w:tc>
              <w:tc>
                <w:tcPr>
                  <w:tcW w:w="2520" w:type="dxa"/>
                  <w:vAlign w:val="center"/>
                </w:tcPr>
                <w:p w14:paraId="081D688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简化管理</w:t>
                  </w:r>
                </w:p>
              </w:tc>
              <w:tc>
                <w:tcPr>
                  <w:tcW w:w="1086" w:type="dxa"/>
                  <w:vAlign w:val="center"/>
                </w:tcPr>
                <w:p w14:paraId="2CEDC2D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登记管理</w:t>
                  </w:r>
                </w:p>
              </w:tc>
              <w:tc>
                <w:tcPr>
                  <w:tcW w:w="1469" w:type="dxa"/>
                  <w:vAlign w:val="center"/>
                </w:tcPr>
                <w:p w14:paraId="1BB7382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本项目情况</w:t>
                  </w:r>
                </w:p>
              </w:tc>
            </w:tr>
            <w:tr w14:paraId="5A4ED1F5">
              <w:trPr>
                <w:trHeight w:val="397" w:hRule="atLeast"/>
              </w:trPr>
              <w:tc>
                <w:tcPr>
                  <w:tcW w:w="638" w:type="dxa"/>
                  <w:vAlign w:val="center"/>
                </w:tcPr>
                <w:p w14:paraId="4E72B44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22</w:t>
                  </w:r>
                </w:p>
              </w:tc>
              <w:tc>
                <w:tcPr>
                  <w:tcW w:w="1540" w:type="dxa"/>
                  <w:vAlign w:val="center"/>
                </w:tcPr>
                <w:p w14:paraId="0E17ECA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color w:val="auto"/>
                      <w:sz w:val="21"/>
                      <w:lang w:val="en-US" w:eastAsia="zh-CN"/>
                    </w:rPr>
                    <w:t>饮料制造152</w:t>
                  </w:r>
                </w:p>
              </w:tc>
              <w:tc>
                <w:tcPr>
                  <w:tcW w:w="1140" w:type="dxa"/>
                  <w:vAlign w:val="center"/>
                </w:tcPr>
                <w:p w14:paraId="2661555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2520" w:type="dxa"/>
                  <w:vAlign w:val="center"/>
                </w:tcPr>
                <w:p w14:paraId="7370465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有发酵工艺或者原汁生产的</w:t>
                  </w:r>
                  <w:r>
                    <w:rPr>
                      <w:rFonts w:hint="eastAsia" w:cs="Times New Roman"/>
                      <w:b w:val="0"/>
                      <w:bCs w:val="0"/>
                      <w:color w:val="auto"/>
                      <w:sz w:val="21"/>
                      <w:szCs w:val="21"/>
                      <w:vertAlign w:val="baseline"/>
                      <w:lang w:val="en-US" w:eastAsia="zh-CN"/>
                    </w:rPr>
                    <w:t>*</w:t>
                  </w:r>
                </w:p>
              </w:tc>
              <w:tc>
                <w:tcPr>
                  <w:tcW w:w="1086" w:type="dxa"/>
                  <w:vAlign w:val="center"/>
                </w:tcPr>
                <w:p w14:paraId="06F1AB2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w:t>
                  </w:r>
                  <w:r>
                    <w:rPr>
                      <w:rFonts w:hint="eastAsia" w:cs="Times New Roman"/>
                      <w:b w:val="0"/>
                      <w:bCs w:val="0"/>
                      <w:color w:val="auto"/>
                      <w:sz w:val="21"/>
                      <w:szCs w:val="21"/>
                      <w:vertAlign w:val="baseline"/>
                      <w:lang w:val="en-US" w:eastAsia="zh-CN"/>
                    </w:rPr>
                    <w:t>*</w:t>
                  </w:r>
                </w:p>
              </w:tc>
              <w:tc>
                <w:tcPr>
                  <w:tcW w:w="1469" w:type="dxa"/>
                  <w:vAlign w:val="center"/>
                </w:tcPr>
                <w:p w14:paraId="598A944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属于登记管理</w:t>
                  </w:r>
                </w:p>
              </w:tc>
            </w:tr>
            <w:tr w14:paraId="7D04C712">
              <w:trPr>
                <w:trHeight w:val="397" w:hRule="atLeast"/>
              </w:trPr>
              <w:tc>
                <w:tcPr>
                  <w:tcW w:w="638" w:type="dxa"/>
                  <w:vAlign w:val="center"/>
                </w:tcPr>
                <w:p w14:paraId="68B3AE4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62</w:t>
                  </w:r>
                </w:p>
              </w:tc>
              <w:tc>
                <w:tcPr>
                  <w:tcW w:w="1540" w:type="dxa"/>
                  <w:vAlign w:val="center"/>
                </w:tcPr>
                <w:p w14:paraId="0256F6D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color w:val="auto"/>
                      <w:sz w:val="21"/>
                      <w:lang w:val="en-US" w:eastAsia="zh-CN"/>
                    </w:rPr>
                    <w:t>塑料制品业292</w:t>
                  </w:r>
                </w:p>
              </w:tc>
              <w:tc>
                <w:tcPr>
                  <w:tcW w:w="1140" w:type="dxa"/>
                  <w:vAlign w:val="center"/>
                </w:tcPr>
                <w:p w14:paraId="1832B81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塑料人造革、合成革制造2925</w:t>
                  </w:r>
                </w:p>
              </w:tc>
              <w:tc>
                <w:tcPr>
                  <w:tcW w:w="2520" w:type="dxa"/>
                  <w:vAlign w:val="center"/>
                </w:tcPr>
                <w:p w14:paraId="400E747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年产1万吨及以上的泡沫塑料制造2924，年产1万吨及以上涉及改性的塑料薄膜制造2921、塑料板、管、型材制造2922、塑料丝、绳和编织品制造2923、塑料包装箱及容器制造2926、日用塑料品制造2927、人造草坪制造2928、塑料零件及其他塑料制品制造2929</w:t>
                  </w:r>
                </w:p>
              </w:tc>
              <w:tc>
                <w:tcPr>
                  <w:tcW w:w="1086" w:type="dxa"/>
                  <w:vAlign w:val="center"/>
                </w:tcPr>
                <w:p w14:paraId="36FAC54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w:t>
                  </w:r>
                </w:p>
              </w:tc>
              <w:tc>
                <w:tcPr>
                  <w:tcW w:w="1469" w:type="dxa"/>
                  <w:vAlign w:val="center"/>
                </w:tcPr>
                <w:p w14:paraId="2B9532A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属于登记管理</w:t>
                  </w:r>
                </w:p>
              </w:tc>
            </w:tr>
          </w:tbl>
          <w:p w14:paraId="2724F102">
            <w:pPr>
              <w:pStyle w:val="16"/>
              <w:keepNext w:val="0"/>
              <w:keepLines w:val="0"/>
              <w:pageBreakBefore w:val="0"/>
              <w:widowControl w:val="0"/>
              <w:kinsoku/>
              <w:wordWrap/>
              <w:overflowPunct/>
              <w:topLinePunct w:val="0"/>
              <w:autoSpaceDE/>
              <w:autoSpaceDN/>
              <w:bidi w:val="0"/>
              <w:spacing w:after="0" w:line="360" w:lineRule="auto"/>
              <w:ind w:left="0" w:leftChars="0" w:firstLine="480"/>
              <w:jc w:val="both"/>
              <w:textAlignment w:val="auto"/>
              <w:rPr>
                <w:rFonts w:hint="eastAsia"/>
                <w:color w:val="auto"/>
                <w:lang w:val="en-US" w:eastAsia="zh-CN"/>
              </w:rPr>
            </w:pPr>
            <w:r>
              <w:rPr>
                <w:rFonts w:hint="eastAsia"/>
                <w:color w:val="auto"/>
                <w:lang w:val="en-US" w:eastAsia="zh-CN"/>
              </w:rPr>
              <w:t>根据上表可知，本项目在投入运行前，应按照排污许可证管理规定，进行排污许可登记管理申报。</w:t>
            </w:r>
          </w:p>
          <w:p w14:paraId="662A7582">
            <w:pPr>
              <w:pStyle w:val="16"/>
              <w:keepNext w:val="0"/>
              <w:keepLines w:val="0"/>
              <w:pageBreakBefore w:val="0"/>
              <w:widowControl w:val="0"/>
              <w:kinsoku/>
              <w:wordWrap/>
              <w:overflowPunct/>
              <w:topLinePunct w:val="0"/>
              <w:autoSpaceDE/>
              <w:autoSpaceDN/>
              <w:bidi w:val="0"/>
              <w:spacing w:after="0" w:line="360" w:lineRule="auto"/>
              <w:ind w:left="0" w:leftChars="0" w:firstLine="480"/>
              <w:jc w:val="both"/>
              <w:textAlignment w:val="auto"/>
              <w:rPr>
                <w:color w:val="auto"/>
              </w:rPr>
            </w:pPr>
            <w:r>
              <w:rPr>
                <w:color w:val="auto"/>
              </w:rPr>
              <w:t>结合本项目排污特征，确定本项目总量控制指标如下：</w:t>
            </w:r>
          </w:p>
          <w:p w14:paraId="4D9755C1">
            <w:pPr>
              <w:pStyle w:val="16"/>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firstLine="480"/>
              <w:jc w:val="both"/>
              <w:textAlignment w:val="auto"/>
              <w:rPr>
                <w:rFonts w:hint="eastAsia"/>
                <w:color w:val="auto"/>
              </w:rPr>
            </w:pPr>
            <w:r>
              <w:rPr>
                <w:color w:val="auto"/>
              </w:rPr>
              <w:t>废气：</w:t>
            </w:r>
            <w:r>
              <w:rPr>
                <w:rFonts w:hint="eastAsia"/>
                <w:color w:val="auto"/>
                <w:lang w:val="en-US" w:eastAsia="zh-CN"/>
              </w:rPr>
              <w:t>非甲烷总烃控制总量为1.037t/a（有组织0.679t/a，无组织0.358t/a）</w:t>
            </w:r>
            <w:r>
              <w:rPr>
                <w:rFonts w:hint="eastAsia"/>
                <w:color w:val="auto"/>
                <w:lang w:eastAsia="zh-CN"/>
              </w:rPr>
              <w:t>。空气污染物总量在涟水县内平衡</w:t>
            </w:r>
            <w:r>
              <w:rPr>
                <w:rFonts w:hint="eastAsia"/>
                <w:color w:val="auto"/>
              </w:rPr>
              <w:t>。</w:t>
            </w:r>
          </w:p>
          <w:p w14:paraId="18EFF80B">
            <w:pPr>
              <w:pStyle w:val="16"/>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firstLine="480"/>
              <w:jc w:val="both"/>
              <w:textAlignment w:val="auto"/>
              <w:rPr>
                <w:color w:val="auto"/>
              </w:rPr>
            </w:pPr>
            <w:r>
              <w:rPr>
                <w:rFonts w:hint="eastAsia"/>
                <w:color w:val="auto"/>
              </w:rPr>
              <w:t>废水：</w:t>
            </w:r>
            <w:r>
              <w:rPr>
                <w:rFonts w:hint="eastAsia"/>
                <w:color w:val="auto"/>
                <w:lang w:eastAsia="zh-CN"/>
              </w:rPr>
              <w:t>本项目</w:t>
            </w:r>
            <w:r>
              <w:rPr>
                <w:rFonts w:hint="eastAsia" w:ascii="Times New Roman" w:hAnsi="Times New Roman" w:eastAsia="宋体"/>
                <w:color w:val="auto"/>
              </w:rPr>
              <w:t>废水</w:t>
            </w:r>
            <w:r>
              <w:rPr>
                <w:rFonts w:hint="eastAsia" w:ascii="Times New Roman" w:hAnsi="Times New Roman" w:eastAsia="宋体"/>
                <w:color w:val="auto"/>
                <w:lang w:val="en-US" w:eastAsia="zh-CN"/>
              </w:rPr>
              <w:t>污染物</w:t>
            </w:r>
            <w:r>
              <w:rPr>
                <w:rFonts w:hint="eastAsia" w:ascii="Times New Roman" w:hAnsi="Times New Roman" w:eastAsia="宋体"/>
                <w:color w:val="auto"/>
              </w:rPr>
              <w:t>总量控制因子为：COD、NH</w:t>
            </w:r>
            <w:r>
              <w:rPr>
                <w:rFonts w:hint="eastAsia" w:ascii="Times New Roman" w:hAnsi="Times New Roman" w:eastAsia="宋体"/>
                <w:color w:val="auto"/>
                <w:vertAlign w:val="subscript"/>
              </w:rPr>
              <w:t>3</w:t>
            </w:r>
            <w:r>
              <w:rPr>
                <w:rFonts w:hint="eastAsia" w:ascii="Times New Roman" w:hAnsi="Times New Roman" w:eastAsia="宋体"/>
                <w:color w:val="auto"/>
              </w:rPr>
              <w:t>-N、TP和TN，接管量为：COD</w:t>
            </w:r>
            <w:r>
              <w:rPr>
                <w:rFonts w:hint="eastAsia"/>
                <w:color w:val="auto"/>
                <w:lang w:val="en-US" w:eastAsia="zh-CN"/>
              </w:rPr>
              <w:t>12.954</w:t>
            </w:r>
            <w:r>
              <w:rPr>
                <w:rFonts w:hint="eastAsia" w:ascii="Times New Roman" w:hAnsi="Times New Roman" w:eastAsia="宋体"/>
                <w:color w:val="auto"/>
              </w:rPr>
              <w:t>t/a、NH</w:t>
            </w:r>
            <w:r>
              <w:rPr>
                <w:rFonts w:hint="eastAsia" w:ascii="Times New Roman" w:hAnsi="Times New Roman" w:eastAsia="宋体"/>
                <w:color w:val="auto"/>
                <w:vertAlign w:val="subscript"/>
              </w:rPr>
              <w:t>3</w:t>
            </w:r>
            <w:r>
              <w:rPr>
                <w:rFonts w:hint="eastAsia" w:ascii="Times New Roman" w:hAnsi="Times New Roman" w:eastAsia="宋体"/>
                <w:color w:val="auto"/>
              </w:rPr>
              <w:t>-N</w:t>
            </w:r>
            <w:r>
              <w:rPr>
                <w:rFonts w:hint="eastAsia" w:ascii="Times New Roman" w:hAnsi="Times New Roman" w:eastAsia="宋体"/>
                <w:color w:val="auto"/>
                <w:lang w:val="en-US" w:eastAsia="zh-CN"/>
              </w:rPr>
              <w:t>0.</w:t>
            </w:r>
            <w:r>
              <w:rPr>
                <w:rFonts w:hint="eastAsia"/>
                <w:color w:val="auto"/>
                <w:lang w:val="en-US" w:eastAsia="zh-CN"/>
              </w:rPr>
              <w:t>192</w:t>
            </w:r>
            <w:r>
              <w:rPr>
                <w:rFonts w:hint="eastAsia" w:ascii="Times New Roman" w:hAnsi="Times New Roman" w:eastAsia="宋体"/>
                <w:color w:val="auto"/>
              </w:rPr>
              <w:t>t/a、TN</w:t>
            </w:r>
            <w:r>
              <w:rPr>
                <w:rFonts w:hint="eastAsia" w:ascii="Times New Roman" w:hAnsi="Times New Roman" w:eastAsia="宋体"/>
                <w:color w:val="auto"/>
                <w:lang w:val="en-US" w:eastAsia="zh-CN"/>
              </w:rPr>
              <w:t>0.</w:t>
            </w:r>
            <w:r>
              <w:rPr>
                <w:rFonts w:hint="eastAsia"/>
                <w:color w:val="auto"/>
                <w:lang w:val="en-US" w:eastAsia="zh-CN"/>
              </w:rPr>
              <w:t>945</w:t>
            </w:r>
            <w:r>
              <w:rPr>
                <w:rFonts w:hint="eastAsia" w:ascii="Times New Roman" w:hAnsi="Times New Roman" w:eastAsia="宋体"/>
                <w:color w:val="auto"/>
              </w:rPr>
              <w:t>t/a、TP</w:t>
            </w:r>
            <w:r>
              <w:rPr>
                <w:rFonts w:hint="eastAsia" w:ascii="Times New Roman" w:hAnsi="Times New Roman" w:eastAsia="宋体"/>
                <w:color w:val="auto"/>
                <w:lang w:eastAsia="zh-CN"/>
              </w:rPr>
              <w:t>0.0</w:t>
            </w:r>
            <w:r>
              <w:rPr>
                <w:rFonts w:hint="eastAsia"/>
                <w:color w:val="auto"/>
                <w:lang w:val="en-US" w:eastAsia="zh-CN"/>
              </w:rPr>
              <w:t>81</w:t>
            </w:r>
            <w:r>
              <w:rPr>
                <w:rFonts w:hint="eastAsia" w:ascii="Times New Roman" w:hAnsi="Times New Roman" w:eastAsia="宋体"/>
                <w:color w:val="auto"/>
              </w:rPr>
              <w:t>t/a；环境排放量为：COD</w:t>
            </w:r>
            <w:r>
              <w:rPr>
                <w:rFonts w:hint="eastAsia"/>
                <w:color w:val="auto"/>
                <w:lang w:val="en-US" w:eastAsia="zh-CN"/>
              </w:rPr>
              <w:t>4.974</w:t>
            </w:r>
            <w:r>
              <w:rPr>
                <w:rFonts w:hint="eastAsia" w:ascii="Times New Roman" w:hAnsi="Times New Roman" w:eastAsia="宋体"/>
                <w:color w:val="auto"/>
              </w:rPr>
              <w:t>t/a、NH</w:t>
            </w:r>
            <w:r>
              <w:rPr>
                <w:rFonts w:hint="eastAsia" w:ascii="Times New Roman" w:hAnsi="Times New Roman" w:eastAsia="宋体"/>
                <w:color w:val="auto"/>
                <w:vertAlign w:val="subscript"/>
              </w:rPr>
              <w:t>3</w:t>
            </w:r>
            <w:r>
              <w:rPr>
                <w:rFonts w:hint="eastAsia" w:ascii="Times New Roman" w:hAnsi="Times New Roman" w:eastAsia="宋体"/>
                <w:color w:val="auto"/>
              </w:rPr>
              <w:t>-N</w:t>
            </w:r>
            <w:r>
              <w:rPr>
                <w:rFonts w:hint="eastAsia" w:ascii="Times New Roman" w:hAnsi="Times New Roman" w:eastAsia="宋体"/>
                <w:color w:val="auto"/>
                <w:lang w:eastAsia="zh-CN"/>
              </w:rPr>
              <w:t>0.</w:t>
            </w:r>
            <w:r>
              <w:rPr>
                <w:rFonts w:hint="eastAsia"/>
                <w:color w:val="auto"/>
                <w:lang w:val="en-US" w:eastAsia="zh-CN"/>
              </w:rPr>
              <w:t>192</w:t>
            </w:r>
            <w:r>
              <w:rPr>
                <w:rFonts w:hint="eastAsia" w:ascii="Times New Roman" w:hAnsi="Times New Roman" w:eastAsia="宋体"/>
                <w:color w:val="auto"/>
              </w:rPr>
              <w:t>t/a、TN</w:t>
            </w:r>
            <w:r>
              <w:rPr>
                <w:rFonts w:hint="eastAsia" w:ascii="Times New Roman" w:hAnsi="Times New Roman" w:eastAsia="宋体"/>
                <w:color w:val="auto"/>
                <w:lang w:eastAsia="zh-CN"/>
              </w:rPr>
              <w:t>0.</w:t>
            </w:r>
            <w:r>
              <w:rPr>
                <w:rFonts w:hint="eastAsia"/>
                <w:color w:val="auto"/>
                <w:lang w:val="en-US" w:eastAsia="zh-CN"/>
              </w:rPr>
              <w:t>945</w:t>
            </w:r>
            <w:r>
              <w:rPr>
                <w:rFonts w:hint="eastAsia" w:ascii="Times New Roman" w:hAnsi="Times New Roman" w:eastAsia="宋体"/>
                <w:color w:val="auto"/>
              </w:rPr>
              <w:t>t/a、TP</w:t>
            </w:r>
            <w:r>
              <w:rPr>
                <w:rFonts w:hint="eastAsia" w:ascii="Times New Roman" w:hAnsi="Times New Roman" w:eastAsia="宋体"/>
                <w:color w:val="auto"/>
                <w:lang w:eastAsia="zh-CN"/>
              </w:rPr>
              <w:t>0.0</w:t>
            </w:r>
            <w:r>
              <w:rPr>
                <w:rFonts w:hint="eastAsia"/>
                <w:color w:val="auto"/>
                <w:lang w:val="en-US" w:eastAsia="zh-CN"/>
              </w:rPr>
              <w:t>5</w:t>
            </w:r>
            <w:r>
              <w:rPr>
                <w:rFonts w:hint="eastAsia" w:ascii="Times New Roman" w:hAnsi="Times New Roman" w:eastAsia="宋体"/>
                <w:color w:val="auto"/>
              </w:rPr>
              <w:t>t/a。废水在涟水经济开发区西区污水处理厂内平衡。</w:t>
            </w:r>
          </w:p>
          <w:p w14:paraId="3947979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宋体" w:hAnsi="宋体" w:cs="宋体"/>
                <w:color w:val="auto"/>
                <w:kern w:val="0"/>
                <w:szCs w:val="21"/>
              </w:rPr>
            </w:pPr>
            <w:r>
              <w:rPr>
                <w:rFonts w:hint="eastAsia"/>
                <w:color w:val="auto"/>
                <w:sz w:val="24"/>
              </w:rPr>
              <w:t>固废：本项目的固体废物全部合理处置，可以实现零排放。</w:t>
            </w:r>
          </w:p>
        </w:tc>
      </w:tr>
    </w:tbl>
    <w:p w14:paraId="2830A1EA">
      <w:pPr>
        <w:pStyle w:val="14"/>
        <w:jc w:val="center"/>
        <w:outlineLvl w:val="0"/>
        <w:rPr>
          <w:rFonts w:ascii="黑体" w:hAnsi="黑体" w:eastAsia="黑体"/>
          <w:snapToGrid w:val="0"/>
          <w:color w:val="auto"/>
          <w:sz w:val="30"/>
          <w:szCs w:val="30"/>
        </w:rPr>
      </w:pPr>
      <w:r>
        <w:rPr>
          <w:rFonts w:ascii="黑体" w:hAnsi="黑体" w:eastAsia="黑体"/>
          <w:snapToGrid w:val="0"/>
          <w:color w:val="auto"/>
          <w:sz w:val="36"/>
          <w:szCs w:val="36"/>
        </w:rPr>
        <w:br w:type="page"/>
      </w:r>
      <w:r>
        <w:rPr>
          <w:rFonts w:hint="eastAsia" w:ascii="黑体" w:hAnsi="黑体" w:eastAsia="黑体"/>
          <w:snapToGrid w:val="0"/>
          <w:color w:val="auto"/>
          <w:sz w:val="30"/>
          <w:szCs w:val="30"/>
        </w:rPr>
        <w:t>四、主要环境影响和保护措施</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33844DBE">
        <w:trPr>
          <w:trHeight w:val="7349" w:hRule="atLeast"/>
          <w:jc w:val="center"/>
        </w:trPr>
        <w:tc>
          <w:tcPr>
            <w:tcW w:w="746" w:type="dxa"/>
            <w:noWrap w:val="0"/>
            <w:tcMar>
              <w:left w:w="28" w:type="dxa"/>
              <w:right w:w="28" w:type="dxa"/>
            </w:tcMar>
            <w:vAlign w:val="center"/>
          </w:tcPr>
          <w:p w14:paraId="083D32F8">
            <w:pPr>
              <w:pStyle w:val="14"/>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施工</w:t>
            </w:r>
          </w:p>
          <w:p w14:paraId="2553803A">
            <w:pPr>
              <w:pStyle w:val="14"/>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期环</w:t>
            </w:r>
          </w:p>
          <w:p w14:paraId="3AE7D622">
            <w:pPr>
              <w:pStyle w:val="14"/>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境保</w:t>
            </w:r>
          </w:p>
          <w:p w14:paraId="6288981F">
            <w:pPr>
              <w:pStyle w:val="14"/>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护措</w:t>
            </w:r>
          </w:p>
          <w:p w14:paraId="28DD5909">
            <w:pPr>
              <w:pStyle w:val="14"/>
              <w:adjustRightInd w:val="0"/>
              <w:snapToGrid w:val="0"/>
              <w:spacing w:before="0" w:beforeAutospacing="0" w:after="0" w:afterAutospacing="0"/>
              <w:jc w:val="center"/>
              <w:rPr>
                <w:rFonts w:hint="eastAsia" w:cs="宋体"/>
                <w:bCs/>
                <w:color w:val="auto"/>
                <w:kern w:val="2"/>
                <w:sz w:val="21"/>
                <w:szCs w:val="21"/>
              </w:rPr>
            </w:pPr>
            <w:r>
              <w:rPr>
                <w:rFonts w:hint="eastAsia" w:cs="宋体"/>
                <w:color w:val="auto"/>
                <w:kern w:val="2"/>
                <w:sz w:val="21"/>
                <w:szCs w:val="21"/>
              </w:rPr>
              <w:t>施</w:t>
            </w:r>
          </w:p>
        </w:tc>
        <w:tc>
          <w:tcPr>
            <w:tcW w:w="8162" w:type="dxa"/>
            <w:noWrap w:val="0"/>
            <w:vAlign w:val="center"/>
          </w:tcPr>
          <w:p w14:paraId="732B02AD">
            <w:pPr>
              <w:pStyle w:val="16"/>
              <w:spacing w:after="0" w:line="500" w:lineRule="exact"/>
              <w:ind w:left="0" w:leftChars="0" w:firstLine="480"/>
              <w:rPr>
                <w:rFonts w:hint="eastAsia"/>
                <w:color w:val="auto"/>
              </w:rPr>
            </w:pPr>
            <w:r>
              <w:rPr>
                <w:rFonts w:hint="eastAsia" w:ascii="Times New Roman" w:hAnsi="Times New Roman" w:eastAsia="宋体"/>
                <w:b w:val="0"/>
                <w:bCs/>
                <w:color w:val="auto"/>
                <w:sz w:val="24"/>
                <w:lang w:val="en-US" w:eastAsia="zh-CN"/>
              </w:rPr>
              <w:t>本项目选址于涟水县经济开发区</w:t>
            </w:r>
            <w:r>
              <w:rPr>
                <w:rFonts w:hint="eastAsia" w:ascii="Times New Roman" w:hAnsi="Times New Roman"/>
                <w:b w:val="0"/>
                <w:bCs/>
                <w:color w:val="auto"/>
                <w:sz w:val="24"/>
                <w:lang w:val="en-US" w:eastAsia="zh-CN"/>
              </w:rPr>
              <w:t>兴旺路28号（兴旺路北侧、高坚科技东侧）</w:t>
            </w:r>
            <w:r>
              <w:rPr>
                <w:rFonts w:hint="eastAsia" w:ascii="Times New Roman" w:hAnsi="Times New Roman" w:eastAsia="宋体"/>
                <w:b w:val="0"/>
                <w:bCs/>
                <w:color w:val="auto"/>
                <w:sz w:val="24"/>
                <w:lang w:val="en-US" w:eastAsia="zh-CN"/>
              </w:rPr>
              <w:t>，</w:t>
            </w:r>
            <w:r>
              <w:rPr>
                <w:rFonts w:hint="eastAsia" w:ascii="Times New Roman" w:hAnsi="Times New Roman"/>
                <w:b w:val="0"/>
                <w:bCs/>
                <w:color w:val="auto"/>
                <w:sz w:val="24"/>
                <w:lang w:val="en-US" w:eastAsia="zh-CN"/>
              </w:rPr>
              <w:t>新建生产厂房及辅助用房</w:t>
            </w:r>
            <w:r>
              <w:rPr>
                <w:rFonts w:hint="eastAsia" w:ascii="Times New Roman" w:hAnsi="Times New Roman" w:eastAsia="宋体"/>
                <w:b w:val="0"/>
                <w:bCs/>
                <w:color w:val="auto"/>
                <w:sz w:val="24"/>
                <w:lang w:val="en-US" w:eastAsia="zh-CN"/>
              </w:rPr>
              <w:t>进行</w:t>
            </w:r>
            <w:r>
              <w:rPr>
                <w:rFonts w:hint="eastAsia" w:ascii="Times New Roman" w:hAnsi="Times New Roman"/>
                <w:b w:val="0"/>
                <w:bCs/>
                <w:color w:val="auto"/>
                <w:sz w:val="24"/>
                <w:lang w:val="en-US" w:eastAsia="zh-CN"/>
              </w:rPr>
              <w:t>淮安挑战者饮料有限公司饮料生产项目（不含碳酸饮料和酒）</w:t>
            </w:r>
            <w:r>
              <w:rPr>
                <w:rFonts w:hint="eastAsia" w:ascii="Times New Roman" w:hAnsi="Times New Roman" w:eastAsia="宋体"/>
                <w:b w:val="0"/>
                <w:bCs/>
                <w:color w:val="auto"/>
                <w:sz w:val="24"/>
                <w:lang w:val="en-US" w:eastAsia="zh-CN"/>
              </w:rPr>
              <w:t>的建设</w:t>
            </w:r>
            <w:r>
              <w:rPr>
                <w:rFonts w:hint="eastAsia"/>
                <w:b w:val="0"/>
                <w:bCs/>
                <w:color w:val="auto"/>
                <w:sz w:val="24"/>
                <w:lang w:val="en-US" w:eastAsia="zh-CN"/>
              </w:rPr>
              <w:t>。</w:t>
            </w:r>
            <w:r>
              <w:rPr>
                <w:rFonts w:hint="eastAsia"/>
                <w:color w:val="auto"/>
              </w:rPr>
              <w:t>项目建设内容包括土建工程、设备安装、调试、试运转等工程。在建设期间，各项施工活动、运输将对项目所在地周围环境造成一定的破坏和影响，主要包括废气、粉尘、噪声、固体废物、废污水等污染因素对周围环境的影响。施工期的主要环境保护措施如下：</w:t>
            </w:r>
          </w:p>
          <w:p w14:paraId="4AD1A14B">
            <w:pPr>
              <w:pStyle w:val="16"/>
              <w:spacing w:after="0" w:line="500" w:lineRule="exact"/>
              <w:ind w:left="0" w:leftChars="0" w:firstLine="480"/>
              <w:rPr>
                <w:rFonts w:hint="eastAsia"/>
                <w:color w:val="auto"/>
              </w:rPr>
            </w:pPr>
            <w:r>
              <w:rPr>
                <w:rFonts w:hint="eastAsia"/>
                <w:color w:val="auto"/>
              </w:rPr>
              <w:t>（一）废气污染防治措施分析</w:t>
            </w:r>
          </w:p>
          <w:p w14:paraId="1F2960AE">
            <w:pPr>
              <w:pStyle w:val="16"/>
              <w:spacing w:after="0" w:line="500" w:lineRule="exact"/>
              <w:ind w:left="0" w:leftChars="0" w:firstLine="480"/>
              <w:rPr>
                <w:rFonts w:hint="eastAsia"/>
                <w:color w:val="auto"/>
              </w:rPr>
            </w:pPr>
            <w:r>
              <w:rPr>
                <w:rFonts w:hint="eastAsia"/>
                <w:color w:val="auto"/>
              </w:rPr>
              <w:t>施工期废气主要包括施工运输车辆产生的尾气、施工产生的粉尘、砂石水泥运输及装卸过程散发的粉尘</w:t>
            </w:r>
            <w:r>
              <w:rPr>
                <w:rFonts w:hint="eastAsia"/>
                <w:color w:val="auto"/>
                <w:lang w:val="en-US" w:eastAsia="zh-CN"/>
              </w:rPr>
              <w:t>、</w:t>
            </w:r>
            <w:r>
              <w:rPr>
                <w:rFonts w:hint="eastAsia"/>
                <w:color w:val="auto"/>
              </w:rPr>
              <w:t>施工场地扬尘</w:t>
            </w:r>
            <w:r>
              <w:rPr>
                <w:rFonts w:hint="eastAsia"/>
                <w:color w:val="auto"/>
                <w:lang w:val="en-US" w:eastAsia="zh-CN"/>
              </w:rPr>
              <w:t>以及房屋装修的有机废气</w:t>
            </w:r>
            <w:r>
              <w:rPr>
                <w:rFonts w:hint="eastAsia"/>
                <w:color w:val="auto"/>
              </w:rPr>
              <w:t>等。主要防治措施有：</w:t>
            </w:r>
          </w:p>
          <w:p w14:paraId="096E2B28">
            <w:pPr>
              <w:pStyle w:val="16"/>
              <w:spacing w:after="0" w:line="500" w:lineRule="exact"/>
              <w:ind w:left="0" w:leftChars="0" w:firstLine="480"/>
              <w:rPr>
                <w:rFonts w:hint="eastAsia"/>
                <w:color w:val="auto"/>
              </w:rPr>
            </w:pPr>
            <w:r>
              <w:rPr>
                <w:rFonts w:hint="eastAsia"/>
                <w:color w:val="auto"/>
              </w:rPr>
              <w:t>①合理安排施工现场，按照江苏省的相关规定，采用商品混凝土，以减少粉尘的产生与对周边环境敏感目标的影响。运输车辆应完好，装载不宜过满，并尽量采用遮盖密闭措施，以防物料抛洒泄漏。</w:t>
            </w:r>
          </w:p>
          <w:p w14:paraId="064DF31B">
            <w:pPr>
              <w:pStyle w:val="16"/>
              <w:spacing w:after="0" w:line="500" w:lineRule="exact"/>
              <w:ind w:left="0" w:leftChars="0" w:firstLine="480"/>
              <w:rPr>
                <w:rFonts w:hint="eastAsia"/>
                <w:color w:val="auto"/>
              </w:rPr>
            </w:pPr>
            <w:r>
              <w:rPr>
                <w:rFonts w:hint="eastAsia"/>
                <w:color w:val="auto"/>
              </w:rPr>
              <w:t>②在施工场地周边要有不低于2m高的</w:t>
            </w:r>
            <w:r>
              <w:rPr>
                <w:rFonts w:hint="eastAsia"/>
                <w:color w:val="auto"/>
                <w:lang w:eastAsia="zh-CN"/>
              </w:rPr>
              <w:t>围护</w:t>
            </w:r>
            <w:r>
              <w:rPr>
                <w:rFonts w:hint="eastAsia"/>
                <w:color w:val="auto"/>
              </w:rPr>
              <w:t>设施。施工现场应制定洒水降尘制度，配备洒水设备及指定专人负责施工现场洒水，</w:t>
            </w:r>
            <w:r>
              <w:rPr>
                <w:rFonts w:hint="eastAsia"/>
                <w:color w:val="auto"/>
                <w:lang w:eastAsia="zh-CN"/>
              </w:rPr>
              <w:t>在</w:t>
            </w:r>
            <w:r>
              <w:rPr>
                <w:rFonts w:hint="eastAsia"/>
                <w:color w:val="auto"/>
              </w:rPr>
              <w:t>易产生</w:t>
            </w:r>
            <w:r>
              <w:rPr>
                <w:rFonts w:hint="eastAsia"/>
                <w:color w:val="auto"/>
                <w:lang w:val="en-US" w:eastAsia="zh-CN"/>
              </w:rPr>
              <w:t>扬尘</w:t>
            </w:r>
            <w:r>
              <w:rPr>
                <w:rFonts w:hint="eastAsia"/>
                <w:color w:val="auto"/>
              </w:rPr>
              <w:t>的季节进行洒水降尘。</w:t>
            </w:r>
          </w:p>
          <w:p w14:paraId="42CB820A">
            <w:pPr>
              <w:pStyle w:val="16"/>
              <w:spacing w:after="0" w:line="500" w:lineRule="exact"/>
              <w:ind w:left="0" w:leftChars="0" w:firstLine="480"/>
              <w:rPr>
                <w:rFonts w:hint="eastAsia"/>
                <w:color w:val="auto"/>
              </w:rPr>
            </w:pPr>
            <w:r>
              <w:rPr>
                <w:rFonts w:hint="eastAsia"/>
                <w:color w:val="auto"/>
                <w:lang w:val="en-US" w:eastAsia="zh-CN"/>
              </w:rPr>
              <w:t>③</w:t>
            </w:r>
            <w:r>
              <w:rPr>
                <w:rFonts w:hint="eastAsia"/>
                <w:color w:val="auto"/>
              </w:rPr>
              <w:t>装修阶段主要污染因子为挥发性有机物。因此，在装修期间，应加强室内的通风换气。建设单位装修采用环保漆料、水性涂料和环保材料，减少有机废气产生量，并加强通风，有利于产生的有害物质扩散。</w:t>
            </w:r>
          </w:p>
          <w:p w14:paraId="6C153A27">
            <w:pPr>
              <w:pStyle w:val="16"/>
              <w:spacing w:after="0" w:line="500" w:lineRule="exact"/>
              <w:ind w:left="0" w:leftChars="0" w:firstLine="480"/>
              <w:rPr>
                <w:rFonts w:hint="eastAsia"/>
                <w:color w:val="auto"/>
              </w:rPr>
            </w:pPr>
            <w:r>
              <w:rPr>
                <w:rFonts w:hint="eastAsia"/>
                <w:color w:val="auto"/>
              </w:rPr>
              <w:t>施工扬尘对施工场地内大气环境质量的影响也会间接地影响项目附近区域的大气环境质量，但施工扬尘对大气环境质量的这些不利影响是偶然的、短暂的、局部的，也是施工中不可避免的，其将随施工的结束而消失。通过洒水抑尘、密闭施工、保持施工场地路面清洁等措施，预计施工产生的粉尘对周围环境影响不大。</w:t>
            </w:r>
          </w:p>
          <w:p w14:paraId="00FA275E">
            <w:pPr>
              <w:pStyle w:val="16"/>
              <w:spacing w:after="0" w:line="500" w:lineRule="exact"/>
              <w:ind w:left="0" w:leftChars="0" w:firstLine="480"/>
              <w:rPr>
                <w:rFonts w:hint="eastAsia"/>
                <w:color w:val="auto"/>
              </w:rPr>
            </w:pPr>
            <w:r>
              <w:rPr>
                <w:rFonts w:hint="eastAsia"/>
                <w:color w:val="auto"/>
              </w:rPr>
              <w:t>（二）废水污染防治措施分析</w:t>
            </w:r>
          </w:p>
          <w:p w14:paraId="30BF0733">
            <w:pPr>
              <w:pStyle w:val="16"/>
              <w:spacing w:after="0" w:line="500" w:lineRule="exact"/>
              <w:ind w:left="0" w:leftChars="0" w:firstLine="480"/>
              <w:rPr>
                <w:rFonts w:hint="eastAsia"/>
                <w:color w:val="auto"/>
              </w:rPr>
            </w:pPr>
            <w:r>
              <w:rPr>
                <w:rFonts w:hint="eastAsia"/>
                <w:color w:val="auto"/>
              </w:rPr>
              <w:t>施工期废水主要来自施工生产废水和生活污水。生产废水包括砂石</w:t>
            </w:r>
            <w:r>
              <w:rPr>
                <w:rFonts w:hint="eastAsia"/>
                <w:color w:val="auto"/>
                <w:lang w:eastAsia="zh-CN"/>
              </w:rPr>
              <w:t>冲洗</w:t>
            </w:r>
            <w:r>
              <w:rPr>
                <w:rFonts w:hint="eastAsia"/>
                <w:color w:val="auto"/>
              </w:rPr>
              <w:t>水、混凝土养护水、场地</w:t>
            </w:r>
            <w:r>
              <w:rPr>
                <w:rFonts w:hint="eastAsia"/>
                <w:color w:val="auto"/>
                <w:lang w:eastAsia="zh-CN"/>
              </w:rPr>
              <w:t>冲洗</w:t>
            </w:r>
            <w:r>
              <w:rPr>
                <w:rFonts w:hint="eastAsia"/>
                <w:color w:val="auto"/>
              </w:rPr>
              <w:t>水</w:t>
            </w:r>
            <w:r>
              <w:rPr>
                <w:rFonts w:hint="eastAsia"/>
                <w:color w:val="auto"/>
                <w:lang w:val="en-US" w:eastAsia="zh-CN"/>
              </w:rPr>
              <w:t>等</w:t>
            </w:r>
            <w:r>
              <w:rPr>
                <w:rFonts w:hint="eastAsia"/>
                <w:color w:val="auto"/>
              </w:rPr>
              <w:t>，以及一些施工设备的冷却水和洗涤用水等，这部分废水中含有一定量的油污和</w:t>
            </w:r>
            <w:r>
              <w:rPr>
                <w:rFonts w:hint="eastAsia"/>
                <w:color w:val="auto"/>
                <w:lang w:eastAsia="zh-CN"/>
              </w:rPr>
              <w:t>泥沙</w:t>
            </w:r>
            <w:r>
              <w:rPr>
                <w:rFonts w:hint="eastAsia"/>
                <w:color w:val="auto"/>
              </w:rPr>
              <w:t>。生活污水含有一定量的有机物和细菌。</w:t>
            </w:r>
          </w:p>
          <w:p w14:paraId="139D5480">
            <w:pPr>
              <w:pStyle w:val="16"/>
              <w:spacing w:after="0" w:line="500" w:lineRule="exact"/>
              <w:ind w:left="0" w:leftChars="0" w:firstLine="480"/>
              <w:rPr>
                <w:rFonts w:hint="eastAsia"/>
                <w:color w:val="auto"/>
              </w:rPr>
            </w:pPr>
            <w:r>
              <w:rPr>
                <w:rFonts w:hint="eastAsia"/>
                <w:color w:val="auto"/>
              </w:rPr>
              <w:t>上述废水水量不大，但如果不经处理或处理不当，同样会危害环境。所以，施工期废水不能随意直排。其防治措施主要有：</w:t>
            </w:r>
          </w:p>
          <w:p w14:paraId="495BDF43">
            <w:pPr>
              <w:pStyle w:val="16"/>
              <w:spacing w:after="0" w:line="500" w:lineRule="exact"/>
              <w:ind w:left="0" w:leftChars="0" w:firstLine="480"/>
              <w:rPr>
                <w:rFonts w:hint="eastAsia"/>
                <w:color w:val="auto"/>
                <w:lang w:eastAsia="zh-CN"/>
              </w:rPr>
            </w:pPr>
            <w:r>
              <w:rPr>
                <w:rFonts w:hint="eastAsia"/>
                <w:color w:val="auto"/>
                <w:lang w:val="en-US" w:eastAsia="zh-CN"/>
              </w:rPr>
              <w:t>①</w:t>
            </w:r>
            <w:r>
              <w:rPr>
                <w:rFonts w:hint="eastAsia"/>
                <w:color w:val="auto"/>
              </w:rPr>
              <w:t>在施工人员驻地设简易化粪池对生活污水进行预处理</w:t>
            </w:r>
            <w:r>
              <w:rPr>
                <w:rFonts w:hint="eastAsia"/>
                <w:color w:val="auto"/>
                <w:lang w:eastAsia="zh-CN"/>
              </w:rPr>
              <w:t>；</w:t>
            </w:r>
          </w:p>
          <w:p w14:paraId="533BDC97">
            <w:pPr>
              <w:pStyle w:val="16"/>
              <w:spacing w:after="0" w:line="500" w:lineRule="exact"/>
              <w:ind w:left="0" w:leftChars="0" w:firstLine="480"/>
              <w:rPr>
                <w:rFonts w:hint="eastAsia"/>
                <w:color w:val="auto"/>
              </w:rPr>
            </w:pPr>
            <w:r>
              <w:rPr>
                <w:rFonts w:hint="eastAsia"/>
                <w:color w:val="auto"/>
                <w:lang w:val="en-US" w:eastAsia="zh-CN"/>
              </w:rPr>
              <w:t>②</w:t>
            </w:r>
            <w:r>
              <w:rPr>
                <w:rFonts w:hint="eastAsia"/>
                <w:color w:val="auto"/>
              </w:rPr>
              <w:t>尽量减少物料流失、散落和溢流现象，减少废水产生量；</w:t>
            </w:r>
          </w:p>
          <w:p w14:paraId="1C04013B">
            <w:pPr>
              <w:pStyle w:val="16"/>
              <w:spacing w:after="0" w:line="500" w:lineRule="exact"/>
              <w:ind w:left="0" w:leftChars="0" w:firstLine="480"/>
              <w:rPr>
                <w:rFonts w:hint="eastAsia"/>
                <w:color w:val="auto"/>
              </w:rPr>
            </w:pPr>
            <w:r>
              <w:rPr>
                <w:rFonts w:hint="eastAsia"/>
                <w:color w:val="auto"/>
                <w:lang w:val="en-US" w:eastAsia="zh-CN"/>
              </w:rPr>
              <w:t>③</w:t>
            </w:r>
            <w:r>
              <w:rPr>
                <w:rFonts w:hint="eastAsia"/>
                <w:color w:val="auto"/>
              </w:rPr>
              <w:t>建造集水池、砂池、排水沟等水处理构筑物，对生产废水集中收集后回用；</w:t>
            </w:r>
          </w:p>
          <w:p w14:paraId="3D3C83D7">
            <w:pPr>
              <w:pStyle w:val="16"/>
              <w:spacing w:after="0" w:line="500" w:lineRule="exact"/>
              <w:ind w:left="0" w:leftChars="0" w:firstLine="480"/>
              <w:rPr>
                <w:rFonts w:hint="eastAsia"/>
                <w:color w:val="auto"/>
              </w:rPr>
            </w:pPr>
            <w:r>
              <w:rPr>
                <w:rFonts w:hint="eastAsia"/>
                <w:color w:val="auto"/>
                <w:lang w:val="en-US" w:eastAsia="zh-CN"/>
              </w:rPr>
              <w:t>④</w:t>
            </w:r>
            <w:r>
              <w:rPr>
                <w:rFonts w:hint="eastAsia"/>
                <w:color w:val="auto"/>
              </w:rPr>
              <w:t>水泥、</w:t>
            </w:r>
            <w:r>
              <w:rPr>
                <w:rFonts w:hint="eastAsia"/>
                <w:color w:val="auto"/>
                <w:lang w:eastAsia="zh-CN"/>
              </w:rPr>
              <w:t>黄沙</w:t>
            </w:r>
            <w:r>
              <w:rPr>
                <w:rFonts w:hint="eastAsia"/>
                <w:color w:val="auto"/>
              </w:rPr>
              <w:t>、石灰类的建筑材料需集中堆放，并采取一定的防雨措施，及时清扫施工运输过程中抛洒的上述建筑材料，以免这些物质被雨水冲刷带入污水处理装置内。</w:t>
            </w:r>
          </w:p>
          <w:p w14:paraId="0677D7D2">
            <w:pPr>
              <w:pStyle w:val="16"/>
              <w:spacing w:after="0" w:line="500" w:lineRule="exact"/>
              <w:ind w:left="0" w:leftChars="0" w:firstLine="480"/>
              <w:rPr>
                <w:rFonts w:hint="eastAsia"/>
                <w:color w:val="auto"/>
              </w:rPr>
            </w:pPr>
            <w:r>
              <w:rPr>
                <w:rFonts w:hint="eastAsia"/>
                <w:color w:val="auto"/>
              </w:rPr>
              <w:t>（三）噪声污染防治措施分析</w:t>
            </w:r>
          </w:p>
          <w:p w14:paraId="17D231D6">
            <w:pPr>
              <w:pStyle w:val="16"/>
              <w:spacing w:after="0" w:line="500" w:lineRule="exact"/>
              <w:ind w:left="0" w:leftChars="0" w:firstLine="480"/>
              <w:rPr>
                <w:rFonts w:hint="eastAsia"/>
                <w:color w:val="auto"/>
              </w:rPr>
            </w:pPr>
            <w:r>
              <w:rPr>
                <w:rFonts w:hint="eastAsia"/>
                <w:color w:val="auto"/>
              </w:rPr>
              <w:t>施工过程中的噪声源主要有各种运输车辆及施工机械等。通过采取距离衰减、施工过程设置掩蔽物等降噪措施，整体对敏感点噪声级影响较小。同时应加强对运输车辆的管理，车辆行驶应避开居民点，控制施工活动时间等措施进一步降低施工期噪声产生的影响。</w:t>
            </w:r>
          </w:p>
          <w:p w14:paraId="07E62900">
            <w:pPr>
              <w:pStyle w:val="16"/>
              <w:spacing w:after="0" w:line="500" w:lineRule="exact"/>
              <w:ind w:left="0" w:leftChars="0" w:firstLine="480"/>
              <w:rPr>
                <w:rFonts w:hint="eastAsia"/>
                <w:color w:val="auto"/>
              </w:rPr>
            </w:pPr>
            <w:r>
              <w:rPr>
                <w:rFonts w:hint="eastAsia"/>
                <w:color w:val="auto"/>
              </w:rPr>
              <w:t>（四）固体污染防治措施分析</w:t>
            </w:r>
          </w:p>
          <w:p w14:paraId="718CDE6C">
            <w:pPr>
              <w:pStyle w:val="16"/>
              <w:spacing w:after="0" w:line="500" w:lineRule="exact"/>
              <w:ind w:left="0" w:leftChars="0" w:firstLine="480"/>
              <w:rPr>
                <w:rFonts w:hint="eastAsia"/>
                <w:color w:val="auto"/>
              </w:rPr>
            </w:pPr>
            <w:r>
              <w:rPr>
                <w:rFonts w:hint="eastAsia"/>
                <w:color w:val="auto"/>
              </w:rPr>
              <w:t>施工垃圾主要来自施工所产生的建筑垃圾和施工队伍的生活垃圾。</w:t>
            </w:r>
          </w:p>
          <w:p w14:paraId="67A867CD">
            <w:pPr>
              <w:pStyle w:val="16"/>
              <w:spacing w:after="0" w:line="500" w:lineRule="exact"/>
              <w:ind w:left="0" w:leftChars="0" w:firstLine="480"/>
              <w:rPr>
                <w:rFonts w:hint="eastAsia"/>
                <w:color w:val="auto"/>
              </w:rPr>
            </w:pPr>
            <w:r>
              <w:rPr>
                <w:rFonts w:hint="eastAsia"/>
                <w:color w:val="auto"/>
              </w:rPr>
              <w:t>施工期间将</w:t>
            </w:r>
            <w:r>
              <w:rPr>
                <w:rFonts w:hint="eastAsia"/>
                <w:color w:val="auto"/>
                <w:lang w:eastAsia="zh-CN"/>
              </w:rPr>
              <w:t>涉及</w:t>
            </w:r>
            <w:r>
              <w:rPr>
                <w:rFonts w:hint="eastAsia"/>
                <w:color w:val="auto"/>
              </w:rPr>
              <w:t>材料运输、</w:t>
            </w:r>
            <w:r>
              <w:rPr>
                <w:rFonts w:hint="eastAsia"/>
                <w:color w:val="auto"/>
                <w:lang w:val="en-US" w:eastAsia="zh-CN"/>
              </w:rPr>
              <w:t>室内装修、</w:t>
            </w:r>
            <w:r>
              <w:rPr>
                <w:rFonts w:hint="eastAsia"/>
                <w:color w:val="auto"/>
              </w:rPr>
              <w:t>基础工程等工程，在此期间产生的废弃建筑材料如砂石、石灰、混凝土、废砖</w:t>
            </w:r>
            <w:r>
              <w:rPr>
                <w:rFonts w:hint="eastAsia"/>
                <w:color w:val="auto"/>
                <w:lang w:val="en-US" w:eastAsia="zh-CN"/>
              </w:rPr>
              <w:t>、</w:t>
            </w:r>
            <w:r>
              <w:rPr>
                <w:rFonts w:hint="eastAsia"/>
                <w:color w:val="auto"/>
              </w:rPr>
              <w:t>废油漆桶、废油漆、废涂料等。且施工人员工作和日常生活过程中将产生一定数量的生活垃圾。</w:t>
            </w:r>
          </w:p>
          <w:p w14:paraId="32D3ACF6">
            <w:pPr>
              <w:pStyle w:val="16"/>
              <w:spacing w:after="0" w:line="500" w:lineRule="exact"/>
              <w:ind w:left="0" w:leftChars="0" w:firstLine="480"/>
              <w:rPr>
                <w:rFonts w:hint="eastAsia"/>
                <w:color w:val="auto"/>
              </w:rPr>
            </w:pPr>
            <w:r>
              <w:rPr>
                <w:rFonts w:hint="eastAsia"/>
                <w:color w:val="auto"/>
              </w:rPr>
              <w:t>对施工现场要及时进行清理，建筑垃圾要及时清运、加以利用，防止其因长期堆放而产生扬尘。施工人员产生的生活垃圾，应采取定点收集的方式。在施工生活区设置垃圾桶，按时清运；施工场地内，也应设置一些分散的垃圾收集装置，并派专人定时打扫清理。施工场地的生活垃圾交由环卫部门统一进行处理。</w:t>
            </w:r>
          </w:p>
          <w:p w14:paraId="482EE466">
            <w:pPr>
              <w:pStyle w:val="16"/>
              <w:spacing w:after="0" w:line="500" w:lineRule="exact"/>
              <w:ind w:left="0" w:leftChars="0" w:firstLine="480"/>
              <w:rPr>
                <w:rFonts w:hint="eastAsia"/>
                <w:color w:val="auto"/>
              </w:rPr>
            </w:pPr>
            <w:r>
              <w:rPr>
                <w:rFonts w:hint="eastAsia"/>
                <w:color w:val="auto"/>
              </w:rPr>
              <w:t>本项目在施工过程中产生的废油漆桶、废油漆、废涂料等属于危险废物</w:t>
            </w:r>
            <w:r>
              <w:rPr>
                <w:rFonts w:hint="eastAsia"/>
                <w:color w:val="auto"/>
                <w:lang w:eastAsia="zh-CN"/>
              </w:rPr>
              <w:t>，</w:t>
            </w:r>
            <w:r>
              <w:rPr>
                <w:rFonts w:hint="eastAsia"/>
                <w:color w:val="auto"/>
              </w:rPr>
              <w:t>废油漆桶经集中收集后可由原供应商进行回收再利用，废油漆、废涂料等须由专人、专用容器进行收集，并定期送至</w:t>
            </w:r>
            <w:r>
              <w:rPr>
                <w:rFonts w:hint="eastAsia"/>
                <w:color w:val="auto"/>
                <w:lang w:val="en-US" w:eastAsia="zh-CN"/>
              </w:rPr>
              <w:t>有危废处置资质单位</w:t>
            </w:r>
            <w:r>
              <w:rPr>
                <w:rFonts w:hint="eastAsia"/>
                <w:color w:val="auto"/>
              </w:rPr>
              <w:t>处置。</w:t>
            </w:r>
          </w:p>
          <w:p w14:paraId="2F57F0C0">
            <w:pPr>
              <w:pStyle w:val="16"/>
              <w:spacing w:after="0" w:line="500" w:lineRule="exact"/>
              <w:ind w:left="0" w:leftChars="0" w:firstLine="480"/>
              <w:rPr>
                <w:rFonts w:hint="eastAsia"/>
                <w:color w:val="auto"/>
              </w:rPr>
            </w:pPr>
            <w:r>
              <w:rPr>
                <w:rFonts w:hint="eastAsia"/>
                <w:color w:val="auto"/>
              </w:rPr>
              <w:t>（五）风险防范措施可行性分析</w:t>
            </w:r>
          </w:p>
          <w:p w14:paraId="10B13C90">
            <w:pPr>
              <w:pStyle w:val="16"/>
              <w:spacing w:after="0" w:line="500" w:lineRule="exact"/>
              <w:ind w:left="0" w:leftChars="0" w:firstLine="480"/>
              <w:rPr>
                <w:rFonts w:hint="eastAsia"/>
                <w:color w:val="auto"/>
              </w:rPr>
            </w:pPr>
            <w:r>
              <w:rPr>
                <w:rFonts w:hint="eastAsia"/>
                <w:color w:val="auto"/>
              </w:rPr>
              <w:t>针对本项目可能发生的环境风险事故，提出以下风险防范措施：</w:t>
            </w:r>
          </w:p>
          <w:p w14:paraId="0E002EC0">
            <w:pPr>
              <w:pStyle w:val="16"/>
              <w:spacing w:after="0" w:line="500" w:lineRule="exact"/>
              <w:ind w:left="0" w:leftChars="0" w:firstLine="480"/>
              <w:rPr>
                <w:rFonts w:hint="eastAsia"/>
                <w:color w:val="auto"/>
              </w:rPr>
            </w:pPr>
            <w:r>
              <w:rPr>
                <w:rFonts w:hint="eastAsia"/>
                <w:color w:val="auto"/>
                <w:lang w:eastAsia="zh-CN"/>
              </w:rPr>
              <w:t>1.</w:t>
            </w:r>
            <w:r>
              <w:rPr>
                <w:rFonts w:hint="eastAsia"/>
                <w:color w:val="auto"/>
              </w:rPr>
              <w:t>施工工程风险防范措施</w:t>
            </w:r>
          </w:p>
          <w:p w14:paraId="71B03404">
            <w:pPr>
              <w:pStyle w:val="16"/>
              <w:spacing w:after="0" w:line="500" w:lineRule="exact"/>
              <w:ind w:left="0" w:leftChars="0" w:firstLine="480"/>
              <w:rPr>
                <w:rFonts w:hint="eastAsia"/>
                <w:color w:val="auto"/>
              </w:rPr>
            </w:pPr>
            <w:r>
              <w:rPr>
                <w:rFonts w:hint="eastAsia"/>
                <w:color w:val="auto"/>
              </w:rPr>
              <w:t>①做好安全防护工作，搬运物料轻装轻卸。</w:t>
            </w:r>
          </w:p>
          <w:p w14:paraId="210B76AE">
            <w:pPr>
              <w:pStyle w:val="16"/>
              <w:spacing w:after="0" w:line="500" w:lineRule="exact"/>
              <w:ind w:left="0" w:leftChars="0" w:firstLine="480"/>
              <w:rPr>
                <w:rFonts w:hint="eastAsia"/>
                <w:color w:val="auto"/>
              </w:rPr>
            </w:pPr>
            <w:r>
              <w:rPr>
                <w:rFonts w:hint="eastAsia"/>
                <w:color w:val="auto"/>
              </w:rPr>
              <w:t>②划定禁火区，在明显地点设有警示标志，输配电线、灯具、火灾事故照明和疏散指示标志均应符合安全要求；严禁未安装灭</w:t>
            </w:r>
            <w:r>
              <w:rPr>
                <w:rFonts w:hint="eastAsia"/>
                <w:color w:val="auto"/>
                <w:lang w:eastAsia="zh-CN"/>
              </w:rPr>
              <w:t>火</w:t>
            </w:r>
            <w:r>
              <w:rPr>
                <w:rFonts w:hint="eastAsia"/>
                <w:color w:val="auto"/>
              </w:rPr>
              <w:t>装置的车辆出入生产装置区。</w:t>
            </w:r>
          </w:p>
          <w:p w14:paraId="5A65ACA1">
            <w:pPr>
              <w:pStyle w:val="16"/>
              <w:spacing w:after="0" w:line="500" w:lineRule="exact"/>
              <w:ind w:left="0" w:leftChars="0" w:firstLine="480"/>
              <w:rPr>
                <w:rFonts w:hint="eastAsia"/>
                <w:color w:val="auto"/>
              </w:rPr>
            </w:pPr>
            <w:r>
              <w:rPr>
                <w:rFonts w:hint="eastAsia"/>
                <w:color w:val="auto"/>
              </w:rPr>
              <w:t>③合理规划运输路线及时间，加强特殊物品运输车辆的管理，避免运输过程事故的发生。</w:t>
            </w:r>
          </w:p>
          <w:p w14:paraId="716FE896">
            <w:pPr>
              <w:pStyle w:val="16"/>
              <w:spacing w:after="0" w:line="500" w:lineRule="exact"/>
              <w:ind w:left="0" w:leftChars="0" w:firstLine="480"/>
              <w:rPr>
                <w:rFonts w:hint="eastAsia"/>
                <w:color w:val="auto"/>
              </w:rPr>
            </w:pPr>
            <w:r>
              <w:rPr>
                <w:rFonts w:hint="eastAsia"/>
                <w:color w:val="auto"/>
                <w:lang w:eastAsia="zh-CN"/>
              </w:rPr>
              <w:t>2.</w:t>
            </w:r>
            <w:r>
              <w:rPr>
                <w:rFonts w:hint="eastAsia"/>
                <w:color w:val="auto"/>
              </w:rPr>
              <w:t>火灾、爆炸事故的抢救措施</w:t>
            </w:r>
          </w:p>
          <w:p w14:paraId="7BE5B42F">
            <w:pPr>
              <w:pStyle w:val="16"/>
              <w:spacing w:after="0" w:line="500" w:lineRule="exact"/>
              <w:ind w:left="0" w:leftChars="0" w:firstLine="480"/>
              <w:rPr>
                <w:rFonts w:hint="eastAsia"/>
                <w:b w:val="0"/>
                <w:bCs/>
                <w:color w:val="auto"/>
              </w:rPr>
            </w:pPr>
            <w:r>
              <w:rPr>
                <w:rFonts w:hint="eastAsia"/>
                <w:color w:val="auto"/>
              </w:rPr>
              <w:t>一旦发生火灾、爆炸事故，利用设置的火灾自动报警系统及电话向消防部门报警，同时采取设置的移动式消防器材及固定式消防设施进行灭火。一般建筑物火灾主要采用水灭火，利用消防栓、消防车、消防水枪并配合其他消防器材进行扑救。</w:t>
            </w:r>
          </w:p>
          <w:p w14:paraId="4D66202A">
            <w:pPr>
              <w:pStyle w:val="16"/>
              <w:ind w:left="0" w:leftChars="0" w:firstLine="0" w:firstLineChars="0"/>
              <w:rPr>
                <w:rFonts w:hint="eastAsia"/>
                <w:b w:val="0"/>
                <w:bCs/>
                <w:color w:val="auto"/>
              </w:rPr>
            </w:pPr>
          </w:p>
          <w:p w14:paraId="10F13445">
            <w:pPr>
              <w:pStyle w:val="17"/>
              <w:rPr>
                <w:rFonts w:hint="eastAsia"/>
                <w:b w:val="0"/>
                <w:bCs/>
                <w:color w:val="auto"/>
              </w:rPr>
            </w:pPr>
          </w:p>
          <w:p w14:paraId="63BBE397">
            <w:pPr>
              <w:pStyle w:val="16"/>
              <w:ind w:firstLine="480"/>
              <w:rPr>
                <w:rFonts w:hint="eastAsia"/>
                <w:b w:val="0"/>
                <w:bCs/>
                <w:color w:val="auto"/>
              </w:rPr>
            </w:pPr>
          </w:p>
          <w:p w14:paraId="4AE63E01">
            <w:pPr>
              <w:pStyle w:val="17"/>
              <w:rPr>
                <w:rFonts w:hint="eastAsia"/>
                <w:b w:val="0"/>
                <w:bCs/>
                <w:color w:val="auto"/>
              </w:rPr>
            </w:pPr>
          </w:p>
          <w:p w14:paraId="7BD9F35A">
            <w:pPr>
              <w:pStyle w:val="17"/>
              <w:ind w:left="0" w:leftChars="0" w:firstLine="0" w:firstLineChars="0"/>
              <w:rPr>
                <w:color w:val="auto"/>
              </w:rPr>
            </w:pPr>
          </w:p>
        </w:tc>
      </w:tr>
      <w:tr w14:paraId="0771AFEE">
        <w:trPr>
          <w:trHeight w:val="12850" w:hRule="atLeast"/>
          <w:jc w:val="center"/>
        </w:trPr>
        <w:tc>
          <w:tcPr>
            <w:tcW w:w="746" w:type="dxa"/>
            <w:noWrap w:val="0"/>
            <w:tcMar>
              <w:left w:w="28" w:type="dxa"/>
              <w:right w:w="28" w:type="dxa"/>
            </w:tcMar>
            <w:vAlign w:val="center"/>
          </w:tcPr>
          <w:p w14:paraId="332A8EAD">
            <w:pPr>
              <w:adjustRightInd w:val="0"/>
              <w:snapToGrid w:val="0"/>
              <w:jc w:val="center"/>
              <w:rPr>
                <w:rFonts w:hint="eastAsia" w:ascii="宋体" w:hAnsi="宋体" w:cs="宋体"/>
                <w:bCs/>
                <w:color w:val="auto"/>
                <w:szCs w:val="21"/>
              </w:rPr>
            </w:pPr>
            <w:r>
              <w:rPr>
                <w:rFonts w:hint="eastAsia" w:ascii="宋体" w:hAnsi="宋体" w:cs="宋体"/>
                <w:bCs/>
                <w:color w:val="auto"/>
                <w:szCs w:val="21"/>
              </w:rPr>
              <w:t>运营</w:t>
            </w:r>
          </w:p>
          <w:p w14:paraId="11254D47">
            <w:pPr>
              <w:adjustRightInd w:val="0"/>
              <w:snapToGrid w:val="0"/>
              <w:jc w:val="center"/>
              <w:rPr>
                <w:rFonts w:hint="eastAsia" w:ascii="宋体" w:hAnsi="宋体" w:cs="宋体"/>
                <w:bCs/>
                <w:color w:val="auto"/>
                <w:szCs w:val="21"/>
              </w:rPr>
            </w:pPr>
            <w:r>
              <w:rPr>
                <w:rFonts w:hint="eastAsia" w:ascii="宋体" w:hAnsi="宋体" w:cs="宋体"/>
                <w:bCs/>
                <w:color w:val="auto"/>
                <w:szCs w:val="21"/>
              </w:rPr>
              <w:t>期环</w:t>
            </w:r>
          </w:p>
          <w:p w14:paraId="435745CD">
            <w:pPr>
              <w:adjustRightInd w:val="0"/>
              <w:snapToGrid w:val="0"/>
              <w:jc w:val="center"/>
              <w:rPr>
                <w:rFonts w:hint="eastAsia" w:ascii="宋体" w:hAnsi="宋体" w:cs="宋体"/>
                <w:bCs/>
                <w:color w:val="auto"/>
                <w:szCs w:val="21"/>
              </w:rPr>
            </w:pPr>
            <w:r>
              <w:rPr>
                <w:rFonts w:hint="eastAsia" w:ascii="宋体" w:hAnsi="宋体" w:cs="宋体"/>
                <w:bCs/>
                <w:color w:val="auto"/>
                <w:szCs w:val="21"/>
              </w:rPr>
              <w:t>境影</w:t>
            </w:r>
          </w:p>
          <w:p w14:paraId="1183BF66">
            <w:pPr>
              <w:adjustRightInd w:val="0"/>
              <w:snapToGrid w:val="0"/>
              <w:jc w:val="center"/>
              <w:rPr>
                <w:rFonts w:hint="eastAsia" w:ascii="宋体" w:hAnsi="宋体" w:cs="宋体"/>
                <w:bCs/>
                <w:color w:val="auto"/>
                <w:szCs w:val="21"/>
              </w:rPr>
            </w:pPr>
            <w:r>
              <w:rPr>
                <w:rFonts w:hint="eastAsia" w:ascii="宋体" w:hAnsi="宋体" w:cs="宋体"/>
                <w:bCs/>
                <w:color w:val="auto"/>
                <w:szCs w:val="21"/>
              </w:rPr>
              <w:t>响和</w:t>
            </w:r>
          </w:p>
          <w:p w14:paraId="65417D5B">
            <w:pPr>
              <w:adjustRightInd w:val="0"/>
              <w:snapToGrid w:val="0"/>
              <w:jc w:val="center"/>
              <w:rPr>
                <w:rFonts w:hint="eastAsia" w:ascii="宋体" w:hAnsi="宋体" w:cs="宋体"/>
                <w:bCs/>
                <w:color w:val="auto"/>
                <w:szCs w:val="21"/>
              </w:rPr>
            </w:pPr>
            <w:r>
              <w:rPr>
                <w:rFonts w:hint="eastAsia" w:ascii="宋体" w:hAnsi="宋体" w:cs="宋体"/>
                <w:bCs/>
                <w:color w:val="auto"/>
                <w:szCs w:val="21"/>
              </w:rPr>
              <w:t>保护</w:t>
            </w:r>
          </w:p>
          <w:p w14:paraId="622A5B68">
            <w:pPr>
              <w:adjustRightInd w:val="0"/>
              <w:snapToGrid w:val="0"/>
              <w:jc w:val="center"/>
              <w:rPr>
                <w:rFonts w:ascii="宋体" w:hAnsi="宋体" w:cs="宋体"/>
                <w:bCs/>
                <w:color w:val="auto"/>
                <w:szCs w:val="21"/>
              </w:rPr>
            </w:pPr>
            <w:r>
              <w:rPr>
                <w:rFonts w:hint="eastAsia" w:ascii="宋体" w:hAnsi="宋体" w:cs="宋体"/>
                <w:bCs/>
                <w:color w:val="auto"/>
                <w:szCs w:val="21"/>
              </w:rPr>
              <w:t>措施</w:t>
            </w:r>
          </w:p>
        </w:tc>
        <w:tc>
          <w:tcPr>
            <w:tcW w:w="8162" w:type="dxa"/>
            <w:noWrap w:val="0"/>
            <w:vAlign w:val="center"/>
          </w:tcPr>
          <w:p w14:paraId="62BF3E44">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b/>
                <w:bCs/>
                <w:color w:val="auto"/>
                <w:sz w:val="24"/>
              </w:rPr>
            </w:pPr>
            <w:r>
              <w:rPr>
                <w:rFonts w:hint="eastAsia"/>
                <w:b/>
                <w:bCs/>
                <w:color w:val="auto"/>
                <w:sz w:val="24"/>
              </w:rPr>
              <w:t>一、废气</w:t>
            </w:r>
          </w:p>
          <w:p w14:paraId="49F97577">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color w:val="auto"/>
                <w:sz w:val="24"/>
              </w:rPr>
            </w:pPr>
            <w:r>
              <w:rPr>
                <w:rFonts w:hint="eastAsia"/>
                <w:color w:val="auto"/>
                <w:sz w:val="24"/>
                <w:lang w:val="en-US" w:eastAsia="zh-CN"/>
              </w:rPr>
              <w:t>本</w:t>
            </w:r>
            <w:r>
              <w:rPr>
                <w:rFonts w:hint="eastAsia"/>
                <w:color w:val="auto"/>
                <w:sz w:val="24"/>
              </w:rPr>
              <w:t>项目营运期产生的废气污染物主要是非甲烷总烃、乙酸雾（</w:t>
            </w:r>
            <w:r>
              <w:rPr>
                <w:rFonts w:hint="eastAsia"/>
                <w:color w:val="auto"/>
                <w:sz w:val="24"/>
                <w:lang w:val="en-US" w:eastAsia="zh-CN"/>
              </w:rPr>
              <w:t>以非甲烷总烃计</w:t>
            </w:r>
            <w:r>
              <w:rPr>
                <w:rFonts w:hint="eastAsia"/>
                <w:color w:val="auto"/>
                <w:sz w:val="24"/>
              </w:rPr>
              <w:t>）、油烟和污水处理站废气。具体分析如下。</w:t>
            </w:r>
          </w:p>
          <w:p w14:paraId="4E9ABAD3">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b w:val="0"/>
                <w:bCs w:val="0"/>
                <w:color w:val="auto"/>
                <w:sz w:val="24"/>
                <w:lang w:eastAsia="zh-CN"/>
              </w:rPr>
            </w:pPr>
            <w:r>
              <w:rPr>
                <w:rFonts w:hint="eastAsia"/>
                <w:b w:val="0"/>
                <w:bCs w:val="0"/>
                <w:color w:val="auto"/>
                <w:sz w:val="24"/>
                <w:lang w:eastAsia="zh-CN"/>
              </w:rPr>
              <w:t>1.</w:t>
            </w:r>
            <w:r>
              <w:rPr>
                <w:rFonts w:hint="eastAsia"/>
                <w:b w:val="0"/>
                <w:bCs w:val="0"/>
                <w:color w:val="auto"/>
                <w:sz w:val="24"/>
              </w:rPr>
              <w:t>废气污染源强分析</w:t>
            </w:r>
          </w:p>
          <w:p w14:paraId="29030F9A">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color w:val="auto"/>
                <w:sz w:val="24"/>
              </w:rPr>
            </w:pPr>
            <w:r>
              <w:rPr>
                <w:rFonts w:hint="eastAsia"/>
                <w:color w:val="auto"/>
                <w:sz w:val="24"/>
              </w:rPr>
              <w:t>（</w:t>
            </w:r>
            <w:r>
              <w:rPr>
                <w:rFonts w:hint="eastAsia"/>
                <w:color w:val="auto"/>
                <w:sz w:val="24"/>
                <w:lang w:val="en-US" w:eastAsia="zh-CN"/>
              </w:rPr>
              <w:t>1</w:t>
            </w:r>
            <w:r>
              <w:rPr>
                <w:rFonts w:hint="eastAsia"/>
                <w:color w:val="auto"/>
                <w:sz w:val="24"/>
              </w:rPr>
              <w:t>）消毒废气（乙酸雾</w:t>
            </w:r>
            <w:r>
              <w:rPr>
                <w:rFonts w:hint="eastAsia"/>
                <w:color w:val="auto"/>
                <w:sz w:val="24"/>
                <w:lang w:eastAsia="zh-CN"/>
              </w:rPr>
              <w:t>，</w:t>
            </w:r>
            <w:r>
              <w:rPr>
                <w:rFonts w:hint="eastAsia"/>
                <w:color w:val="auto"/>
                <w:sz w:val="24"/>
                <w:lang w:val="en-US" w:eastAsia="zh-CN"/>
              </w:rPr>
              <w:t>以非甲烷总烃计</w:t>
            </w:r>
            <w:r>
              <w:rPr>
                <w:rFonts w:hint="eastAsia"/>
                <w:color w:val="auto"/>
                <w:sz w:val="24"/>
              </w:rPr>
              <w:t>）</w:t>
            </w:r>
          </w:p>
          <w:p w14:paraId="2A3F6CF7">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color w:val="auto"/>
                <w:sz w:val="24"/>
              </w:rPr>
            </w:pPr>
            <w:r>
              <w:rPr>
                <w:rFonts w:hint="eastAsia"/>
                <w:color w:val="auto"/>
                <w:sz w:val="24"/>
              </w:rPr>
              <w:t>本项目瓶盖采用过氧乙酸消毒液进行消毒，根据过氧乙酸消毒液MSDS报告，消毒液成分为冰乙酸30</w:t>
            </w:r>
            <w:r>
              <w:rPr>
                <w:rFonts w:hint="eastAsia"/>
                <w:color w:val="auto"/>
                <w:sz w:val="24"/>
                <w:lang w:eastAsia="zh-CN"/>
              </w:rPr>
              <w:t>%～</w:t>
            </w:r>
            <w:r>
              <w:rPr>
                <w:rFonts w:hint="eastAsia"/>
                <w:color w:val="auto"/>
                <w:sz w:val="24"/>
              </w:rPr>
              <w:t>60%，过氧乙酸20.5</w:t>
            </w:r>
            <w:r>
              <w:rPr>
                <w:rFonts w:hint="eastAsia"/>
                <w:color w:val="auto"/>
                <w:sz w:val="24"/>
                <w:lang w:eastAsia="zh-CN"/>
              </w:rPr>
              <w:t>%～</w:t>
            </w:r>
            <w:r>
              <w:rPr>
                <w:rFonts w:hint="eastAsia"/>
                <w:color w:val="auto"/>
                <w:sz w:val="24"/>
              </w:rPr>
              <w:t>25.2%，双氧水10</w:t>
            </w:r>
            <w:r>
              <w:rPr>
                <w:rFonts w:hint="eastAsia"/>
                <w:color w:val="auto"/>
                <w:sz w:val="24"/>
                <w:lang w:eastAsia="zh-CN"/>
              </w:rPr>
              <w:t>%～</w:t>
            </w:r>
            <w:r>
              <w:rPr>
                <w:rFonts w:hint="eastAsia"/>
                <w:color w:val="auto"/>
                <w:sz w:val="24"/>
              </w:rPr>
              <w:t>30%，过氧乙酸使用过程分解为乙酸和氧气，双氧水使用过程分解为氧气和水，故消毒过程产生的废气主要为</w:t>
            </w:r>
            <w:r>
              <w:rPr>
                <w:rFonts w:hint="eastAsia"/>
                <w:color w:val="auto"/>
                <w:sz w:val="24"/>
                <w:lang w:val="en-US" w:eastAsia="zh-CN"/>
              </w:rPr>
              <w:t>乙酸雾，以非甲烷总烃计</w:t>
            </w:r>
            <w:r>
              <w:rPr>
                <w:rFonts w:hint="eastAsia"/>
                <w:color w:val="auto"/>
                <w:sz w:val="24"/>
              </w:rPr>
              <w:t>。</w:t>
            </w:r>
          </w:p>
          <w:p w14:paraId="061CB6E0">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color w:val="auto"/>
                <w:sz w:val="24"/>
              </w:rPr>
            </w:pPr>
            <w:r>
              <w:rPr>
                <w:rFonts w:hint="eastAsia"/>
                <w:color w:val="auto"/>
                <w:sz w:val="24"/>
              </w:rPr>
              <w:t>反应方程式：2CH</w:t>
            </w:r>
            <w:r>
              <w:rPr>
                <w:rFonts w:hint="eastAsia"/>
                <w:color w:val="auto"/>
                <w:sz w:val="24"/>
                <w:vertAlign w:val="subscript"/>
              </w:rPr>
              <w:t>3</w:t>
            </w:r>
            <w:r>
              <w:rPr>
                <w:rFonts w:hint="eastAsia"/>
                <w:color w:val="auto"/>
                <w:sz w:val="24"/>
              </w:rPr>
              <w:t>CO</w:t>
            </w:r>
            <w:r>
              <w:rPr>
                <w:rFonts w:hint="eastAsia"/>
                <w:color w:val="auto"/>
                <w:sz w:val="24"/>
                <w:vertAlign w:val="subscript"/>
              </w:rPr>
              <w:t>3</w:t>
            </w:r>
            <w:r>
              <w:rPr>
                <w:rFonts w:hint="eastAsia"/>
                <w:color w:val="auto"/>
                <w:sz w:val="24"/>
              </w:rPr>
              <w:t>H →2CH</w:t>
            </w:r>
            <w:r>
              <w:rPr>
                <w:rFonts w:hint="eastAsia"/>
                <w:color w:val="auto"/>
                <w:sz w:val="24"/>
                <w:vertAlign w:val="subscript"/>
              </w:rPr>
              <w:t>3</w:t>
            </w:r>
            <w:r>
              <w:rPr>
                <w:rFonts w:hint="eastAsia"/>
                <w:color w:val="auto"/>
                <w:sz w:val="24"/>
              </w:rPr>
              <w:t>COOH + O</w:t>
            </w:r>
            <w:r>
              <w:rPr>
                <w:rFonts w:hint="eastAsia"/>
                <w:color w:val="auto"/>
                <w:sz w:val="24"/>
                <w:vertAlign w:val="subscript"/>
              </w:rPr>
              <w:t>2</w:t>
            </w:r>
            <w:r>
              <w:rPr>
                <w:rFonts w:hint="eastAsia"/>
                <w:color w:val="auto"/>
                <w:sz w:val="24"/>
              </w:rPr>
              <w:t>↑</w:t>
            </w:r>
          </w:p>
          <w:p w14:paraId="3514B010">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1920" w:firstLineChars="800"/>
              <w:textAlignment w:val="auto"/>
              <w:rPr>
                <w:rFonts w:hint="eastAsia"/>
                <w:color w:val="auto"/>
                <w:sz w:val="24"/>
              </w:rPr>
            </w:pPr>
            <w:r>
              <w:rPr>
                <w:rFonts w:hint="eastAsia"/>
                <w:color w:val="auto"/>
                <w:sz w:val="24"/>
              </w:rPr>
              <w:t>2H</w:t>
            </w:r>
            <w:r>
              <w:rPr>
                <w:rFonts w:hint="eastAsia"/>
                <w:color w:val="auto"/>
                <w:sz w:val="24"/>
                <w:vertAlign w:val="subscript"/>
              </w:rPr>
              <w:t>2</w:t>
            </w:r>
            <w:r>
              <w:rPr>
                <w:rFonts w:hint="eastAsia"/>
                <w:color w:val="auto"/>
                <w:sz w:val="24"/>
              </w:rPr>
              <w:t>O</w:t>
            </w:r>
            <w:r>
              <w:rPr>
                <w:rFonts w:hint="eastAsia"/>
                <w:color w:val="auto"/>
                <w:sz w:val="24"/>
                <w:vertAlign w:val="subscript"/>
              </w:rPr>
              <w:t>2</w:t>
            </w:r>
            <w:r>
              <w:rPr>
                <w:rFonts w:hint="eastAsia"/>
                <w:color w:val="auto"/>
                <w:sz w:val="24"/>
              </w:rPr>
              <w:t>→2H</w:t>
            </w:r>
            <w:r>
              <w:rPr>
                <w:rFonts w:hint="eastAsia"/>
                <w:color w:val="auto"/>
                <w:sz w:val="24"/>
                <w:vertAlign w:val="subscript"/>
              </w:rPr>
              <w:t>2</w:t>
            </w:r>
            <w:r>
              <w:rPr>
                <w:rFonts w:hint="eastAsia"/>
                <w:color w:val="auto"/>
                <w:sz w:val="24"/>
              </w:rPr>
              <w:t>O+O</w:t>
            </w:r>
            <w:r>
              <w:rPr>
                <w:rFonts w:hint="eastAsia"/>
                <w:color w:val="auto"/>
                <w:sz w:val="24"/>
                <w:vertAlign w:val="subscript"/>
              </w:rPr>
              <w:t>2</w:t>
            </w:r>
            <w:r>
              <w:rPr>
                <w:rFonts w:hint="eastAsia"/>
                <w:color w:val="auto"/>
                <w:sz w:val="24"/>
              </w:rPr>
              <w:t>↑</w:t>
            </w:r>
          </w:p>
          <w:p w14:paraId="2585F16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lang w:eastAsia="zh-CN"/>
              </w:rPr>
            </w:pPr>
            <w:r>
              <w:rPr>
                <w:rFonts w:hint="eastAsia"/>
                <w:color w:val="auto"/>
                <w:sz w:val="24"/>
              </w:rPr>
              <w:t>消毒废气经密闭收集后通过碱喷淋处理后通过15m高排气筒</w:t>
            </w:r>
            <w:r>
              <w:rPr>
                <w:rFonts w:hint="eastAsia"/>
                <w:color w:val="auto"/>
                <w:sz w:val="24"/>
                <w:lang w:val="en-US" w:eastAsia="zh-CN"/>
              </w:rPr>
              <w:t>DA001</w:t>
            </w:r>
            <w:r>
              <w:rPr>
                <w:rFonts w:hint="eastAsia"/>
                <w:color w:val="auto"/>
                <w:sz w:val="24"/>
              </w:rPr>
              <w:t>排放</w:t>
            </w:r>
            <w:r>
              <w:rPr>
                <w:rFonts w:hint="eastAsia"/>
                <w:color w:val="auto"/>
                <w:sz w:val="24"/>
                <w:lang w:eastAsia="zh-CN"/>
              </w:rPr>
              <w:t>，</w:t>
            </w:r>
            <w:r>
              <w:rPr>
                <w:rFonts w:hint="eastAsia"/>
                <w:color w:val="auto"/>
                <w:sz w:val="24"/>
              </w:rPr>
              <w:t>本项目消毒液使用量为</w:t>
            </w:r>
            <w:r>
              <w:rPr>
                <w:rFonts w:hint="eastAsia"/>
                <w:color w:val="auto"/>
                <w:sz w:val="24"/>
                <w:lang w:val="en-US" w:eastAsia="zh-CN"/>
              </w:rPr>
              <w:t>4</w:t>
            </w:r>
            <w:r>
              <w:rPr>
                <w:rFonts w:hint="eastAsia"/>
                <w:color w:val="auto"/>
                <w:sz w:val="24"/>
              </w:rPr>
              <w:t>0t/a</w:t>
            </w:r>
            <w:r>
              <w:rPr>
                <w:rFonts w:hint="eastAsia"/>
                <w:color w:val="auto"/>
                <w:sz w:val="24"/>
                <w:lang w:eastAsia="zh-CN"/>
              </w:rPr>
              <w:t>（</w:t>
            </w:r>
            <w:r>
              <w:rPr>
                <w:rFonts w:hint="eastAsia"/>
                <w:color w:val="auto"/>
                <w:sz w:val="24"/>
                <w:lang w:val="en-US" w:eastAsia="zh-CN"/>
              </w:rPr>
              <w:t>本项目使用浓度为17%</w:t>
            </w:r>
            <w:r>
              <w:rPr>
                <w:rFonts w:hint="eastAsia"/>
                <w:color w:val="auto"/>
                <w:sz w:val="24"/>
                <w:lang w:eastAsia="zh-CN"/>
              </w:rPr>
              <w:t>）</w:t>
            </w:r>
            <w:r>
              <w:rPr>
                <w:rFonts w:hint="eastAsia"/>
                <w:color w:val="auto"/>
                <w:sz w:val="24"/>
              </w:rPr>
              <w:t>，</w:t>
            </w:r>
            <w:r>
              <w:rPr>
                <w:rFonts w:hint="eastAsia"/>
                <w:color w:val="auto"/>
                <w:sz w:val="24"/>
                <w:lang w:val="en-US" w:eastAsia="zh-CN"/>
              </w:rPr>
              <w:t>非甲烷总烃</w:t>
            </w:r>
            <w:r>
              <w:rPr>
                <w:rFonts w:hint="eastAsia"/>
                <w:color w:val="auto"/>
                <w:sz w:val="24"/>
              </w:rPr>
              <w:t>产生量为</w:t>
            </w:r>
            <w:r>
              <w:rPr>
                <w:rFonts w:hint="eastAsia"/>
                <w:color w:val="auto"/>
                <w:sz w:val="24"/>
                <w:lang w:val="en-US" w:eastAsia="zh-CN"/>
              </w:rPr>
              <w:t>5.794</w:t>
            </w:r>
            <w:r>
              <w:rPr>
                <w:rFonts w:hint="eastAsia"/>
                <w:color w:val="auto"/>
                <w:sz w:val="24"/>
              </w:rPr>
              <w:t>t/a，消毒线为全密闭过程，收集效率以</w:t>
            </w:r>
            <w:r>
              <w:rPr>
                <w:rFonts w:hint="eastAsia"/>
                <w:color w:val="auto"/>
                <w:sz w:val="24"/>
                <w:lang w:val="en-US" w:eastAsia="zh-CN"/>
              </w:rPr>
              <w:t>95</w:t>
            </w:r>
            <w:r>
              <w:rPr>
                <w:rFonts w:hint="eastAsia"/>
                <w:color w:val="auto"/>
                <w:sz w:val="24"/>
              </w:rPr>
              <w:t>%计，消毒废气</w:t>
            </w:r>
            <w:r>
              <w:rPr>
                <w:rFonts w:hint="eastAsia"/>
                <w:color w:val="auto"/>
                <w:sz w:val="24"/>
                <w:lang w:val="en-US" w:eastAsia="zh-CN"/>
              </w:rPr>
              <w:t>采用</w:t>
            </w:r>
            <w:r>
              <w:rPr>
                <w:rFonts w:hint="eastAsia"/>
                <w:color w:val="auto"/>
                <w:sz w:val="24"/>
              </w:rPr>
              <w:t>碱喷淋处理，处理效率取90%，配置风机风量为</w:t>
            </w:r>
            <w:r>
              <w:rPr>
                <w:rFonts w:hint="eastAsia"/>
                <w:color w:val="auto"/>
                <w:sz w:val="24"/>
                <w:lang w:val="en-US" w:eastAsia="zh-CN"/>
              </w:rPr>
              <w:t>15</w:t>
            </w:r>
            <w:r>
              <w:rPr>
                <w:rFonts w:hint="eastAsia"/>
                <w:color w:val="auto"/>
                <w:sz w:val="24"/>
              </w:rPr>
              <w:t>000m</w:t>
            </w:r>
            <w:r>
              <w:rPr>
                <w:rFonts w:hint="eastAsia"/>
                <w:color w:val="auto"/>
                <w:sz w:val="24"/>
                <w:vertAlign w:val="superscript"/>
              </w:rPr>
              <w:t>3</w:t>
            </w:r>
            <w:r>
              <w:rPr>
                <w:rFonts w:hint="eastAsia"/>
                <w:color w:val="auto"/>
                <w:sz w:val="24"/>
              </w:rPr>
              <w:t>/h</w:t>
            </w:r>
            <w:r>
              <w:rPr>
                <w:rFonts w:hint="eastAsia"/>
                <w:color w:val="auto"/>
                <w:sz w:val="24"/>
                <w:lang w:eastAsia="zh-CN"/>
              </w:rPr>
              <w:t>，</w:t>
            </w:r>
            <w:r>
              <w:rPr>
                <w:rFonts w:hint="eastAsia"/>
                <w:color w:val="auto"/>
                <w:sz w:val="24"/>
                <w:lang w:val="en-US" w:eastAsia="zh-CN"/>
              </w:rPr>
              <w:t>年运行6600h</w:t>
            </w:r>
            <w:r>
              <w:rPr>
                <w:rFonts w:hint="eastAsia"/>
                <w:color w:val="auto"/>
                <w:sz w:val="24"/>
              </w:rPr>
              <w:t>。则有组织</w:t>
            </w:r>
            <w:r>
              <w:rPr>
                <w:rFonts w:hint="eastAsia"/>
                <w:color w:val="auto"/>
                <w:sz w:val="24"/>
                <w:lang w:val="en-US" w:eastAsia="zh-CN"/>
              </w:rPr>
              <w:t>非甲烷总烃</w:t>
            </w:r>
            <w:r>
              <w:rPr>
                <w:rFonts w:hint="eastAsia"/>
                <w:color w:val="auto"/>
                <w:sz w:val="24"/>
              </w:rPr>
              <w:t>产生量为</w:t>
            </w:r>
            <w:r>
              <w:rPr>
                <w:rFonts w:hint="eastAsia"/>
                <w:color w:val="auto"/>
                <w:sz w:val="24"/>
                <w:lang w:val="en-US" w:eastAsia="zh-CN"/>
              </w:rPr>
              <w:t>5.504</w:t>
            </w:r>
            <w:r>
              <w:rPr>
                <w:rFonts w:hint="eastAsia"/>
                <w:color w:val="auto"/>
                <w:sz w:val="24"/>
              </w:rPr>
              <w:t>t/a</w:t>
            </w:r>
            <w:r>
              <w:rPr>
                <w:rFonts w:hint="eastAsia"/>
                <w:color w:val="auto"/>
                <w:sz w:val="24"/>
                <w:lang w:eastAsia="zh-CN"/>
              </w:rPr>
              <w:t>，</w:t>
            </w:r>
            <w:r>
              <w:rPr>
                <w:rFonts w:hint="eastAsia"/>
                <w:color w:val="auto"/>
                <w:sz w:val="24"/>
                <w:lang w:val="en-US" w:eastAsia="zh-CN"/>
              </w:rPr>
              <w:t>产生速率0.834kg/h，有组织非甲烷总烃排放量0.55t/a，排放速率0.083kg/h，无组织产生量0.29t/a，产生速率0.044kg/h</w:t>
            </w:r>
            <w:r>
              <w:rPr>
                <w:rFonts w:hint="eastAsia"/>
                <w:color w:val="auto"/>
                <w:sz w:val="24"/>
                <w:lang w:eastAsia="zh-CN"/>
              </w:rPr>
              <w:t>。</w:t>
            </w:r>
          </w:p>
          <w:p w14:paraId="446E01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sz w:val="24"/>
              </w:rPr>
            </w:pPr>
            <w:r>
              <w:rPr>
                <w:rFonts w:hint="eastAsia"/>
                <w:color w:val="auto"/>
                <w:sz w:val="24"/>
              </w:rPr>
              <w:t>（</w:t>
            </w:r>
            <w:r>
              <w:rPr>
                <w:rFonts w:hint="eastAsia"/>
                <w:color w:val="auto"/>
                <w:sz w:val="24"/>
                <w:lang w:val="en-US" w:eastAsia="zh-CN"/>
              </w:rPr>
              <w:t>2</w:t>
            </w:r>
            <w:r>
              <w:rPr>
                <w:rFonts w:hint="eastAsia"/>
                <w:color w:val="auto"/>
                <w:sz w:val="24"/>
              </w:rPr>
              <w:t>）吹瓶废气（非甲烷总烃）</w:t>
            </w:r>
          </w:p>
          <w:p w14:paraId="51C31F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sz w:val="24"/>
              </w:rPr>
            </w:pPr>
            <w:r>
              <w:rPr>
                <w:rFonts w:hint="eastAsia"/>
                <w:color w:val="auto"/>
                <w:sz w:val="24"/>
              </w:rPr>
              <w:t>本项目所用饮料瓶为外购PET</w:t>
            </w:r>
            <w:r>
              <w:rPr>
                <w:rFonts w:hint="eastAsia"/>
                <w:color w:val="auto"/>
                <w:sz w:val="24"/>
                <w:lang w:eastAsia="zh-CN"/>
              </w:rPr>
              <w:t>瓶胚</w:t>
            </w:r>
            <w:r>
              <w:rPr>
                <w:rFonts w:hint="eastAsia"/>
                <w:color w:val="auto"/>
                <w:sz w:val="24"/>
              </w:rPr>
              <w:t>在本厂内进行吹瓶，加热吹瓶过程中会产生非甲烷总烃，根据《排放源统计调查产排污核算方法和系数手册》中“292塑料制品行业系数手册”</w:t>
            </w:r>
            <w:r>
              <w:rPr>
                <w:rFonts w:hint="eastAsia"/>
                <w:color w:val="auto"/>
                <w:sz w:val="24"/>
                <w:lang w:val="en-US" w:eastAsia="zh-CN"/>
              </w:rPr>
              <w:t>中“2926塑料包装箱及容器制造行业系数表”中“配料－混合-挤出/注（吹）塑”</w:t>
            </w:r>
            <w:r>
              <w:rPr>
                <w:rFonts w:hint="eastAsia"/>
                <w:color w:val="auto"/>
                <w:sz w:val="24"/>
              </w:rPr>
              <w:t>废气污染源源强进行核算，产污系数为2.7千克/吨</w:t>
            </w:r>
            <w:r>
              <w:rPr>
                <w:rFonts w:hint="eastAsia"/>
                <w:color w:val="auto"/>
                <w:sz w:val="24"/>
                <w:lang w:eastAsia="zh-CN"/>
              </w:rPr>
              <w:t>－</w:t>
            </w:r>
            <w:r>
              <w:rPr>
                <w:rFonts w:hint="eastAsia"/>
                <w:color w:val="auto"/>
                <w:sz w:val="24"/>
              </w:rPr>
              <w:t>产品，本项目PET</w:t>
            </w:r>
            <w:r>
              <w:rPr>
                <w:rFonts w:hint="eastAsia"/>
                <w:color w:val="auto"/>
                <w:sz w:val="24"/>
                <w:lang w:eastAsia="zh-CN"/>
              </w:rPr>
              <w:t>瓶胚</w:t>
            </w:r>
            <w:r>
              <w:rPr>
                <w:rFonts w:hint="eastAsia"/>
                <w:color w:val="auto"/>
                <w:sz w:val="24"/>
              </w:rPr>
              <w:t>使用量约为</w:t>
            </w:r>
            <w:r>
              <w:rPr>
                <w:rFonts w:hint="eastAsia"/>
                <w:color w:val="auto"/>
                <w:sz w:val="24"/>
                <w:lang w:val="en-US" w:eastAsia="zh-CN"/>
              </w:rPr>
              <w:t>500</w:t>
            </w:r>
            <w:r>
              <w:rPr>
                <w:rFonts w:hint="eastAsia"/>
                <w:color w:val="auto"/>
                <w:sz w:val="24"/>
              </w:rPr>
              <w:t>t/a，</w:t>
            </w:r>
            <w:r>
              <w:rPr>
                <w:rFonts w:hint="eastAsia"/>
                <w:color w:val="auto"/>
                <w:sz w:val="24"/>
                <w:lang w:val="en-US" w:eastAsia="zh-CN"/>
              </w:rPr>
              <w:t>则</w:t>
            </w:r>
            <w:r>
              <w:rPr>
                <w:rFonts w:hint="eastAsia"/>
                <w:color w:val="auto"/>
                <w:sz w:val="24"/>
              </w:rPr>
              <w:t>吹瓶工序非甲烷总烃产生量为</w:t>
            </w:r>
            <w:r>
              <w:rPr>
                <w:rFonts w:hint="eastAsia"/>
                <w:color w:val="auto"/>
                <w:sz w:val="24"/>
                <w:lang w:val="en-US" w:eastAsia="zh-CN"/>
              </w:rPr>
              <w:t>1.35</w:t>
            </w:r>
            <w:r>
              <w:rPr>
                <w:rFonts w:hint="eastAsia"/>
                <w:color w:val="auto"/>
                <w:sz w:val="24"/>
              </w:rPr>
              <w:t>t/a。</w:t>
            </w:r>
          </w:p>
          <w:p w14:paraId="2D14E2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sz w:val="24"/>
                <w:szCs w:val="24"/>
                <w:lang w:val="en-US" w:eastAsia="zh-CN"/>
              </w:rPr>
            </w:pPr>
            <w:r>
              <w:rPr>
                <w:rFonts w:hint="eastAsia"/>
                <w:color w:val="auto"/>
                <w:sz w:val="24"/>
                <w:lang w:val="en-US" w:eastAsia="zh-CN"/>
              </w:rPr>
              <w:t>吹瓶</w:t>
            </w:r>
            <w:r>
              <w:rPr>
                <w:rFonts w:hint="eastAsia" w:ascii="Times New Roman" w:hAnsi="Times New Roman" w:eastAsia="宋体"/>
                <w:color w:val="auto"/>
                <w:sz w:val="24"/>
              </w:rPr>
              <w:t>废气经密闭收集后通过</w:t>
            </w:r>
            <w:r>
              <w:rPr>
                <w:rFonts w:hint="eastAsia"/>
                <w:color w:val="auto"/>
                <w:sz w:val="24"/>
                <w:lang w:val="en-US" w:eastAsia="zh-CN"/>
              </w:rPr>
              <w:t>二级活性炭吸附装置</w:t>
            </w:r>
            <w:r>
              <w:rPr>
                <w:rFonts w:hint="eastAsia" w:ascii="Times New Roman" w:hAnsi="Times New Roman" w:eastAsia="宋体"/>
                <w:color w:val="auto"/>
                <w:sz w:val="24"/>
              </w:rPr>
              <w:t>处理后通过15m高排气筒DA00</w:t>
            </w:r>
            <w:r>
              <w:rPr>
                <w:rFonts w:hint="eastAsia"/>
                <w:color w:val="auto"/>
                <w:sz w:val="24"/>
                <w:lang w:val="en-US" w:eastAsia="zh-CN"/>
              </w:rPr>
              <w:t>2</w:t>
            </w:r>
            <w:r>
              <w:rPr>
                <w:rFonts w:hint="eastAsia" w:ascii="Times New Roman" w:hAnsi="Times New Roman" w:eastAsia="宋体"/>
                <w:color w:val="auto"/>
                <w:sz w:val="24"/>
              </w:rPr>
              <w:t>排放</w:t>
            </w:r>
            <w:r>
              <w:rPr>
                <w:rFonts w:hint="eastAsia"/>
                <w:color w:val="auto"/>
                <w:sz w:val="24"/>
                <w:lang w:eastAsia="zh-CN"/>
              </w:rPr>
              <w:t>，</w:t>
            </w:r>
            <w:r>
              <w:rPr>
                <w:rFonts w:hint="eastAsia"/>
                <w:color w:val="auto"/>
                <w:sz w:val="24"/>
                <w:lang w:val="en-US" w:eastAsia="zh-CN"/>
              </w:rPr>
              <w:t>吹瓶</w:t>
            </w:r>
            <w:r>
              <w:rPr>
                <w:rFonts w:hint="eastAsia" w:ascii="Times New Roman" w:hAnsi="Times New Roman" w:eastAsia="宋体"/>
                <w:color w:val="auto"/>
                <w:sz w:val="24"/>
              </w:rPr>
              <w:t>工艺为全密闭，根据《关于指导大气污染治理项目入库工作的通知》粤环办〔2021〕92号中表</w:t>
            </w:r>
            <w:r>
              <w:rPr>
                <w:rFonts w:hint="eastAsia" w:ascii="Times New Roman" w:hAnsi="Times New Roman" w:eastAsia="宋体"/>
                <w:color w:val="auto"/>
                <w:sz w:val="24"/>
                <w:lang w:val="en-US" w:eastAsia="zh-CN"/>
              </w:rPr>
              <w:t>4.5</w:t>
            </w:r>
            <w:r>
              <w:rPr>
                <w:rFonts w:hint="eastAsia" w:ascii="Times New Roman" w:hAnsi="Times New Roman" w:eastAsia="宋体"/>
                <w:color w:val="auto"/>
                <w:sz w:val="24"/>
              </w:rPr>
              <w:t>-1</w:t>
            </w:r>
            <w:r>
              <w:rPr>
                <w:rFonts w:hint="eastAsia" w:ascii="Times New Roman" w:hAnsi="Times New Roman" w:eastAsia="宋体"/>
                <w:color w:val="auto"/>
                <w:sz w:val="24"/>
                <w:lang w:val="en-US" w:eastAsia="zh-CN"/>
              </w:rPr>
              <w:t>废气收集集气效率参考值</w:t>
            </w:r>
            <w:r>
              <w:rPr>
                <w:rFonts w:hint="eastAsia" w:ascii="Times New Roman" w:hAnsi="Times New Roman" w:eastAsia="宋体"/>
                <w:color w:val="auto"/>
                <w:sz w:val="24"/>
              </w:rPr>
              <w:t>，全密闭式负压排风捕集效率达到95%，本</w:t>
            </w:r>
            <w:r>
              <w:rPr>
                <w:rFonts w:hint="eastAsia" w:ascii="Times New Roman" w:hAnsi="Times New Roman" w:eastAsia="宋体"/>
                <w:color w:val="auto"/>
                <w:sz w:val="24"/>
                <w:lang w:val="en-US" w:eastAsia="zh-CN"/>
              </w:rPr>
              <w:t>项目</w:t>
            </w:r>
            <w:r>
              <w:rPr>
                <w:rFonts w:hint="eastAsia" w:ascii="Times New Roman" w:hAnsi="Times New Roman" w:eastAsia="宋体"/>
                <w:color w:val="auto"/>
                <w:sz w:val="24"/>
              </w:rPr>
              <w:t>收集效率按95%计，</w:t>
            </w:r>
            <w:r>
              <w:rPr>
                <w:rFonts w:hint="eastAsia" w:ascii="Times New Roman" w:hAnsi="Times New Roman" w:eastAsia="宋体"/>
                <w:color w:val="auto"/>
                <w:sz w:val="24"/>
                <w:lang w:val="en-US" w:eastAsia="zh-CN"/>
              </w:rPr>
              <w:t>吹瓶废气</w:t>
            </w:r>
            <w:r>
              <w:rPr>
                <w:rFonts w:hint="eastAsia" w:ascii="Times New Roman" w:hAnsi="Times New Roman" w:eastAsia="宋体"/>
                <w:color w:val="auto"/>
                <w:sz w:val="24"/>
              </w:rPr>
              <w:t>采用二级活性炭吸附处理</w:t>
            </w:r>
            <w:r>
              <w:rPr>
                <w:rFonts w:hint="eastAsia" w:ascii="Times New Roman" w:hAnsi="Times New Roman" w:eastAsia="宋体"/>
                <w:color w:val="auto"/>
                <w:sz w:val="24"/>
                <w:szCs w:val="24"/>
              </w:rPr>
              <w:t>。</w:t>
            </w:r>
            <w:r>
              <w:rPr>
                <w:rFonts w:hint="eastAsia" w:ascii="Times New Roman" w:hAnsi="Times New Roman" w:eastAsia="宋体"/>
                <w:color w:val="auto"/>
                <w:sz w:val="24"/>
                <w:szCs w:val="24"/>
                <w:lang w:val="en-US" w:eastAsia="zh-CN"/>
              </w:rPr>
              <w:t>二级活性炭吸附装置</w:t>
            </w:r>
            <w:r>
              <w:rPr>
                <w:rFonts w:hint="eastAsia" w:ascii="Times New Roman" w:hAnsi="Times New Roman" w:eastAsia="宋体"/>
                <w:color w:val="auto"/>
                <w:sz w:val="24"/>
              </w:rPr>
              <w:t>处理效率</w:t>
            </w:r>
            <w:r>
              <w:rPr>
                <w:rFonts w:hint="eastAsia" w:ascii="Times New Roman" w:hAnsi="Times New Roman" w:eastAsia="宋体"/>
                <w:color w:val="auto"/>
                <w:sz w:val="24"/>
                <w:lang w:val="en-US" w:eastAsia="zh-CN"/>
              </w:rPr>
              <w:t>取</w:t>
            </w:r>
            <w:r>
              <w:rPr>
                <w:rFonts w:hint="eastAsia" w:ascii="Times New Roman" w:hAnsi="Times New Roman" w:eastAsia="宋体"/>
                <w:color w:val="auto"/>
                <w:sz w:val="24"/>
              </w:rPr>
              <w:t>90%</w:t>
            </w:r>
            <w:r>
              <w:rPr>
                <w:rFonts w:hint="eastAsia" w:ascii="Times New Roman" w:hAnsi="Times New Roman" w:eastAsia="宋体"/>
                <w:color w:val="auto"/>
                <w:sz w:val="24"/>
                <w:lang w:eastAsia="zh-CN"/>
              </w:rPr>
              <w:t>，</w:t>
            </w:r>
            <w:r>
              <w:rPr>
                <w:rFonts w:hint="eastAsia" w:ascii="Times New Roman" w:hAnsi="Times New Roman" w:eastAsia="宋体"/>
                <w:color w:val="auto"/>
                <w:sz w:val="24"/>
                <w:lang w:val="en-US" w:eastAsia="zh-CN"/>
              </w:rPr>
              <w:t>配置风机风量为</w:t>
            </w:r>
            <w:r>
              <w:rPr>
                <w:rFonts w:hint="eastAsia"/>
                <w:color w:val="auto"/>
                <w:sz w:val="24"/>
                <w:lang w:val="en-US" w:eastAsia="zh-CN"/>
              </w:rPr>
              <w:t>5</w:t>
            </w:r>
            <w:r>
              <w:rPr>
                <w:rFonts w:hint="eastAsia" w:ascii="Times New Roman" w:hAnsi="Times New Roman" w:eastAsia="宋体"/>
                <w:color w:val="auto"/>
                <w:sz w:val="24"/>
                <w:lang w:val="en-US" w:eastAsia="zh-CN"/>
              </w:rPr>
              <w:t>000</w:t>
            </w:r>
            <w:r>
              <w:rPr>
                <w:rFonts w:hint="eastAsia" w:ascii="Times New Roman" w:hAnsi="Times New Roman" w:eastAsia="宋体"/>
                <w:color w:val="auto"/>
                <w:sz w:val="24"/>
              </w:rPr>
              <w:t>m</w:t>
            </w:r>
            <w:r>
              <w:rPr>
                <w:rFonts w:hint="eastAsia" w:ascii="Times New Roman" w:hAnsi="Times New Roman" w:eastAsia="宋体"/>
                <w:color w:val="auto"/>
                <w:sz w:val="24"/>
                <w:vertAlign w:val="superscript"/>
              </w:rPr>
              <w:t>3</w:t>
            </w:r>
            <w:r>
              <w:rPr>
                <w:rFonts w:hint="eastAsia" w:ascii="Times New Roman" w:hAnsi="Times New Roman" w:eastAsia="宋体"/>
                <w:color w:val="auto"/>
                <w:sz w:val="24"/>
              </w:rPr>
              <w:t>/h</w:t>
            </w:r>
            <w:r>
              <w:rPr>
                <w:rFonts w:hint="eastAsia" w:ascii="Times New Roman" w:hAnsi="Times New Roman" w:eastAsia="宋体"/>
                <w:color w:val="auto"/>
                <w:sz w:val="24"/>
                <w:lang w:eastAsia="zh-CN"/>
              </w:rPr>
              <w:t>，</w:t>
            </w:r>
            <w:r>
              <w:rPr>
                <w:rFonts w:hint="eastAsia" w:ascii="Times New Roman" w:hAnsi="Times New Roman" w:eastAsia="宋体"/>
                <w:color w:val="auto"/>
                <w:sz w:val="24"/>
              </w:rPr>
              <w:t>年运行</w:t>
            </w:r>
            <w:r>
              <w:rPr>
                <w:rFonts w:hint="eastAsia" w:ascii="Times New Roman" w:hAnsi="Times New Roman" w:eastAsia="宋体"/>
                <w:color w:val="auto"/>
                <w:sz w:val="24"/>
                <w:lang w:val="en-US" w:eastAsia="zh-CN"/>
              </w:rPr>
              <w:t>7920</w:t>
            </w:r>
            <w:r>
              <w:rPr>
                <w:rFonts w:hint="eastAsia" w:ascii="Times New Roman" w:hAnsi="Times New Roman" w:eastAsia="宋体"/>
                <w:color w:val="auto"/>
                <w:sz w:val="24"/>
              </w:rPr>
              <w:t>h。则有组织</w:t>
            </w:r>
            <w:r>
              <w:rPr>
                <w:rFonts w:hint="eastAsia" w:ascii="Times New Roman" w:hAnsi="Times New Roman" w:eastAsia="宋体"/>
                <w:color w:val="auto"/>
                <w:sz w:val="24"/>
                <w:lang w:eastAsia="zh-CN"/>
              </w:rPr>
              <w:t>非甲烷总烃</w:t>
            </w:r>
            <w:r>
              <w:rPr>
                <w:rFonts w:hint="eastAsia" w:ascii="Times New Roman" w:hAnsi="Times New Roman" w:eastAsia="宋体"/>
                <w:color w:val="auto"/>
                <w:sz w:val="24"/>
              </w:rPr>
              <w:t>产生量为</w:t>
            </w:r>
            <w:r>
              <w:rPr>
                <w:rFonts w:hint="eastAsia" w:ascii="Times New Roman" w:hAnsi="Times New Roman" w:eastAsia="宋体"/>
                <w:color w:val="auto"/>
                <w:sz w:val="24"/>
                <w:lang w:val="en-US" w:eastAsia="zh-CN"/>
              </w:rPr>
              <w:t>1.283</w:t>
            </w:r>
            <w:r>
              <w:rPr>
                <w:rFonts w:hint="eastAsia" w:ascii="Times New Roman" w:hAnsi="Times New Roman" w:eastAsia="宋体"/>
                <w:color w:val="auto"/>
                <w:sz w:val="24"/>
              </w:rPr>
              <w:t>t/a</w:t>
            </w:r>
            <w:r>
              <w:rPr>
                <w:rFonts w:hint="eastAsia" w:ascii="Times New Roman" w:hAnsi="Times New Roman" w:eastAsia="宋体"/>
                <w:color w:val="auto"/>
                <w:sz w:val="24"/>
                <w:lang w:eastAsia="zh-CN"/>
              </w:rPr>
              <w:t>，</w:t>
            </w:r>
            <w:r>
              <w:rPr>
                <w:rFonts w:hint="eastAsia" w:ascii="Times New Roman" w:hAnsi="Times New Roman" w:eastAsia="宋体"/>
                <w:color w:val="auto"/>
                <w:sz w:val="24"/>
              </w:rPr>
              <w:t>产生速率</w:t>
            </w:r>
            <w:r>
              <w:rPr>
                <w:rFonts w:hint="eastAsia" w:ascii="Times New Roman" w:hAnsi="Times New Roman" w:eastAsia="宋体"/>
                <w:color w:val="auto"/>
                <w:sz w:val="24"/>
                <w:lang w:val="en-US" w:eastAsia="zh-CN"/>
              </w:rPr>
              <w:t>为0.102</w:t>
            </w:r>
            <w:r>
              <w:rPr>
                <w:rFonts w:hint="eastAsia" w:ascii="Times New Roman" w:hAnsi="Times New Roman" w:eastAsia="宋体"/>
                <w:color w:val="auto"/>
                <w:sz w:val="24"/>
              </w:rPr>
              <w:t>kg/h</w:t>
            </w:r>
            <w:r>
              <w:rPr>
                <w:rFonts w:hint="eastAsia" w:ascii="Times New Roman" w:hAnsi="Times New Roman" w:eastAsia="宋体"/>
                <w:color w:val="auto"/>
                <w:sz w:val="24"/>
                <w:lang w:eastAsia="zh-CN"/>
              </w:rPr>
              <w:t>，</w:t>
            </w:r>
            <w:r>
              <w:rPr>
                <w:rFonts w:hint="eastAsia" w:ascii="Times New Roman" w:hAnsi="Times New Roman" w:eastAsia="宋体"/>
                <w:color w:val="auto"/>
                <w:sz w:val="24"/>
              </w:rPr>
              <w:t>有组织</w:t>
            </w:r>
            <w:r>
              <w:rPr>
                <w:rFonts w:hint="eastAsia" w:ascii="Times New Roman" w:hAnsi="Times New Roman" w:eastAsia="宋体"/>
                <w:color w:val="auto"/>
                <w:sz w:val="24"/>
                <w:lang w:eastAsia="zh-CN"/>
              </w:rPr>
              <w:t>非甲烷总烃</w:t>
            </w:r>
            <w:r>
              <w:rPr>
                <w:rFonts w:hint="eastAsia" w:ascii="Times New Roman" w:hAnsi="Times New Roman" w:eastAsia="宋体"/>
                <w:color w:val="auto"/>
                <w:sz w:val="24"/>
              </w:rPr>
              <w:t>排放量为</w:t>
            </w:r>
            <w:r>
              <w:rPr>
                <w:rFonts w:hint="eastAsia" w:ascii="Times New Roman" w:hAnsi="Times New Roman" w:eastAsia="宋体"/>
                <w:color w:val="auto"/>
                <w:sz w:val="24"/>
                <w:lang w:val="en-US" w:eastAsia="zh-CN"/>
              </w:rPr>
              <w:t>0.128t/a，排放速率为0.016kg/h；无组织非甲烷总烃排放量为0.068t/a，排放速率0.009kg/h。</w:t>
            </w:r>
          </w:p>
          <w:p w14:paraId="72900C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olor w:val="auto"/>
                <w:sz w:val="24"/>
              </w:rPr>
            </w:pPr>
            <w:r>
              <w:rPr>
                <w:rFonts w:hint="eastAsia" w:ascii="Times New Roman" w:hAnsi="Times New Roman" w:eastAsia="宋体"/>
                <w:color w:val="auto"/>
                <w:sz w:val="24"/>
              </w:rPr>
              <w:t>（</w:t>
            </w:r>
            <w:r>
              <w:rPr>
                <w:rFonts w:hint="eastAsia" w:ascii="Times New Roman" w:hAnsi="Times New Roman" w:eastAsia="宋体"/>
                <w:color w:val="auto"/>
                <w:sz w:val="24"/>
                <w:lang w:val="en-US" w:eastAsia="zh-CN"/>
              </w:rPr>
              <w:t>3</w:t>
            </w:r>
            <w:r>
              <w:rPr>
                <w:rFonts w:hint="eastAsia" w:ascii="Times New Roman" w:hAnsi="Times New Roman" w:eastAsia="宋体"/>
                <w:color w:val="auto"/>
                <w:sz w:val="24"/>
              </w:rPr>
              <w:t>）污水处理站废气</w:t>
            </w:r>
          </w:p>
          <w:p w14:paraId="4B8AC5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olor w:val="auto"/>
                <w:sz w:val="24"/>
              </w:rPr>
            </w:pPr>
            <w:r>
              <w:rPr>
                <w:rFonts w:hint="eastAsia" w:ascii="Times New Roman" w:hAnsi="Times New Roman" w:eastAsia="宋体" w:cs="宋体"/>
                <w:color w:val="auto"/>
                <w:sz w:val="24"/>
                <w:szCs w:val="24"/>
                <w:lang w:val="en-US" w:eastAsia="zh-CN"/>
              </w:rPr>
              <w:t>企业拟建设污水处理站，预计采用</w:t>
            </w:r>
            <w:r>
              <w:rPr>
                <w:rFonts w:ascii="Times New Roman" w:hAnsi="Times New Roman" w:eastAsia="宋体" w:cs="宋体"/>
                <w:color w:val="auto"/>
                <w:sz w:val="24"/>
                <w:szCs w:val="24"/>
              </w:rPr>
              <w:t>在污水处理站运行过程中，</w:t>
            </w:r>
            <w:r>
              <w:rPr>
                <w:rFonts w:hint="eastAsia" w:ascii="Times New Roman" w:hAnsi="Times New Roman" w:eastAsia="宋体"/>
                <w:color w:val="auto"/>
                <w:sz w:val="24"/>
              </w:rPr>
              <w:t>会产生恶臭气体</w:t>
            </w:r>
            <w:r>
              <w:rPr>
                <w:rFonts w:hint="eastAsia" w:ascii="Times New Roman" w:hAnsi="Times New Roman" w:eastAsia="宋体"/>
                <w:color w:val="auto"/>
                <w:sz w:val="24"/>
                <w:lang w:eastAsia="zh-CN"/>
              </w:rPr>
              <w:t>，</w:t>
            </w:r>
            <w:r>
              <w:rPr>
                <w:rFonts w:hint="eastAsia" w:ascii="Times New Roman" w:hAnsi="Times New Roman" w:eastAsia="宋体"/>
                <w:color w:val="auto"/>
                <w:sz w:val="24"/>
                <w:lang w:val="en-US" w:eastAsia="zh-CN"/>
              </w:rPr>
              <w:t>主要成分为</w:t>
            </w:r>
            <w:r>
              <w:rPr>
                <w:rFonts w:hint="eastAsia" w:ascii="Times New Roman" w:hAnsi="Times New Roman" w:eastAsia="宋体"/>
                <w:color w:val="auto"/>
                <w:sz w:val="24"/>
              </w:rPr>
              <w:t>NH</w:t>
            </w:r>
            <w:r>
              <w:rPr>
                <w:rFonts w:hint="eastAsia" w:ascii="Times New Roman" w:hAnsi="Times New Roman" w:eastAsia="宋体"/>
                <w:color w:val="auto"/>
                <w:sz w:val="24"/>
                <w:vertAlign w:val="subscript"/>
              </w:rPr>
              <w:t>3</w:t>
            </w:r>
            <w:r>
              <w:rPr>
                <w:rFonts w:hint="eastAsia" w:ascii="Times New Roman" w:hAnsi="Times New Roman" w:eastAsia="宋体"/>
                <w:color w:val="auto"/>
                <w:sz w:val="24"/>
              </w:rPr>
              <w:t xml:space="preserve"> 和H</w:t>
            </w:r>
            <w:r>
              <w:rPr>
                <w:rFonts w:hint="eastAsia" w:ascii="Times New Roman" w:hAnsi="Times New Roman" w:eastAsia="宋体"/>
                <w:color w:val="auto"/>
                <w:sz w:val="24"/>
                <w:vertAlign w:val="subscript"/>
              </w:rPr>
              <w:t>2</w:t>
            </w:r>
            <w:r>
              <w:rPr>
                <w:rFonts w:hint="eastAsia" w:ascii="Times New Roman" w:hAnsi="Times New Roman" w:eastAsia="宋体"/>
                <w:color w:val="auto"/>
                <w:sz w:val="24"/>
              </w:rPr>
              <w:t>S，</w:t>
            </w:r>
            <w:r>
              <w:rPr>
                <w:rFonts w:hint="eastAsia" w:ascii="Times New Roman" w:hAnsi="Times New Roman" w:eastAsia="宋体"/>
                <w:color w:val="auto"/>
                <w:sz w:val="24"/>
                <w:lang w:val="en-US" w:eastAsia="zh-CN"/>
              </w:rPr>
              <w:t>主要发生源是调节池、污泥池等。污水处理站的恶臭逸出大小，受污水量、BOD</w:t>
            </w:r>
            <w:r>
              <w:rPr>
                <w:rFonts w:hint="eastAsia" w:ascii="Times New Roman" w:hAnsi="Times New Roman" w:eastAsia="宋体"/>
                <w:color w:val="auto"/>
                <w:sz w:val="24"/>
                <w:vertAlign w:val="subscript"/>
                <w:lang w:val="en-US" w:eastAsia="zh-CN"/>
              </w:rPr>
              <w:t>5</w:t>
            </w:r>
            <w:r>
              <w:rPr>
                <w:rFonts w:hint="eastAsia" w:ascii="Times New Roman" w:hAnsi="Times New Roman" w:eastAsia="宋体"/>
                <w:color w:val="auto"/>
                <w:sz w:val="24"/>
                <w:lang w:val="en-US" w:eastAsia="zh-CN"/>
              </w:rPr>
              <w:t>负荷、污泥量及堆存量、污染气象特征等多种因素影响</w:t>
            </w:r>
            <w:r>
              <w:rPr>
                <w:rFonts w:hint="eastAsia" w:ascii="Times New Roman" w:hAnsi="Times New Roman" w:eastAsia="宋体"/>
                <w:color w:val="auto"/>
                <w:sz w:val="24"/>
              </w:rPr>
              <w:t>。</w:t>
            </w:r>
          </w:p>
          <w:p w14:paraId="7E8178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olor w:val="auto"/>
                <w:sz w:val="24"/>
              </w:rPr>
            </w:pPr>
            <w:r>
              <w:rPr>
                <w:rFonts w:hint="eastAsia" w:ascii="Times New Roman" w:hAnsi="Times New Roman" w:eastAsia="宋体"/>
                <w:color w:val="auto"/>
                <w:sz w:val="24"/>
              </w:rPr>
              <w:t>根据美国EPA对城市污水处理厂恶臭污染物产生情况的研究：每处理1gBOD</w:t>
            </w:r>
            <w:r>
              <w:rPr>
                <w:rFonts w:hint="eastAsia" w:ascii="Times New Roman" w:hAnsi="Times New Roman" w:eastAsia="宋体"/>
                <w:color w:val="auto"/>
                <w:sz w:val="24"/>
                <w:vertAlign w:val="subscript"/>
              </w:rPr>
              <w:t>5</w:t>
            </w:r>
            <w:r>
              <w:rPr>
                <w:rFonts w:hint="eastAsia" w:ascii="Times New Roman" w:hAnsi="Times New Roman" w:eastAsia="宋体"/>
                <w:color w:val="auto"/>
                <w:sz w:val="24"/>
              </w:rPr>
              <w:t>可产生0.0031g的NH</w:t>
            </w:r>
            <w:r>
              <w:rPr>
                <w:rFonts w:hint="eastAsia" w:ascii="Times New Roman" w:hAnsi="Times New Roman" w:eastAsia="宋体"/>
                <w:color w:val="auto"/>
                <w:sz w:val="24"/>
                <w:vertAlign w:val="subscript"/>
              </w:rPr>
              <w:t>3</w:t>
            </w:r>
            <w:r>
              <w:rPr>
                <w:rFonts w:hint="eastAsia" w:ascii="Times New Roman" w:hAnsi="Times New Roman" w:eastAsia="宋体"/>
                <w:color w:val="auto"/>
                <w:sz w:val="24"/>
              </w:rPr>
              <w:t>和0.00012g的H</w:t>
            </w:r>
            <w:r>
              <w:rPr>
                <w:rFonts w:hint="eastAsia" w:ascii="Times New Roman" w:hAnsi="Times New Roman" w:eastAsia="宋体"/>
                <w:color w:val="auto"/>
                <w:sz w:val="24"/>
                <w:vertAlign w:val="subscript"/>
              </w:rPr>
              <w:t>2</w:t>
            </w:r>
            <w:r>
              <w:rPr>
                <w:rFonts w:hint="eastAsia" w:ascii="Times New Roman" w:hAnsi="Times New Roman" w:eastAsia="宋体"/>
                <w:color w:val="auto"/>
                <w:sz w:val="24"/>
              </w:rPr>
              <w:t>S。</w:t>
            </w:r>
          </w:p>
          <w:p w14:paraId="46CE90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olor w:val="auto"/>
                <w:sz w:val="24"/>
              </w:rPr>
            </w:pPr>
            <w:r>
              <w:rPr>
                <w:rFonts w:hint="eastAsia" w:ascii="Times New Roman" w:hAnsi="Times New Roman" w:eastAsia="宋体"/>
                <w:color w:val="auto"/>
                <w:sz w:val="24"/>
              </w:rPr>
              <w:t>项目废水处理过程中BOD</w:t>
            </w:r>
            <w:r>
              <w:rPr>
                <w:rFonts w:hint="eastAsia" w:ascii="Times New Roman" w:hAnsi="Times New Roman" w:eastAsia="宋体"/>
                <w:color w:val="auto"/>
                <w:sz w:val="24"/>
                <w:vertAlign w:val="subscript"/>
              </w:rPr>
              <w:t>5</w:t>
            </w:r>
            <w:r>
              <w:rPr>
                <w:rFonts w:hint="eastAsia" w:ascii="Times New Roman" w:hAnsi="Times New Roman" w:eastAsia="宋体"/>
                <w:color w:val="auto"/>
                <w:sz w:val="24"/>
              </w:rPr>
              <w:t>去除量为</w:t>
            </w:r>
            <w:r>
              <w:rPr>
                <w:rFonts w:hint="eastAsia"/>
                <w:color w:val="auto"/>
                <w:sz w:val="24"/>
                <w:lang w:val="en-US" w:eastAsia="zh-CN"/>
              </w:rPr>
              <w:t>11.601</w:t>
            </w:r>
            <w:r>
              <w:rPr>
                <w:rFonts w:hint="eastAsia" w:ascii="Times New Roman" w:hAnsi="Times New Roman" w:eastAsia="宋体"/>
                <w:color w:val="auto"/>
                <w:sz w:val="24"/>
              </w:rPr>
              <w:t>t/a，据此估算NH</w:t>
            </w:r>
            <w:r>
              <w:rPr>
                <w:rFonts w:hint="eastAsia" w:ascii="Times New Roman" w:hAnsi="Times New Roman" w:eastAsia="宋体"/>
                <w:color w:val="auto"/>
                <w:sz w:val="24"/>
                <w:vertAlign w:val="subscript"/>
              </w:rPr>
              <w:t>3</w:t>
            </w:r>
            <w:r>
              <w:rPr>
                <w:rFonts w:hint="eastAsia" w:ascii="Times New Roman" w:hAnsi="Times New Roman" w:eastAsia="宋体"/>
                <w:color w:val="auto"/>
                <w:sz w:val="24"/>
              </w:rPr>
              <w:t>和H</w:t>
            </w:r>
            <w:r>
              <w:rPr>
                <w:rFonts w:hint="eastAsia" w:ascii="Times New Roman" w:hAnsi="Times New Roman" w:eastAsia="宋体"/>
                <w:color w:val="auto"/>
                <w:sz w:val="24"/>
                <w:vertAlign w:val="subscript"/>
              </w:rPr>
              <w:t>2</w:t>
            </w:r>
            <w:r>
              <w:rPr>
                <w:rFonts w:hint="eastAsia" w:ascii="Times New Roman" w:hAnsi="Times New Roman" w:eastAsia="宋体"/>
                <w:color w:val="auto"/>
                <w:sz w:val="24"/>
              </w:rPr>
              <w:t>S产生量分别为</w:t>
            </w:r>
            <w:r>
              <w:rPr>
                <w:rFonts w:hint="eastAsia" w:ascii="Times New Roman" w:hAnsi="Times New Roman" w:eastAsia="宋体"/>
                <w:color w:val="auto"/>
                <w:sz w:val="24"/>
                <w:lang w:val="en-US" w:eastAsia="zh-CN"/>
              </w:rPr>
              <w:t>0.0</w:t>
            </w:r>
            <w:r>
              <w:rPr>
                <w:rFonts w:hint="eastAsia"/>
                <w:color w:val="auto"/>
                <w:sz w:val="24"/>
                <w:lang w:val="en-US" w:eastAsia="zh-CN"/>
              </w:rPr>
              <w:t>36</w:t>
            </w:r>
            <w:r>
              <w:rPr>
                <w:rFonts w:hint="eastAsia" w:ascii="Times New Roman" w:hAnsi="Times New Roman" w:eastAsia="宋体"/>
                <w:color w:val="auto"/>
                <w:sz w:val="24"/>
              </w:rPr>
              <w:t>t/a和0.00</w:t>
            </w:r>
            <w:r>
              <w:rPr>
                <w:rFonts w:hint="eastAsia"/>
                <w:color w:val="auto"/>
                <w:sz w:val="24"/>
                <w:lang w:val="en-US" w:eastAsia="zh-CN"/>
              </w:rPr>
              <w:t>14</w:t>
            </w:r>
            <w:r>
              <w:rPr>
                <w:rFonts w:hint="eastAsia" w:ascii="Times New Roman" w:hAnsi="Times New Roman" w:eastAsia="宋体"/>
                <w:color w:val="auto"/>
                <w:sz w:val="24"/>
              </w:rPr>
              <w:t>t/a，废气产生量较小，以无组织形式排放。</w:t>
            </w:r>
            <w:r>
              <w:rPr>
                <w:rFonts w:hint="eastAsia" w:ascii="Times New Roman" w:hAnsi="Times New Roman" w:eastAsia="宋体"/>
                <w:color w:val="auto"/>
                <w:sz w:val="24"/>
                <w:lang w:val="en-US" w:eastAsia="zh-CN"/>
              </w:rPr>
              <w:t>建设单位拟对调节池、厌氧池、污泥池等加盖密闭、污泥暂存间等整体密闭</w:t>
            </w:r>
            <w:r>
              <w:rPr>
                <w:rFonts w:hint="eastAsia" w:ascii="Times New Roman" w:hAnsi="Times New Roman" w:eastAsia="宋体"/>
                <w:color w:val="auto"/>
                <w:sz w:val="24"/>
                <w:lang w:eastAsia="zh-CN"/>
              </w:rPr>
              <w:t>，</w:t>
            </w:r>
            <w:r>
              <w:rPr>
                <w:rFonts w:hint="eastAsia" w:ascii="Times New Roman" w:hAnsi="Times New Roman" w:eastAsia="宋体"/>
                <w:color w:val="auto"/>
                <w:sz w:val="24"/>
                <w:lang w:val="en-US" w:eastAsia="zh-CN"/>
              </w:rPr>
              <w:t>定期喷洒除臭剂，加强</w:t>
            </w:r>
            <w:r>
              <w:rPr>
                <w:rFonts w:hint="eastAsia" w:ascii="Times New Roman" w:hAnsi="Times New Roman" w:eastAsia="宋体"/>
                <w:color w:val="auto"/>
                <w:sz w:val="24"/>
              </w:rPr>
              <w:t>周边绿化</w:t>
            </w:r>
            <w:r>
              <w:rPr>
                <w:rFonts w:hint="eastAsia" w:ascii="Times New Roman" w:hAnsi="Times New Roman" w:eastAsia="宋体"/>
                <w:color w:val="auto"/>
                <w:sz w:val="24"/>
                <w:lang w:eastAsia="zh-CN"/>
              </w:rPr>
              <w:t>，</w:t>
            </w:r>
            <w:r>
              <w:rPr>
                <w:rFonts w:hint="eastAsia" w:ascii="Times New Roman" w:hAnsi="Times New Roman" w:eastAsia="宋体"/>
                <w:color w:val="auto"/>
                <w:sz w:val="24"/>
                <w:lang w:val="en-US" w:eastAsia="zh-CN"/>
              </w:rPr>
              <w:t>种植吸附性强的植物，同时加强污水处理站的运行操作管理，污泥要及时外运</w:t>
            </w:r>
            <w:r>
              <w:rPr>
                <w:rFonts w:hint="eastAsia" w:ascii="Times New Roman" w:hAnsi="Times New Roman" w:eastAsia="宋体"/>
                <w:color w:val="auto"/>
                <w:sz w:val="24"/>
              </w:rPr>
              <w:t>。</w:t>
            </w:r>
          </w:p>
          <w:p w14:paraId="4F6586C5">
            <w:pPr>
              <w:pStyle w:val="16"/>
              <w:keepNext w:val="0"/>
              <w:keepLines w:val="0"/>
              <w:pageBreakBefore w:val="0"/>
              <w:widowControl w:val="0"/>
              <w:suppressLineNumbers w:val="0"/>
              <w:kinsoku/>
              <w:wordWrap/>
              <w:overflowPunct/>
              <w:topLinePunct w:val="0"/>
              <w:bidi w:val="0"/>
              <w:spacing w:before="0" w:beforeAutospacing="0" w:after="0" w:afterLines="0" w:line="360" w:lineRule="auto"/>
              <w:ind w:left="0" w:leftChars="0" w:right="0" w:firstLine="480" w:firstLineChars="200"/>
              <w:textAlignment w:val="auto"/>
              <w:rPr>
                <w:rFonts w:hint="eastAsia" w:ascii="Times New Roman" w:hAnsi="Times New Roman" w:eastAsia="宋体"/>
                <w:b w:val="0"/>
                <w:bCs/>
                <w:color w:val="auto"/>
                <w:sz w:val="24"/>
                <w:lang w:eastAsia="zh-CN"/>
              </w:rPr>
            </w:pPr>
            <w:r>
              <w:rPr>
                <w:rFonts w:hint="eastAsia" w:ascii="Times New Roman" w:hAnsi="Times New Roman" w:eastAsia="宋体"/>
                <w:b w:val="0"/>
                <w:bCs/>
                <w:color w:val="auto"/>
                <w:sz w:val="24"/>
              </w:rPr>
              <w:t>异味影响分析</w:t>
            </w:r>
            <w:r>
              <w:rPr>
                <w:rFonts w:hint="eastAsia" w:ascii="Times New Roman" w:hAnsi="Times New Roman" w:eastAsia="宋体"/>
                <w:b w:val="0"/>
                <w:bCs/>
                <w:color w:val="auto"/>
                <w:sz w:val="24"/>
                <w:lang w:eastAsia="zh-CN"/>
              </w:rPr>
              <w:t>：</w:t>
            </w:r>
          </w:p>
          <w:p w14:paraId="010A9CC1">
            <w:pPr>
              <w:pStyle w:val="16"/>
              <w:keepNext w:val="0"/>
              <w:keepLines w:val="0"/>
              <w:pageBreakBefore w:val="0"/>
              <w:widowControl w:val="0"/>
              <w:numPr>
                <w:ilvl w:val="0"/>
                <w:numId w:val="0"/>
              </w:numPr>
              <w:suppressLineNumbers w:val="0"/>
              <w:kinsoku/>
              <w:wordWrap/>
              <w:overflowPunct/>
              <w:topLinePunct w:val="0"/>
              <w:bidi w:val="0"/>
              <w:spacing w:before="0" w:beforeAutospacing="0" w:after="0" w:afterLines="0" w:line="360" w:lineRule="auto"/>
              <w:ind w:left="0" w:leftChars="0" w:right="0" w:rightChars="0" w:firstLine="480" w:firstLineChars="200"/>
              <w:textAlignment w:val="auto"/>
              <w:rPr>
                <w:rFonts w:hint="eastAsia" w:ascii="Times New Roman" w:hAnsi="Times New Roman" w:eastAsia="宋体"/>
                <w:b w:val="0"/>
                <w:color w:val="auto"/>
                <w:sz w:val="24"/>
                <w:lang w:val="en-US" w:eastAsia="zh-CN"/>
              </w:rPr>
            </w:pPr>
            <w:r>
              <w:rPr>
                <w:rFonts w:hint="eastAsia" w:cs="Times New Roman"/>
                <w:b w:val="0"/>
                <w:color w:val="auto"/>
                <w:kern w:val="2"/>
                <w:sz w:val="24"/>
                <w:szCs w:val="24"/>
                <w:lang w:val="en-US" w:eastAsia="zh-CN" w:bidi="ar-SA"/>
              </w:rPr>
              <w:t>1.</w:t>
            </w:r>
            <w:r>
              <w:rPr>
                <w:rFonts w:hint="eastAsia" w:ascii="Times New Roman" w:hAnsi="Times New Roman" w:eastAsia="宋体" w:cs="Times New Roman"/>
                <w:b w:val="0"/>
                <w:color w:val="auto"/>
                <w:kern w:val="2"/>
                <w:sz w:val="24"/>
                <w:szCs w:val="24"/>
                <w:lang w:val="en-US" w:eastAsia="zh-CN" w:bidi="ar-SA"/>
              </w:rPr>
              <w:t>厂区</w:t>
            </w:r>
            <w:r>
              <w:rPr>
                <w:rFonts w:hint="eastAsia" w:ascii="Times New Roman" w:hAnsi="Times New Roman" w:eastAsia="宋体"/>
                <w:b w:val="0"/>
                <w:color w:val="auto"/>
                <w:sz w:val="24"/>
                <w:lang w:val="en-US" w:eastAsia="zh-CN"/>
              </w:rPr>
              <w:t>污水处理站异味</w:t>
            </w:r>
          </w:p>
          <w:p w14:paraId="12486544">
            <w:pPr>
              <w:pStyle w:val="16"/>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line="360" w:lineRule="auto"/>
              <w:ind w:right="0" w:rightChars="0" w:firstLine="480" w:firstLineChars="200"/>
              <w:textAlignment w:val="auto"/>
              <w:rPr>
                <w:rFonts w:ascii="Times New Roman" w:hAnsi="Times New Roman" w:eastAsia="宋体"/>
                <w:b w:val="0"/>
                <w:color w:val="auto"/>
                <w:sz w:val="24"/>
              </w:rPr>
            </w:pPr>
            <w:r>
              <w:rPr>
                <w:rFonts w:ascii="Times New Roman" w:hAnsi="Times New Roman" w:eastAsia="宋体"/>
                <w:b w:val="0"/>
                <w:color w:val="auto"/>
                <w:sz w:val="24"/>
              </w:rPr>
              <w:t>由于建设项目</w:t>
            </w:r>
            <w:r>
              <w:rPr>
                <w:rFonts w:hint="eastAsia" w:ascii="Times New Roman" w:hAnsi="Times New Roman" w:eastAsia="宋体"/>
                <w:b w:val="0"/>
                <w:color w:val="auto"/>
                <w:sz w:val="24"/>
              </w:rPr>
              <w:t>污水站</w:t>
            </w:r>
            <w:r>
              <w:rPr>
                <w:rFonts w:ascii="Times New Roman" w:hAnsi="Times New Roman" w:eastAsia="宋体"/>
                <w:b w:val="0"/>
                <w:color w:val="auto"/>
                <w:sz w:val="24"/>
              </w:rPr>
              <w:t>有恶臭气体排放，可能有一定的异味，一旦浓度超过一定程度，可能会给项目周边群众带来不愉悦的感受。</w:t>
            </w:r>
          </w:p>
          <w:p w14:paraId="7B49DE35">
            <w:pPr>
              <w:pStyle w:val="17"/>
              <w:keepNext w:val="0"/>
              <w:keepLines w:val="0"/>
              <w:pageBreakBefore w:val="0"/>
              <w:widowControl w:val="0"/>
              <w:kinsoku/>
              <w:wordWrap/>
              <w:overflowPunct/>
              <w:topLinePunct w:val="0"/>
              <w:bidi w:val="0"/>
              <w:spacing w:after="0" w:line="360" w:lineRule="auto"/>
              <w:ind w:firstLine="480" w:firstLineChars="200"/>
              <w:textAlignment w:val="auto"/>
              <w:rPr>
                <w:rFonts w:hint="eastAsia" w:ascii="Times New Roman" w:hAnsi="Times New Roman" w:eastAsia="宋体" w:cs="Times New Roman"/>
                <w:b w:val="0"/>
                <w:bCs/>
                <w:color w:val="auto"/>
                <w:sz w:val="24"/>
              </w:rPr>
            </w:pPr>
            <w:r>
              <w:rPr>
                <w:rFonts w:hint="eastAsia" w:ascii="Times New Roman" w:hAnsi="Times New Roman" w:eastAsia="宋体" w:cs="Times New Roman"/>
                <w:b w:val="0"/>
                <w:bCs/>
                <w:color w:val="auto"/>
                <w:sz w:val="24"/>
              </w:rPr>
              <w:t>本项目污水处理站密封性较好，仅少量恶臭等气体散发到空气中，为进一步减少对周围居民的影响，拟建项目需采取下列措施将异味气体对周边敏感目标的影响减小到最低：</w:t>
            </w:r>
          </w:p>
          <w:p w14:paraId="1598A546">
            <w:pPr>
              <w:pStyle w:val="17"/>
              <w:keepNext w:val="0"/>
              <w:keepLines w:val="0"/>
              <w:pageBreakBefore w:val="0"/>
              <w:widowControl w:val="0"/>
              <w:kinsoku/>
              <w:wordWrap/>
              <w:overflowPunct/>
              <w:topLinePunct w:val="0"/>
              <w:bidi w:val="0"/>
              <w:spacing w:after="0" w:line="360" w:lineRule="auto"/>
              <w:ind w:firstLine="480" w:firstLineChars="200"/>
              <w:textAlignment w:val="auto"/>
              <w:rPr>
                <w:rFonts w:hint="eastAsia" w:ascii="Times New Roman" w:hAnsi="Times New Roman" w:eastAsia="宋体" w:cs="Times New Roman"/>
                <w:b w:val="0"/>
                <w:bCs/>
                <w:color w:val="auto"/>
                <w:sz w:val="24"/>
              </w:rPr>
            </w:pPr>
            <w:r>
              <w:rPr>
                <w:rFonts w:hint="eastAsia" w:ascii="Times New Roman" w:hAnsi="Times New Roman" w:eastAsia="宋体" w:cs="Times New Roman"/>
                <w:b w:val="0"/>
                <w:bCs/>
                <w:color w:val="auto"/>
                <w:sz w:val="24"/>
              </w:rPr>
              <w:t>①加强对恶臭产生单元密闭设施的日常管理，如发现密封不严、设施损坏的情况，应及时进行检修；</w:t>
            </w:r>
          </w:p>
          <w:p w14:paraId="358F9781">
            <w:pPr>
              <w:pStyle w:val="17"/>
              <w:keepNext w:val="0"/>
              <w:keepLines w:val="0"/>
              <w:pageBreakBefore w:val="0"/>
              <w:widowControl w:val="0"/>
              <w:kinsoku/>
              <w:wordWrap/>
              <w:overflowPunct/>
              <w:topLinePunct w:val="0"/>
              <w:bidi w:val="0"/>
              <w:spacing w:after="0" w:line="360" w:lineRule="auto"/>
              <w:ind w:firstLine="480" w:firstLineChars="200"/>
              <w:textAlignment w:val="auto"/>
              <w:rPr>
                <w:rFonts w:hint="eastAsia" w:ascii="Times New Roman" w:hAnsi="Times New Roman" w:eastAsia="宋体" w:cs="Times New Roman"/>
                <w:b w:val="0"/>
                <w:bCs/>
                <w:color w:val="auto"/>
                <w:sz w:val="24"/>
                <w:lang w:eastAsia="zh-CN"/>
              </w:rPr>
            </w:pPr>
            <w:r>
              <w:rPr>
                <w:rFonts w:hint="eastAsia" w:ascii="Times New Roman" w:hAnsi="Times New Roman" w:eastAsia="宋体" w:cs="Times New Roman"/>
                <w:b w:val="0"/>
                <w:bCs/>
                <w:color w:val="auto"/>
                <w:sz w:val="24"/>
              </w:rPr>
              <w:t>②加强污水处理站周围绿化，多种一些吸收异味的植物，</w:t>
            </w:r>
            <w:r>
              <w:rPr>
                <w:rFonts w:hint="eastAsia" w:ascii="Times New Roman" w:hAnsi="Times New Roman" w:eastAsia="宋体" w:cs="Times New Roman"/>
                <w:b w:val="0"/>
                <w:bCs/>
                <w:color w:val="auto"/>
                <w:sz w:val="24"/>
                <w:lang w:val="en-US" w:eastAsia="zh-CN"/>
              </w:rPr>
              <w:t>定期喷洒除臭剂，</w:t>
            </w:r>
            <w:r>
              <w:rPr>
                <w:rFonts w:hint="eastAsia" w:ascii="Times New Roman" w:hAnsi="Times New Roman" w:eastAsia="宋体" w:cs="Times New Roman"/>
                <w:b w:val="0"/>
                <w:bCs/>
                <w:color w:val="auto"/>
                <w:sz w:val="24"/>
              </w:rPr>
              <w:t>减少臭气对周围居民生活环境的影响</w:t>
            </w:r>
            <w:r>
              <w:rPr>
                <w:rFonts w:hint="eastAsia" w:ascii="Times New Roman" w:hAnsi="Times New Roman" w:eastAsia="宋体" w:cs="Times New Roman"/>
                <w:b w:val="0"/>
                <w:bCs/>
                <w:color w:val="auto"/>
                <w:sz w:val="24"/>
                <w:lang w:eastAsia="zh-CN"/>
              </w:rPr>
              <w:t>。</w:t>
            </w:r>
          </w:p>
          <w:p w14:paraId="38C1432E">
            <w:pPr>
              <w:pStyle w:val="16"/>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line="360" w:lineRule="auto"/>
              <w:ind w:right="0" w:rightChars="0" w:firstLine="480" w:firstLineChars="200"/>
              <w:textAlignment w:val="auto"/>
              <w:rPr>
                <w:rFonts w:hint="eastAsia" w:ascii="Times New Roman" w:hAnsi="Times New Roman" w:eastAsia="宋体"/>
                <w:b w:val="0"/>
                <w:color w:val="auto"/>
                <w:sz w:val="24"/>
                <w:lang w:val="en-US" w:eastAsia="zh-CN"/>
              </w:rPr>
            </w:pPr>
            <w:r>
              <w:rPr>
                <w:rFonts w:hint="eastAsia"/>
                <w:b w:val="0"/>
                <w:color w:val="auto"/>
                <w:sz w:val="24"/>
                <w:lang w:val="en-US" w:eastAsia="zh-CN"/>
              </w:rPr>
              <w:t>2.</w:t>
            </w:r>
            <w:r>
              <w:rPr>
                <w:rFonts w:hint="eastAsia" w:ascii="Times New Roman" w:hAnsi="Times New Roman" w:eastAsia="宋体"/>
                <w:b w:val="0"/>
                <w:color w:val="auto"/>
                <w:sz w:val="24"/>
                <w:lang w:val="en-US" w:eastAsia="zh-CN"/>
              </w:rPr>
              <w:t>蒸煮异味</w:t>
            </w:r>
          </w:p>
          <w:p w14:paraId="341B2368">
            <w:pPr>
              <w:pStyle w:val="16"/>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line="360" w:lineRule="auto"/>
              <w:ind w:right="0" w:rightChars="0" w:firstLine="480" w:firstLineChars="200"/>
              <w:textAlignment w:val="auto"/>
              <w:rPr>
                <w:rFonts w:hint="default" w:ascii="Times New Roman" w:hAnsi="Times New Roman" w:eastAsia="宋体"/>
                <w:b w:val="0"/>
                <w:color w:val="auto"/>
                <w:sz w:val="24"/>
                <w:lang w:val="en-US" w:eastAsia="zh-CN"/>
              </w:rPr>
            </w:pPr>
            <w:r>
              <w:rPr>
                <w:rFonts w:hint="eastAsia" w:ascii="Times New Roman" w:hAnsi="Times New Roman" w:eastAsia="宋体"/>
                <w:b w:val="0"/>
                <w:color w:val="auto"/>
                <w:sz w:val="24"/>
                <w:lang w:val="en-US" w:eastAsia="zh-CN"/>
              </w:rPr>
              <w:t>本</w:t>
            </w:r>
            <w:r>
              <w:rPr>
                <w:rFonts w:hint="default" w:ascii="Times New Roman" w:hAnsi="Times New Roman" w:eastAsia="宋体"/>
                <w:b w:val="0"/>
                <w:color w:val="auto"/>
                <w:sz w:val="24"/>
                <w:lang w:val="en-US" w:eastAsia="zh-CN"/>
              </w:rPr>
              <w:t>项目属于</w:t>
            </w:r>
            <w:r>
              <w:rPr>
                <w:rFonts w:hint="eastAsia" w:ascii="Times New Roman" w:hAnsi="Times New Roman" w:eastAsia="宋体"/>
                <w:b w:val="0"/>
                <w:color w:val="auto"/>
                <w:sz w:val="24"/>
                <w:lang w:val="en-US" w:eastAsia="zh-CN"/>
              </w:rPr>
              <w:t>饮料加工</w:t>
            </w:r>
            <w:r>
              <w:rPr>
                <w:rFonts w:hint="default" w:ascii="Times New Roman" w:hAnsi="Times New Roman" w:eastAsia="宋体"/>
                <w:b w:val="0"/>
                <w:color w:val="auto"/>
                <w:sz w:val="24"/>
                <w:lang w:val="en-US" w:eastAsia="zh-CN"/>
              </w:rPr>
              <w:t>企业，原料在蒸煮</w:t>
            </w:r>
            <w:r>
              <w:rPr>
                <w:rFonts w:hint="eastAsia" w:ascii="Times New Roman" w:hAnsi="Times New Roman" w:eastAsia="宋体"/>
                <w:b w:val="0"/>
                <w:color w:val="auto"/>
                <w:sz w:val="24"/>
                <w:lang w:val="en-US" w:eastAsia="zh-CN"/>
              </w:rPr>
              <w:t>、调配</w:t>
            </w:r>
            <w:r>
              <w:rPr>
                <w:rFonts w:hint="default" w:ascii="Times New Roman" w:hAnsi="Times New Roman" w:eastAsia="宋体"/>
                <w:b w:val="0"/>
                <w:color w:val="auto"/>
                <w:sz w:val="24"/>
                <w:lang w:val="en-US" w:eastAsia="zh-CN"/>
              </w:rPr>
              <w:t>工序过程中会</w:t>
            </w:r>
            <w:r>
              <w:rPr>
                <w:rFonts w:hint="eastAsia" w:ascii="Times New Roman" w:hAnsi="Times New Roman" w:eastAsia="宋体"/>
                <w:b w:val="0"/>
                <w:color w:val="auto"/>
                <w:sz w:val="24"/>
                <w:lang w:val="en-US" w:eastAsia="zh-CN"/>
              </w:rPr>
              <w:t>产生少量蒸煮异味</w:t>
            </w:r>
            <w:r>
              <w:rPr>
                <w:rFonts w:hint="default" w:ascii="Times New Roman" w:hAnsi="Times New Roman" w:eastAsia="宋体"/>
                <w:b w:val="0"/>
                <w:color w:val="auto"/>
                <w:sz w:val="24"/>
                <w:lang w:val="en-US" w:eastAsia="zh-CN"/>
              </w:rPr>
              <w:t>，</w:t>
            </w:r>
            <w:r>
              <w:rPr>
                <w:rFonts w:hint="eastAsia" w:ascii="Times New Roman" w:hAnsi="Times New Roman" w:eastAsia="宋体"/>
                <w:b w:val="0"/>
                <w:color w:val="auto"/>
                <w:sz w:val="24"/>
                <w:lang w:val="en-US" w:eastAsia="zh-CN"/>
              </w:rPr>
              <w:t>该异味无毒无害，以无组织形式排放，本次环评不进行定量分析。建议本项目</w:t>
            </w:r>
            <w:r>
              <w:rPr>
                <w:rFonts w:hint="default" w:ascii="Times New Roman" w:hAnsi="Times New Roman" w:eastAsia="宋体"/>
                <w:b w:val="0"/>
                <w:color w:val="auto"/>
                <w:sz w:val="24"/>
                <w:lang w:val="en-US" w:eastAsia="zh-CN"/>
              </w:rPr>
              <w:t>合理安排工作时序，加强车间通风，进一步减轻该气味影响。</w:t>
            </w:r>
          </w:p>
          <w:p w14:paraId="71218B88">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eastAsia" w:ascii="Times New Roman" w:hAnsi="Times New Roman" w:eastAsia="宋体"/>
                <w:b w:val="0"/>
                <w:color w:val="auto"/>
                <w:sz w:val="24"/>
              </w:rPr>
            </w:pPr>
            <w:r>
              <w:rPr>
                <w:rFonts w:hint="eastAsia" w:ascii="Times New Roman" w:hAnsi="Times New Roman" w:eastAsia="宋体"/>
                <w:b w:val="0"/>
                <w:color w:val="auto"/>
                <w:sz w:val="24"/>
              </w:rPr>
              <w:t>（</w:t>
            </w:r>
            <w:r>
              <w:rPr>
                <w:rFonts w:hint="eastAsia" w:ascii="Times New Roman" w:hAnsi="Times New Roman" w:eastAsia="宋体"/>
                <w:b w:val="0"/>
                <w:color w:val="auto"/>
                <w:sz w:val="24"/>
                <w:lang w:val="en-US" w:eastAsia="zh-CN"/>
              </w:rPr>
              <w:t>4</w:t>
            </w:r>
            <w:r>
              <w:rPr>
                <w:rFonts w:hint="eastAsia" w:ascii="Times New Roman" w:hAnsi="Times New Roman" w:eastAsia="宋体"/>
                <w:b w:val="0"/>
                <w:color w:val="auto"/>
                <w:sz w:val="24"/>
              </w:rPr>
              <w:t>）食堂油烟</w:t>
            </w:r>
          </w:p>
          <w:p w14:paraId="569B17BA">
            <w:pPr>
              <w:pStyle w:val="17"/>
              <w:keepNext w:val="0"/>
              <w:keepLines w:val="0"/>
              <w:pageBreakBefore w:val="0"/>
              <w:widowControl w:val="0"/>
              <w:numPr>
                <w:ilvl w:val="0"/>
                <w:numId w:val="0"/>
              </w:numPr>
              <w:kinsoku/>
              <w:wordWrap/>
              <w:overflowPunct/>
              <w:topLinePunct w:val="0"/>
              <w:autoSpaceDE w:val="0"/>
              <w:autoSpaceDN w:val="0"/>
              <w:bidi w:val="0"/>
              <w:adjustRightInd w:val="0"/>
              <w:snapToGrid/>
              <w:spacing w:after="0" w:line="360" w:lineRule="auto"/>
              <w:ind w:firstLine="480" w:firstLineChars="200"/>
              <w:jc w:val="both"/>
              <w:textAlignment w:val="auto"/>
              <w:rPr>
                <w:rFonts w:hint="eastAsia" w:ascii="Times New Roman" w:hAnsi="Times New Roman" w:eastAsia="宋体"/>
                <w:b w:val="0"/>
                <w:color w:val="auto"/>
                <w:sz w:val="24"/>
              </w:rPr>
            </w:pPr>
            <w:r>
              <w:rPr>
                <w:rFonts w:hint="eastAsia" w:ascii="Times New Roman" w:hAnsi="Times New Roman" w:eastAsia="宋体" w:cs="Times New Roman"/>
                <w:b w:val="0"/>
                <w:bCs/>
                <w:color w:val="auto"/>
                <w:kern w:val="2"/>
                <w:sz w:val="24"/>
                <w:szCs w:val="24"/>
                <w:lang w:val="en-US" w:eastAsia="zh-CN" w:bidi="ar-SA"/>
              </w:rPr>
              <w:t>本项目设置食堂，营运期提供员工工作餐，就餐人数为50人，年工作时间330d。根据《中国居民膳食指南》2022版数据，平均每人消耗食用油量约为25</w:t>
            </w:r>
            <w:r>
              <w:rPr>
                <w:rFonts w:hint="eastAsia" w:ascii="Times New Roman" w:hAnsi="Times New Roman" w:cs="Times New Roman"/>
                <w:b w:val="0"/>
                <w:bCs/>
                <w:color w:val="auto"/>
                <w:kern w:val="2"/>
                <w:sz w:val="24"/>
                <w:szCs w:val="24"/>
                <w:lang w:val="en-US" w:eastAsia="zh-CN" w:bidi="ar-SA"/>
              </w:rPr>
              <w:t>～</w:t>
            </w:r>
            <w:r>
              <w:rPr>
                <w:rFonts w:hint="eastAsia" w:ascii="Times New Roman" w:hAnsi="Times New Roman" w:eastAsia="宋体" w:cs="Times New Roman"/>
                <w:b w:val="0"/>
                <w:bCs/>
                <w:color w:val="auto"/>
                <w:kern w:val="2"/>
                <w:sz w:val="24"/>
                <w:szCs w:val="24"/>
                <w:lang w:val="en-US" w:eastAsia="zh-CN" w:bidi="ar-SA"/>
              </w:rPr>
              <w:t>30g/d，本项目以30g/d计算，则本项目食堂食用油总计消耗量约为0.495t/a，油烟挥发率按2%计算，则厨房烹饪时油烟产生量为0.01t/a。油烟采用油烟净化设施处理后经油烟专用烟道P1排放。本项目共设置2个基准灶头属于中型餐饮规模，油烟净化设施最低去除率为75%，配套风机风量为4000m</w:t>
            </w:r>
            <w:r>
              <w:rPr>
                <w:rFonts w:hint="eastAsia" w:ascii="Times New Roman" w:hAnsi="Times New Roman" w:eastAsia="宋体" w:cs="Times New Roman"/>
                <w:b w:val="0"/>
                <w:bCs/>
                <w:color w:val="auto"/>
                <w:kern w:val="2"/>
                <w:sz w:val="24"/>
                <w:szCs w:val="24"/>
                <w:vertAlign w:val="superscript"/>
                <w:lang w:val="en-US" w:eastAsia="zh-CN" w:bidi="ar-SA"/>
              </w:rPr>
              <w:t>3</w:t>
            </w:r>
            <w:r>
              <w:rPr>
                <w:rFonts w:hint="eastAsia" w:ascii="Times New Roman" w:hAnsi="Times New Roman" w:eastAsia="宋体" w:cs="Times New Roman"/>
                <w:b w:val="0"/>
                <w:bCs/>
                <w:color w:val="auto"/>
                <w:kern w:val="2"/>
                <w:sz w:val="24"/>
                <w:szCs w:val="24"/>
                <w:lang w:val="en-US" w:eastAsia="zh-CN" w:bidi="ar-SA"/>
              </w:rPr>
              <w:t>/h，厨房每天烹饪时间约4h，年运行330天。经计算，油烟产生速率为0.008kg/h，产生浓度为1.894mg/m</w:t>
            </w:r>
            <w:r>
              <w:rPr>
                <w:rFonts w:hint="eastAsia" w:ascii="Times New Roman" w:hAnsi="Times New Roman" w:eastAsia="宋体" w:cs="Times New Roman"/>
                <w:b w:val="0"/>
                <w:bCs/>
                <w:color w:val="auto"/>
                <w:kern w:val="2"/>
                <w:sz w:val="24"/>
                <w:szCs w:val="24"/>
                <w:vertAlign w:val="superscript"/>
                <w:lang w:val="en-US" w:eastAsia="zh-CN" w:bidi="ar-SA"/>
              </w:rPr>
              <w:t>3</w:t>
            </w:r>
            <w:r>
              <w:rPr>
                <w:rFonts w:hint="eastAsia" w:ascii="Times New Roman" w:hAnsi="Times New Roman" w:eastAsia="宋体" w:cs="Times New Roman"/>
                <w:b w:val="0"/>
                <w:bCs/>
                <w:color w:val="auto"/>
                <w:kern w:val="2"/>
                <w:sz w:val="24"/>
                <w:szCs w:val="24"/>
                <w:lang w:val="en-US" w:eastAsia="zh-CN" w:bidi="ar-SA"/>
              </w:rPr>
              <w:t>；油烟经油烟净化设施处理后排放量为0.0025t/a，排放速率为0.002kg/h，排放浓度为0.473mg/m</w:t>
            </w:r>
            <w:r>
              <w:rPr>
                <w:rFonts w:hint="eastAsia" w:ascii="Times New Roman" w:hAnsi="Times New Roman" w:eastAsia="宋体" w:cs="Times New Roman"/>
                <w:b w:val="0"/>
                <w:bCs/>
                <w:color w:val="auto"/>
                <w:kern w:val="2"/>
                <w:sz w:val="24"/>
                <w:szCs w:val="24"/>
                <w:vertAlign w:val="superscript"/>
                <w:lang w:val="en-US" w:eastAsia="zh-CN" w:bidi="ar-SA"/>
              </w:rPr>
              <w:t>3</w:t>
            </w:r>
            <w:r>
              <w:rPr>
                <w:rFonts w:hint="eastAsia" w:ascii="Times New Roman" w:hAnsi="Times New Roman" w:eastAsia="宋体"/>
                <w:b w:val="0"/>
                <w:color w:val="auto"/>
                <w:sz w:val="24"/>
              </w:rPr>
              <w:t>。</w:t>
            </w:r>
          </w:p>
          <w:p w14:paraId="729D0977">
            <w:pPr>
              <w:pStyle w:val="17"/>
              <w:keepNext w:val="0"/>
              <w:keepLines w:val="0"/>
              <w:pageBreakBefore w:val="0"/>
              <w:widowControl w:val="0"/>
              <w:kinsoku/>
              <w:wordWrap/>
              <w:overflowPunct/>
              <w:topLinePunct w:val="0"/>
              <w:bidi w:val="0"/>
              <w:snapToGrid w:val="0"/>
              <w:spacing w:line="360" w:lineRule="auto"/>
              <w:jc w:val="both"/>
              <w:textAlignment w:val="auto"/>
              <w:rPr>
                <w:rFonts w:hint="eastAsia" w:ascii="Times New Roman" w:hAnsi="Times New Roman"/>
                <w:b w:val="0"/>
                <w:bCs/>
                <w:color w:val="auto"/>
                <w:sz w:val="24"/>
              </w:rPr>
            </w:pPr>
            <w:r>
              <w:rPr>
                <w:rFonts w:hint="eastAsia" w:ascii="Times New Roman" w:hAnsi="Times New Roman"/>
                <w:b w:val="0"/>
                <w:bCs/>
                <w:color w:val="auto"/>
                <w:sz w:val="24"/>
              </w:rPr>
              <w:t>（</w:t>
            </w:r>
            <w:r>
              <w:rPr>
                <w:rFonts w:hint="eastAsia" w:ascii="Times New Roman" w:hAnsi="Times New Roman"/>
                <w:b w:val="0"/>
                <w:bCs/>
                <w:color w:val="auto"/>
                <w:sz w:val="24"/>
                <w:lang w:val="en-US" w:eastAsia="zh-CN"/>
              </w:rPr>
              <w:t>5</w:t>
            </w:r>
            <w:r>
              <w:rPr>
                <w:rFonts w:hint="eastAsia" w:ascii="Times New Roman" w:hAnsi="Times New Roman"/>
                <w:b w:val="0"/>
                <w:bCs/>
                <w:color w:val="auto"/>
                <w:sz w:val="24"/>
              </w:rPr>
              <w:t>）危废</w:t>
            </w:r>
            <w:r>
              <w:rPr>
                <w:rFonts w:hint="eastAsia" w:ascii="Times New Roman" w:hAnsi="Times New Roman"/>
                <w:b w:val="0"/>
                <w:bCs/>
                <w:color w:val="auto"/>
                <w:sz w:val="24"/>
                <w:lang w:val="en-US" w:eastAsia="zh-CN"/>
              </w:rPr>
              <w:t>暂存</w:t>
            </w:r>
            <w:r>
              <w:rPr>
                <w:rFonts w:hint="eastAsia" w:ascii="Times New Roman" w:hAnsi="Times New Roman"/>
                <w:b w:val="0"/>
                <w:bCs/>
                <w:color w:val="auto"/>
                <w:sz w:val="24"/>
              </w:rPr>
              <w:t>库废气</w:t>
            </w:r>
          </w:p>
          <w:p w14:paraId="1C720783">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eastAsia="宋体"/>
                <w:b/>
                <w:bCs/>
                <w:color w:val="auto"/>
                <w:lang w:eastAsia="zh-CN"/>
              </w:rPr>
            </w:pPr>
            <w:r>
              <w:rPr>
                <w:rFonts w:hint="eastAsia" w:ascii="Times New Roman" w:hAnsi="Times New Roman"/>
                <w:color w:val="auto"/>
                <w:sz w:val="24"/>
              </w:rPr>
              <w:t>项目危废</w:t>
            </w:r>
            <w:r>
              <w:rPr>
                <w:rFonts w:hint="eastAsia" w:ascii="Times New Roman" w:hAnsi="Times New Roman"/>
                <w:color w:val="auto"/>
                <w:sz w:val="24"/>
                <w:lang w:val="en-US" w:eastAsia="zh-CN"/>
              </w:rPr>
              <w:t>暂存</w:t>
            </w:r>
            <w:r>
              <w:rPr>
                <w:rFonts w:hint="eastAsia" w:ascii="Times New Roman" w:hAnsi="Times New Roman"/>
                <w:color w:val="auto"/>
                <w:sz w:val="24"/>
              </w:rPr>
              <w:t>库中暂存的废活性炭可能会逸散微量有机废气，但是本项目更换后的废活性炭均使用太空袋进行密封包装</w:t>
            </w:r>
            <w:r>
              <w:rPr>
                <w:rFonts w:hint="eastAsia" w:ascii="Times New Roman" w:hAnsi="Times New Roman"/>
                <w:color w:val="auto"/>
                <w:sz w:val="24"/>
                <w:lang w:val="en-US" w:eastAsia="zh-CN"/>
              </w:rPr>
              <w:t>。项目危废产生量较小，贮存量较小，危废均密闭保存，</w:t>
            </w:r>
            <w:r>
              <w:rPr>
                <w:rFonts w:hint="eastAsia" w:ascii="Times New Roman" w:hAnsi="Times New Roman"/>
                <w:color w:val="auto"/>
                <w:sz w:val="24"/>
              </w:rPr>
              <w:t>故本次评价不考虑</w:t>
            </w:r>
            <w:r>
              <w:rPr>
                <w:rFonts w:hint="eastAsia" w:ascii="Times New Roman" w:hAnsi="Times New Roman"/>
                <w:color w:val="auto"/>
                <w:sz w:val="24"/>
                <w:lang w:val="en-US" w:eastAsia="zh-CN"/>
              </w:rPr>
              <w:t>危险废物</w:t>
            </w:r>
            <w:r>
              <w:rPr>
                <w:rFonts w:hint="eastAsia" w:ascii="Times New Roman" w:hAnsi="Times New Roman"/>
                <w:color w:val="auto"/>
                <w:sz w:val="24"/>
              </w:rPr>
              <w:t>储运过程中的有机废气的挥发。</w:t>
            </w:r>
          </w:p>
        </w:tc>
      </w:tr>
    </w:tbl>
    <w:p w14:paraId="5687D425">
      <w:pPr>
        <w:adjustRightInd w:val="0"/>
        <w:snapToGrid w:val="0"/>
        <w:spacing w:line="360" w:lineRule="auto"/>
        <w:rPr>
          <w:rFonts w:hint="eastAsia" w:ascii="宋体" w:cs="宋体"/>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0"/>
        <w:tblpPr w:leftFromText="180" w:rightFromText="180" w:vertAnchor="text" w:horzAnchor="page" w:tblpX="817" w:tblpY="382"/>
        <w:tblOverlap w:val="never"/>
        <w:tblW w:w="15719"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15251"/>
      </w:tblGrid>
      <w:tr w14:paraId="3301C59C">
        <w:trPr>
          <w:trHeight w:val="8633" w:hRule="atLeast"/>
        </w:trPr>
        <w:tc>
          <w:tcPr>
            <w:tcW w:w="511" w:type="dxa"/>
            <w:noWrap w:val="0"/>
            <w:tcMar>
              <w:left w:w="28" w:type="dxa"/>
              <w:right w:w="28" w:type="dxa"/>
            </w:tcMar>
            <w:vAlign w:val="center"/>
          </w:tcPr>
          <w:p w14:paraId="1CA28601">
            <w:pPr>
              <w:adjustRightInd w:val="0"/>
              <w:snapToGrid w:val="0"/>
              <w:jc w:val="center"/>
              <w:rPr>
                <w:rFonts w:ascii="宋体" w:hAnsi="宋体" w:cs="宋体"/>
                <w:bCs/>
                <w:color w:val="auto"/>
                <w:szCs w:val="21"/>
              </w:rPr>
            </w:pPr>
          </w:p>
        </w:tc>
        <w:tc>
          <w:tcPr>
            <w:tcW w:w="15208" w:type="dxa"/>
            <w:noWrap w:val="0"/>
            <w:vAlign w:val="top"/>
          </w:tcPr>
          <w:p w14:paraId="0FE6F64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color w:val="auto"/>
                <w:kern w:val="0"/>
                <w:sz w:val="24"/>
              </w:rPr>
            </w:pPr>
            <w:r>
              <w:rPr>
                <w:rFonts w:hint="default" w:ascii="Times New Roman" w:hAnsi="Times New Roman" w:eastAsia="宋体" w:cs="Times New Roman"/>
                <w:color w:val="auto"/>
                <w:kern w:val="0"/>
                <w:sz w:val="24"/>
                <w:szCs w:val="20"/>
              </w:rPr>
              <w:t>建设项目</w:t>
            </w:r>
            <w:r>
              <w:rPr>
                <w:rFonts w:hint="default" w:ascii="Times New Roman" w:hAnsi="Times New Roman" w:eastAsia="宋体" w:cs="Times New Roman"/>
                <w:snapToGrid w:val="0"/>
                <w:color w:val="auto"/>
                <w:kern w:val="0"/>
                <w:sz w:val="24"/>
              </w:rPr>
              <w:t>废气污染源源强核算结果及相关参数</w:t>
            </w:r>
            <w:r>
              <w:rPr>
                <w:rFonts w:hint="default" w:ascii="Times New Roman" w:hAnsi="Times New Roman" w:eastAsia="宋体" w:cs="Times New Roman"/>
                <w:color w:val="auto"/>
                <w:kern w:val="0"/>
                <w:sz w:val="24"/>
                <w:szCs w:val="20"/>
              </w:rPr>
              <w:t>见表4-1，项目有组织废气源强核算结果及相关参数见表4-</w:t>
            </w:r>
            <w:r>
              <w:rPr>
                <w:rFonts w:hint="eastAsia" w:cs="Times New Roman"/>
                <w:color w:val="auto"/>
                <w:kern w:val="0"/>
                <w:sz w:val="24"/>
                <w:szCs w:val="20"/>
                <w:lang w:val="en-US" w:eastAsia="zh-CN"/>
              </w:rPr>
              <w:t>2</w:t>
            </w:r>
            <w:r>
              <w:rPr>
                <w:rFonts w:hint="default" w:ascii="Times New Roman" w:hAnsi="Times New Roman" w:eastAsia="宋体" w:cs="Times New Roman"/>
                <w:color w:val="auto"/>
                <w:kern w:val="0"/>
                <w:sz w:val="24"/>
                <w:szCs w:val="20"/>
              </w:rPr>
              <w:t>，项目无组织废气源强核算结果及相关参数见表4-</w:t>
            </w:r>
            <w:r>
              <w:rPr>
                <w:rFonts w:hint="eastAsia" w:cs="Times New Roman"/>
                <w:color w:val="auto"/>
                <w:kern w:val="0"/>
                <w:sz w:val="24"/>
                <w:szCs w:val="20"/>
                <w:lang w:val="en-US" w:eastAsia="zh-CN"/>
              </w:rPr>
              <w:t>3</w:t>
            </w:r>
            <w:r>
              <w:rPr>
                <w:rFonts w:hint="default" w:ascii="Times New Roman" w:hAnsi="Times New Roman" w:eastAsia="宋体" w:cs="Times New Roman"/>
                <w:color w:val="auto"/>
                <w:kern w:val="0"/>
                <w:sz w:val="24"/>
                <w:szCs w:val="20"/>
              </w:rPr>
              <w:t>，废气</w:t>
            </w:r>
            <w:r>
              <w:rPr>
                <w:rFonts w:hint="default" w:ascii="Times New Roman" w:hAnsi="Times New Roman" w:eastAsia="宋体" w:cs="Times New Roman"/>
                <w:color w:val="auto"/>
                <w:sz w:val="24"/>
              </w:rPr>
              <w:t>收集、治理措施及排放情况</w:t>
            </w:r>
            <w:r>
              <w:rPr>
                <w:rFonts w:hint="default" w:ascii="Times New Roman" w:hAnsi="Times New Roman" w:eastAsia="宋体" w:cs="Times New Roman"/>
                <w:color w:val="auto"/>
                <w:kern w:val="0"/>
                <w:sz w:val="24"/>
                <w:szCs w:val="20"/>
              </w:rPr>
              <w:t>见表4-</w:t>
            </w:r>
            <w:r>
              <w:rPr>
                <w:rFonts w:hint="eastAsia" w:cs="Times New Roman"/>
                <w:color w:val="auto"/>
                <w:kern w:val="0"/>
                <w:sz w:val="24"/>
                <w:szCs w:val="20"/>
                <w:lang w:val="en-US" w:eastAsia="zh-CN"/>
              </w:rPr>
              <w:t>4</w:t>
            </w:r>
            <w:r>
              <w:rPr>
                <w:rFonts w:hint="default" w:ascii="Times New Roman" w:hAnsi="Times New Roman" w:eastAsia="宋体" w:cs="Times New Roman"/>
                <w:color w:val="auto"/>
                <w:kern w:val="0"/>
                <w:sz w:val="24"/>
                <w:szCs w:val="20"/>
              </w:rPr>
              <w:t>，建设废气排放口基本情况见表4-</w:t>
            </w:r>
            <w:r>
              <w:rPr>
                <w:rFonts w:hint="eastAsia" w:cs="Times New Roman"/>
                <w:color w:val="auto"/>
                <w:kern w:val="0"/>
                <w:sz w:val="24"/>
                <w:szCs w:val="20"/>
                <w:lang w:val="en-US" w:eastAsia="zh-CN"/>
              </w:rPr>
              <w:t>5</w:t>
            </w:r>
            <w:r>
              <w:rPr>
                <w:rFonts w:hint="default" w:ascii="Times New Roman" w:hAnsi="Times New Roman" w:eastAsia="宋体" w:cs="Times New Roman"/>
                <w:color w:val="auto"/>
                <w:kern w:val="0"/>
                <w:sz w:val="24"/>
                <w:szCs w:val="20"/>
              </w:rPr>
              <w:t>。</w:t>
            </w:r>
          </w:p>
          <w:p w14:paraId="2CACA9D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kern w:val="0"/>
                <w:sz w:val="21"/>
                <w:szCs w:val="20"/>
              </w:rPr>
            </w:pPr>
            <w:r>
              <w:rPr>
                <w:rFonts w:hint="default" w:ascii="Times New Roman" w:hAnsi="Times New Roman" w:eastAsia="宋体" w:cs="Times New Roman"/>
                <w:b/>
                <w:color w:val="auto"/>
                <w:kern w:val="0"/>
                <w:sz w:val="21"/>
                <w:szCs w:val="20"/>
              </w:rPr>
              <w:t>表4-1</w:t>
            </w:r>
            <w:r>
              <w:rPr>
                <w:rFonts w:hint="eastAsia" w:cs="Times New Roman"/>
                <w:b/>
                <w:color w:val="auto"/>
                <w:kern w:val="0"/>
                <w:sz w:val="21"/>
                <w:szCs w:val="20"/>
                <w:lang w:val="en-US" w:eastAsia="zh-CN"/>
              </w:rPr>
              <w:t xml:space="preserve">  </w:t>
            </w:r>
            <w:r>
              <w:rPr>
                <w:rFonts w:hint="default" w:ascii="Times New Roman" w:hAnsi="Times New Roman" w:eastAsia="宋体" w:cs="Times New Roman"/>
                <w:b/>
                <w:color w:val="auto"/>
                <w:kern w:val="0"/>
                <w:sz w:val="21"/>
                <w:szCs w:val="20"/>
              </w:rPr>
              <w:t>建设项目废气污染源源强核算结果及相关参数一览表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34"/>
              <w:gridCol w:w="568"/>
              <w:gridCol w:w="830"/>
              <w:gridCol w:w="929"/>
              <w:gridCol w:w="776"/>
              <w:gridCol w:w="974"/>
              <w:gridCol w:w="1035"/>
              <w:gridCol w:w="999"/>
              <w:gridCol w:w="1086"/>
              <w:gridCol w:w="1251"/>
              <w:gridCol w:w="589"/>
              <w:gridCol w:w="770"/>
              <w:gridCol w:w="938"/>
              <w:gridCol w:w="938"/>
              <w:gridCol w:w="974"/>
              <w:gridCol w:w="933"/>
              <w:gridCol w:w="705"/>
            </w:tblGrid>
            <w:tr w14:paraId="15D248EA">
              <w:trPr>
                <w:trHeight w:val="397" w:hRule="atLeast"/>
                <w:tblHeader/>
                <w:jc w:val="center"/>
              </w:trPr>
              <w:tc>
                <w:tcPr>
                  <w:tcW w:w="244" w:type="pct"/>
                  <w:vMerge w:val="restart"/>
                  <w:noWrap w:val="0"/>
                  <w:vAlign w:val="center"/>
                </w:tcPr>
                <w:p w14:paraId="76D1D46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工序/生产线</w:t>
                  </w:r>
                </w:p>
              </w:tc>
              <w:tc>
                <w:tcPr>
                  <w:tcW w:w="189" w:type="pct"/>
                  <w:vMerge w:val="restart"/>
                  <w:noWrap w:val="0"/>
                  <w:vAlign w:val="center"/>
                </w:tcPr>
                <w:p w14:paraId="49C86E5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 w:val="0"/>
                      <w:bCs/>
                      <w:color w:val="auto"/>
                      <w:kern w:val="0"/>
                      <w:sz w:val="21"/>
                      <w:szCs w:val="21"/>
                      <w:lang w:eastAsia="zh-CN"/>
                    </w:rPr>
                  </w:pPr>
                  <w:r>
                    <w:rPr>
                      <w:rFonts w:hint="eastAsia" w:ascii="Times New Roman" w:hAnsi="Times New Roman" w:eastAsia="宋体" w:cs="Times New Roman"/>
                      <w:b w:val="0"/>
                      <w:bCs/>
                      <w:color w:val="auto"/>
                      <w:kern w:val="0"/>
                      <w:sz w:val="21"/>
                      <w:szCs w:val="21"/>
                      <w:lang w:val="en-US" w:eastAsia="zh-CN"/>
                    </w:rPr>
                    <w:t>编号</w:t>
                  </w:r>
                </w:p>
              </w:tc>
              <w:tc>
                <w:tcPr>
                  <w:tcW w:w="276" w:type="pct"/>
                  <w:vMerge w:val="restart"/>
                  <w:noWrap w:val="0"/>
                  <w:vAlign w:val="center"/>
                </w:tcPr>
                <w:p w14:paraId="745EDE9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污染源</w:t>
                  </w:r>
                </w:p>
              </w:tc>
              <w:tc>
                <w:tcPr>
                  <w:tcW w:w="309" w:type="pct"/>
                  <w:vMerge w:val="restart"/>
                  <w:noWrap w:val="0"/>
                  <w:vAlign w:val="center"/>
                </w:tcPr>
                <w:p w14:paraId="2E6C470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污染物</w:t>
                  </w:r>
                </w:p>
              </w:tc>
              <w:tc>
                <w:tcPr>
                  <w:tcW w:w="1619" w:type="pct"/>
                  <w:gridSpan w:val="5"/>
                  <w:noWrap w:val="0"/>
                  <w:vAlign w:val="center"/>
                </w:tcPr>
                <w:p w14:paraId="28848AD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污染物产生</w:t>
                  </w:r>
                </w:p>
              </w:tc>
              <w:tc>
                <w:tcPr>
                  <w:tcW w:w="612" w:type="pct"/>
                  <w:gridSpan w:val="2"/>
                  <w:noWrap w:val="0"/>
                  <w:vAlign w:val="center"/>
                </w:tcPr>
                <w:p w14:paraId="00EE6D5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治理措施</w:t>
                  </w:r>
                </w:p>
              </w:tc>
              <w:tc>
                <w:tcPr>
                  <w:tcW w:w="1514" w:type="pct"/>
                  <w:gridSpan w:val="5"/>
                  <w:noWrap w:val="0"/>
                  <w:vAlign w:val="center"/>
                </w:tcPr>
                <w:p w14:paraId="7607F4A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污染物排放</w:t>
                  </w:r>
                </w:p>
              </w:tc>
              <w:tc>
                <w:tcPr>
                  <w:tcW w:w="234" w:type="pct"/>
                  <w:vMerge w:val="restart"/>
                  <w:noWrap w:val="0"/>
                  <w:vAlign w:val="center"/>
                </w:tcPr>
                <w:p w14:paraId="283A414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排放时间</w:t>
                  </w:r>
                </w:p>
                <w:p w14:paraId="0EB968B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eastAsia" w:cs="Times New Roman"/>
                      <w:b w:val="0"/>
                      <w:bCs/>
                      <w:color w:val="auto"/>
                      <w:kern w:val="0"/>
                      <w:sz w:val="21"/>
                      <w:szCs w:val="21"/>
                      <w:lang w:eastAsia="zh-CN"/>
                    </w:rPr>
                    <w:t>(</w:t>
                  </w:r>
                  <w:r>
                    <w:rPr>
                      <w:rFonts w:hint="default" w:ascii="Times New Roman" w:hAnsi="Times New Roman" w:eastAsia="宋体" w:cs="Times New Roman"/>
                      <w:b w:val="0"/>
                      <w:bCs/>
                      <w:color w:val="auto"/>
                      <w:kern w:val="0"/>
                      <w:sz w:val="21"/>
                      <w:szCs w:val="21"/>
                    </w:rPr>
                    <w:t>h</w:t>
                  </w:r>
                  <w:r>
                    <w:rPr>
                      <w:rFonts w:hint="eastAsia" w:cs="Times New Roman"/>
                      <w:b w:val="0"/>
                      <w:bCs/>
                      <w:color w:val="auto"/>
                      <w:kern w:val="0"/>
                      <w:sz w:val="21"/>
                      <w:szCs w:val="21"/>
                      <w:lang w:eastAsia="zh-CN"/>
                    </w:rPr>
                    <w:t>)</w:t>
                  </w:r>
                </w:p>
              </w:tc>
            </w:tr>
            <w:tr w14:paraId="5B9CBC41">
              <w:trPr>
                <w:trHeight w:val="397" w:hRule="atLeast"/>
                <w:tblHeader/>
                <w:jc w:val="center"/>
              </w:trPr>
              <w:tc>
                <w:tcPr>
                  <w:tcW w:w="244" w:type="pct"/>
                  <w:vMerge w:val="continue"/>
                  <w:noWrap w:val="0"/>
                  <w:vAlign w:val="center"/>
                </w:tcPr>
                <w:p w14:paraId="31C20B3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189" w:type="pct"/>
                  <w:vMerge w:val="continue"/>
                  <w:noWrap w:val="0"/>
                  <w:vAlign w:val="center"/>
                </w:tcPr>
                <w:p w14:paraId="531C348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276" w:type="pct"/>
                  <w:vMerge w:val="continue"/>
                  <w:noWrap w:val="0"/>
                  <w:vAlign w:val="center"/>
                </w:tcPr>
                <w:p w14:paraId="1F6B854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309" w:type="pct"/>
                  <w:vMerge w:val="continue"/>
                  <w:noWrap w:val="0"/>
                  <w:vAlign w:val="center"/>
                </w:tcPr>
                <w:p w14:paraId="3FAF286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258" w:type="pct"/>
                  <w:vMerge w:val="restart"/>
                  <w:noWrap w:val="0"/>
                  <w:vAlign w:val="center"/>
                </w:tcPr>
                <w:p w14:paraId="7AAEDAD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核算</w:t>
                  </w:r>
                </w:p>
                <w:p w14:paraId="5BE2E56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方法</w:t>
                  </w:r>
                </w:p>
              </w:tc>
              <w:tc>
                <w:tcPr>
                  <w:tcW w:w="324" w:type="pct"/>
                  <w:vMerge w:val="restart"/>
                  <w:noWrap w:val="0"/>
                  <w:vAlign w:val="center"/>
                </w:tcPr>
                <w:p w14:paraId="5A24AA3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废气产生量</w:t>
                  </w:r>
                  <w:r>
                    <w:rPr>
                      <w:rFonts w:hint="eastAsia" w:cs="Times New Roman"/>
                      <w:b w:val="0"/>
                      <w:bCs/>
                      <w:color w:val="auto"/>
                      <w:kern w:val="0"/>
                      <w:sz w:val="21"/>
                      <w:szCs w:val="21"/>
                      <w:lang w:eastAsia="zh-CN"/>
                    </w:rPr>
                    <w:t>（</w:t>
                  </w:r>
                  <w:r>
                    <w:rPr>
                      <w:rFonts w:hint="default" w:ascii="Times New Roman" w:hAnsi="Times New Roman" w:eastAsia="宋体" w:cs="Times New Roman"/>
                      <w:b w:val="0"/>
                      <w:bCs/>
                      <w:color w:val="auto"/>
                      <w:kern w:val="0"/>
                      <w:sz w:val="21"/>
                      <w:szCs w:val="21"/>
                    </w:rPr>
                    <w:t>m</w:t>
                  </w:r>
                  <w:r>
                    <w:rPr>
                      <w:rFonts w:hint="default" w:ascii="Times New Roman" w:hAnsi="Times New Roman" w:eastAsia="宋体" w:cs="Times New Roman"/>
                      <w:b w:val="0"/>
                      <w:bCs/>
                      <w:color w:val="auto"/>
                      <w:kern w:val="0"/>
                      <w:sz w:val="21"/>
                      <w:szCs w:val="21"/>
                      <w:vertAlign w:val="superscript"/>
                    </w:rPr>
                    <w:t>3</w:t>
                  </w:r>
                  <w:r>
                    <w:rPr>
                      <w:rFonts w:hint="default" w:ascii="Times New Roman" w:hAnsi="Times New Roman" w:eastAsia="宋体" w:cs="Times New Roman"/>
                      <w:b w:val="0"/>
                      <w:bCs/>
                      <w:color w:val="auto"/>
                      <w:kern w:val="0"/>
                      <w:sz w:val="21"/>
                      <w:szCs w:val="21"/>
                    </w:rPr>
                    <w:t>/h</w:t>
                  </w:r>
                  <w:r>
                    <w:rPr>
                      <w:rFonts w:hint="eastAsia" w:cs="Times New Roman"/>
                      <w:b w:val="0"/>
                      <w:bCs/>
                      <w:color w:val="auto"/>
                      <w:kern w:val="0"/>
                      <w:sz w:val="21"/>
                      <w:szCs w:val="21"/>
                      <w:lang w:eastAsia="zh-CN"/>
                    </w:rPr>
                    <w:t>）</w:t>
                  </w:r>
                </w:p>
              </w:tc>
              <w:tc>
                <w:tcPr>
                  <w:tcW w:w="344" w:type="pct"/>
                  <w:vMerge w:val="restart"/>
                  <w:noWrap w:val="0"/>
                  <w:vAlign w:val="center"/>
                </w:tcPr>
                <w:p w14:paraId="3CC4509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产生浓度</w:t>
                  </w:r>
                  <w:r>
                    <w:rPr>
                      <w:rFonts w:hint="eastAsia" w:cs="Times New Roman"/>
                      <w:b w:val="0"/>
                      <w:bCs/>
                      <w:color w:val="auto"/>
                      <w:kern w:val="0"/>
                      <w:sz w:val="21"/>
                      <w:szCs w:val="21"/>
                      <w:lang w:eastAsia="zh-CN"/>
                    </w:rPr>
                    <w:t>（</w:t>
                  </w:r>
                  <w:r>
                    <w:rPr>
                      <w:rFonts w:hint="default" w:ascii="Times New Roman" w:hAnsi="Times New Roman" w:eastAsia="宋体" w:cs="Times New Roman"/>
                      <w:b w:val="0"/>
                      <w:bCs/>
                      <w:color w:val="auto"/>
                      <w:kern w:val="0"/>
                      <w:sz w:val="21"/>
                      <w:szCs w:val="21"/>
                    </w:rPr>
                    <w:t>mg/m</w:t>
                  </w:r>
                  <w:r>
                    <w:rPr>
                      <w:rFonts w:hint="default" w:ascii="Times New Roman" w:hAnsi="Times New Roman" w:eastAsia="宋体" w:cs="Times New Roman"/>
                      <w:b w:val="0"/>
                      <w:bCs/>
                      <w:color w:val="auto"/>
                      <w:kern w:val="0"/>
                      <w:sz w:val="21"/>
                      <w:szCs w:val="21"/>
                      <w:vertAlign w:val="superscript"/>
                    </w:rPr>
                    <w:t>3</w:t>
                  </w:r>
                  <w:r>
                    <w:rPr>
                      <w:rFonts w:hint="eastAsia" w:cs="Times New Roman"/>
                      <w:b w:val="0"/>
                      <w:bCs/>
                      <w:color w:val="auto"/>
                      <w:kern w:val="0"/>
                      <w:sz w:val="21"/>
                      <w:szCs w:val="21"/>
                      <w:vertAlign w:val="superscript"/>
                      <w:lang w:eastAsia="zh-CN"/>
                    </w:rPr>
                    <w:t>）</w:t>
                  </w:r>
                </w:p>
              </w:tc>
              <w:tc>
                <w:tcPr>
                  <w:tcW w:w="692" w:type="pct"/>
                  <w:gridSpan w:val="2"/>
                  <w:noWrap w:val="0"/>
                  <w:vAlign w:val="center"/>
                </w:tcPr>
                <w:p w14:paraId="474E4EA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产生量</w:t>
                  </w:r>
                </w:p>
              </w:tc>
              <w:tc>
                <w:tcPr>
                  <w:tcW w:w="416" w:type="pct"/>
                  <w:vMerge w:val="restart"/>
                  <w:noWrap w:val="0"/>
                  <w:vAlign w:val="center"/>
                </w:tcPr>
                <w:p w14:paraId="5AFC302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工艺</w:t>
                  </w:r>
                </w:p>
              </w:tc>
              <w:tc>
                <w:tcPr>
                  <w:tcW w:w="195" w:type="pct"/>
                  <w:vMerge w:val="restart"/>
                  <w:noWrap w:val="0"/>
                  <w:vAlign w:val="center"/>
                </w:tcPr>
                <w:p w14:paraId="6B07AED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效率</w:t>
                  </w:r>
                </w:p>
              </w:tc>
              <w:tc>
                <w:tcPr>
                  <w:tcW w:w="256" w:type="pct"/>
                  <w:vMerge w:val="restart"/>
                  <w:noWrap w:val="0"/>
                  <w:vAlign w:val="center"/>
                </w:tcPr>
                <w:p w14:paraId="2BFE516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核算</w:t>
                  </w:r>
                </w:p>
                <w:p w14:paraId="4554ECE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方法</w:t>
                  </w:r>
                </w:p>
              </w:tc>
              <w:tc>
                <w:tcPr>
                  <w:tcW w:w="312" w:type="pct"/>
                  <w:vMerge w:val="restart"/>
                  <w:noWrap w:val="0"/>
                  <w:vAlign w:val="center"/>
                </w:tcPr>
                <w:p w14:paraId="2FE0766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废气排放量</w:t>
                  </w:r>
                  <w:r>
                    <w:rPr>
                      <w:rFonts w:hint="eastAsia" w:cs="Times New Roman"/>
                      <w:b w:val="0"/>
                      <w:bCs/>
                      <w:color w:val="auto"/>
                      <w:kern w:val="0"/>
                      <w:sz w:val="21"/>
                      <w:szCs w:val="21"/>
                      <w:lang w:eastAsia="zh-CN"/>
                    </w:rPr>
                    <w:t>（</w:t>
                  </w:r>
                  <w:r>
                    <w:rPr>
                      <w:rFonts w:hint="default" w:ascii="Times New Roman" w:hAnsi="Times New Roman" w:eastAsia="宋体" w:cs="Times New Roman"/>
                      <w:b w:val="0"/>
                      <w:bCs/>
                      <w:color w:val="auto"/>
                      <w:kern w:val="0"/>
                      <w:sz w:val="21"/>
                      <w:szCs w:val="21"/>
                    </w:rPr>
                    <w:t>m</w:t>
                  </w:r>
                  <w:r>
                    <w:rPr>
                      <w:rFonts w:hint="default" w:ascii="Times New Roman" w:hAnsi="Times New Roman" w:eastAsia="宋体" w:cs="Times New Roman"/>
                      <w:b w:val="0"/>
                      <w:bCs/>
                      <w:color w:val="auto"/>
                      <w:kern w:val="0"/>
                      <w:sz w:val="21"/>
                      <w:szCs w:val="21"/>
                      <w:vertAlign w:val="superscript"/>
                    </w:rPr>
                    <w:t>3</w:t>
                  </w:r>
                  <w:r>
                    <w:rPr>
                      <w:rFonts w:hint="default" w:ascii="Times New Roman" w:hAnsi="Times New Roman" w:eastAsia="宋体" w:cs="Times New Roman"/>
                      <w:b w:val="0"/>
                      <w:bCs/>
                      <w:color w:val="auto"/>
                      <w:kern w:val="0"/>
                      <w:sz w:val="21"/>
                      <w:szCs w:val="21"/>
                    </w:rPr>
                    <w:t>/h</w:t>
                  </w:r>
                  <w:r>
                    <w:rPr>
                      <w:rFonts w:hint="eastAsia" w:cs="Times New Roman"/>
                      <w:b w:val="0"/>
                      <w:bCs/>
                      <w:color w:val="auto"/>
                      <w:kern w:val="0"/>
                      <w:sz w:val="21"/>
                      <w:szCs w:val="21"/>
                      <w:lang w:eastAsia="zh-CN"/>
                    </w:rPr>
                    <w:t>）</w:t>
                  </w:r>
                </w:p>
              </w:tc>
              <w:tc>
                <w:tcPr>
                  <w:tcW w:w="312" w:type="pct"/>
                  <w:vMerge w:val="restart"/>
                  <w:noWrap w:val="0"/>
                  <w:vAlign w:val="center"/>
                </w:tcPr>
                <w:p w14:paraId="03C2809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排放浓度</w:t>
                  </w:r>
                  <w:r>
                    <w:rPr>
                      <w:rFonts w:hint="eastAsia" w:cs="Times New Roman"/>
                      <w:b w:val="0"/>
                      <w:bCs/>
                      <w:color w:val="auto"/>
                      <w:kern w:val="0"/>
                      <w:sz w:val="21"/>
                      <w:szCs w:val="21"/>
                      <w:lang w:eastAsia="zh-CN"/>
                    </w:rPr>
                    <w:t>（</w:t>
                  </w:r>
                  <w:r>
                    <w:rPr>
                      <w:rFonts w:hint="default" w:ascii="Times New Roman" w:hAnsi="Times New Roman" w:eastAsia="宋体" w:cs="Times New Roman"/>
                      <w:b w:val="0"/>
                      <w:bCs/>
                      <w:color w:val="auto"/>
                      <w:kern w:val="0"/>
                      <w:sz w:val="21"/>
                      <w:szCs w:val="21"/>
                    </w:rPr>
                    <w:t>mg/m</w:t>
                  </w:r>
                  <w:r>
                    <w:rPr>
                      <w:rFonts w:hint="default" w:ascii="Times New Roman" w:hAnsi="Times New Roman" w:eastAsia="宋体" w:cs="Times New Roman"/>
                      <w:b w:val="0"/>
                      <w:bCs/>
                      <w:color w:val="auto"/>
                      <w:kern w:val="0"/>
                      <w:sz w:val="21"/>
                      <w:szCs w:val="21"/>
                      <w:vertAlign w:val="superscript"/>
                    </w:rPr>
                    <w:t>3</w:t>
                  </w:r>
                  <w:r>
                    <w:rPr>
                      <w:rFonts w:hint="eastAsia" w:cs="Times New Roman"/>
                      <w:b w:val="0"/>
                      <w:bCs/>
                      <w:color w:val="auto"/>
                      <w:kern w:val="0"/>
                      <w:sz w:val="21"/>
                      <w:szCs w:val="21"/>
                      <w:vertAlign w:val="superscript"/>
                      <w:lang w:eastAsia="zh-CN"/>
                    </w:rPr>
                    <w:t>）</w:t>
                  </w:r>
                </w:p>
              </w:tc>
              <w:tc>
                <w:tcPr>
                  <w:tcW w:w="634" w:type="pct"/>
                  <w:gridSpan w:val="2"/>
                  <w:noWrap w:val="0"/>
                  <w:vAlign w:val="center"/>
                </w:tcPr>
                <w:p w14:paraId="3259285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排放量</w:t>
                  </w:r>
                </w:p>
              </w:tc>
              <w:tc>
                <w:tcPr>
                  <w:tcW w:w="234" w:type="pct"/>
                  <w:vMerge w:val="continue"/>
                  <w:noWrap w:val="0"/>
                  <w:vAlign w:val="center"/>
                </w:tcPr>
                <w:p w14:paraId="4BB8C33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p>
              </w:tc>
            </w:tr>
            <w:tr w14:paraId="3E115EBE">
              <w:trPr>
                <w:trHeight w:val="397" w:hRule="atLeast"/>
                <w:tblHeader/>
                <w:jc w:val="center"/>
              </w:trPr>
              <w:tc>
                <w:tcPr>
                  <w:tcW w:w="244" w:type="pct"/>
                  <w:vMerge w:val="continue"/>
                  <w:noWrap w:val="0"/>
                  <w:vAlign w:val="center"/>
                </w:tcPr>
                <w:p w14:paraId="4028CD1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189" w:type="pct"/>
                  <w:vMerge w:val="continue"/>
                  <w:noWrap w:val="0"/>
                  <w:vAlign w:val="center"/>
                </w:tcPr>
                <w:p w14:paraId="3E1BE2E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276" w:type="pct"/>
                  <w:vMerge w:val="continue"/>
                  <w:noWrap w:val="0"/>
                  <w:vAlign w:val="center"/>
                </w:tcPr>
                <w:p w14:paraId="7767BF2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309" w:type="pct"/>
                  <w:vMerge w:val="continue"/>
                  <w:noWrap w:val="0"/>
                  <w:vAlign w:val="center"/>
                </w:tcPr>
                <w:p w14:paraId="473846A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258" w:type="pct"/>
                  <w:vMerge w:val="continue"/>
                  <w:noWrap w:val="0"/>
                  <w:vAlign w:val="center"/>
                </w:tcPr>
                <w:p w14:paraId="70D289B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324" w:type="pct"/>
                  <w:vMerge w:val="continue"/>
                  <w:noWrap w:val="0"/>
                  <w:vAlign w:val="center"/>
                </w:tcPr>
                <w:p w14:paraId="43F4E6D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344" w:type="pct"/>
                  <w:vMerge w:val="continue"/>
                  <w:noWrap w:val="0"/>
                  <w:vAlign w:val="center"/>
                </w:tcPr>
                <w:p w14:paraId="3A9642D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332" w:type="pct"/>
                  <w:noWrap w:val="0"/>
                  <w:vAlign w:val="center"/>
                </w:tcPr>
                <w:p w14:paraId="20EF6FD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eastAsia" w:cs="Times New Roman"/>
                      <w:b w:val="0"/>
                      <w:bCs/>
                      <w:color w:val="auto"/>
                      <w:kern w:val="0"/>
                      <w:sz w:val="21"/>
                      <w:szCs w:val="21"/>
                      <w:lang w:eastAsia="zh-CN"/>
                    </w:rPr>
                    <w:t>(</w:t>
                  </w:r>
                  <w:r>
                    <w:rPr>
                      <w:rFonts w:hint="default" w:ascii="Times New Roman" w:hAnsi="Times New Roman" w:eastAsia="宋体" w:cs="Times New Roman"/>
                      <w:b w:val="0"/>
                      <w:bCs/>
                      <w:color w:val="auto"/>
                      <w:kern w:val="0"/>
                      <w:sz w:val="21"/>
                      <w:szCs w:val="21"/>
                    </w:rPr>
                    <w:t>kg/h</w:t>
                  </w:r>
                  <w:r>
                    <w:rPr>
                      <w:rFonts w:hint="eastAsia" w:cs="Times New Roman"/>
                      <w:b w:val="0"/>
                      <w:bCs/>
                      <w:color w:val="auto"/>
                      <w:kern w:val="0"/>
                      <w:sz w:val="21"/>
                      <w:szCs w:val="21"/>
                      <w:lang w:eastAsia="zh-CN"/>
                    </w:rPr>
                    <w:t>)</w:t>
                  </w:r>
                </w:p>
              </w:tc>
              <w:tc>
                <w:tcPr>
                  <w:tcW w:w="360" w:type="pct"/>
                  <w:noWrap w:val="0"/>
                  <w:vAlign w:val="center"/>
                </w:tcPr>
                <w:p w14:paraId="465E3A9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eastAsia" w:cs="Times New Roman"/>
                      <w:b w:val="0"/>
                      <w:bCs/>
                      <w:color w:val="auto"/>
                      <w:kern w:val="0"/>
                      <w:sz w:val="21"/>
                      <w:szCs w:val="21"/>
                      <w:lang w:eastAsia="zh-CN"/>
                    </w:rPr>
                    <w:t>(</w:t>
                  </w:r>
                  <w:r>
                    <w:rPr>
                      <w:rFonts w:hint="default" w:ascii="Times New Roman" w:hAnsi="Times New Roman" w:eastAsia="宋体" w:cs="Times New Roman"/>
                      <w:b w:val="0"/>
                      <w:bCs/>
                      <w:color w:val="auto"/>
                      <w:kern w:val="0"/>
                      <w:sz w:val="21"/>
                      <w:szCs w:val="21"/>
                    </w:rPr>
                    <w:t>t/a</w:t>
                  </w:r>
                  <w:r>
                    <w:rPr>
                      <w:rFonts w:hint="eastAsia" w:cs="Times New Roman"/>
                      <w:b w:val="0"/>
                      <w:bCs/>
                      <w:color w:val="auto"/>
                      <w:kern w:val="0"/>
                      <w:sz w:val="21"/>
                      <w:szCs w:val="21"/>
                      <w:lang w:eastAsia="zh-CN"/>
                    </w:rPr>
                    <w:t>)</w:t>
                  </w:r>
                </w:p>
              </w:tc>
              <w:tc>
                <w:tcPr>
                  <w:tcW w:w="416" w:type="pct"/>
                  <w:vMerge w:val="continue"/>
                  <w:noWrap w:val="0"/>
                  <w:vAlign w:val="center"/>
                </w:tcPr>
                <w:p w14:paraId="5C43A77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195" w:type="pct"/>
                  <w:vMerge w:val="continue"/>
                  <w:noWrap w:val="0"/>
                  <w:vAlign w:val="center"/>
                </w:tcPr>
                <w:p w14:paraId="07B4A0F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256" w:type="pct"/>
                  <w:vMerge w:val="continue"/>
                  <w:noWrap w:val="0"/>
                  <w:vAlign w:val="center"/>
                </w:tcPr>
                <w:p w14:paraId="2164861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312" w:type="pct"/>
                  <w:vMerge w:val="continue"/>
                  <w:noWrap w:val="0"/>
                  <w:vAlign w:val="center"/>
                </w:tcPr>
                <w:p w14:paraId="27210D9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312" w:type="pct"/>
                  <w:vMerge w:val="continue"/>
                  <w:noWrap w:val="0"/>
                  <w:vAlign w:val="center"/>
                </w:tcPr>
                <w:p w14:paraId="65A2E22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324" w:type="pct"/>
                  <w:noWrap w:val="0"/>
                  <w:vAlign w:val="center"/>
                </w:tcPr>
                <w:p w14:paraId="724D553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eastAsia" w:cs="Times New Roman"/>
                      <w:b w:val="0"/>
                      <w:bCs/>
                      <w:color w:val="auto"/>
                      <w:kern w:val="0"/>
                      <w:sz w:val="21"/>
                      <w:szCs w:val="21"/>
                      <w:lang w:eastAsia="zh-CN"/>
                    </w:rPr>
                    <w:t>(</w:t>
                  </w:r>
                  <w:r>
                    <w:rPr>
                      <w:rFonts w:hint="default" w:ascii="Times New Roman" w:hAnsi="Times New Roman" w:eastAsia="宋体" w:cs="Times New Roman"/>
                      <w:b w:val="0"/>
                      <w:bCs/>
                      <w:color w:val="auto"/>
                      <w:kern w:val="0"/>
                      <w:sz w:val="21"/>
                      <w:szCs w:val="21"/>
                    </w:rPr>
                    <w:t>kg/h</w:t>
                  </w:r>
                  <w:r>
                    <w:rPr>
                      <w:rFonts w:hint="eastAsia" w:cs="Times New Roman"/>
                      <w:b w:val="0"/>
                      <w:bCs/>
                      <w:color w:val="auto"/>
                      <w:kern w:val="0"/>
                      <w:sz w:val="21"/>
                      <w:szCs w:val="21"/>
                      <w:lang w:eastAsia="zh-CN"/>
                    </w:rPr>
                    <w:t>)</w:t>
                  </w:r>
                </w:p>
              </w:tc>
              <w:tc>
                <w:tcPr>
                  <w:tcW w:w="310" w:type="pct"/>
                  <w:noWrap w:val="0"/>
                  <w:vAlign w:val="center"/>
                </w:tcPr>
                <w:p w14:paraId="173A598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eastAsia" w:cs="Times New Roman"/>
                      <w:b w:val="0"/>
                      <w:bCs/>
                      <w:color w:val="auto"/>
                      <w:kern w:val="0"/>
                      <w:sz w:val="21"/>
                      <w:szCs w:val="21"/>
                      <w:lang w:eastAsia="zh-CN"/>
                    </w:rPr>
                    <w:t>(</w:t>
                  </w:r>
                  <w:r>
                    <w:rPr>
                      <w:rFonts w:hint="default" w:ascii="Times New Roman" w:hAnsi="Times New Roman" w:eastAsia="宋体" w:cs="Times New Roman"/>
                      <w:b w:val="0"/>
                      <w:bCs/>
                      <w:color w:val="auto"/>
                      <w:kern w:val="0"/>
                      <w:sz w:val="21"/>
                      <w:szCs w:val="21"/>
                    </w:rPr>
                    <w:t>t/a</w:t>
                  </w:r>
                  <w:r>
                    <w:rPr>
                      <w:rFonts w:hint="eastAsia" w:cs="Times New Roman"/>
                      <w:b w:val="0"/>
                      <w:bCs/>
                      <w:color w:val="auto"/>
                      <w:kern w:val="0"/>
                      <w:sz w:val="21"/>
                      <w:szCs w:val="21"/>
                      <w:lang w:eastAsia="zh-CN"/>
                    </w:rPr>
                    <w:t>)</w:t>
                  </w:r>
                </w:p>
              </w:tc>
              <w:tc>
                <w:tcPr>
                  <w:tcW w:w="234" w:type="pct"/>
                  <w:vMerge w:val="continue"/>
                  <w:noWrap w:val="0"/>
                  <w:vAlign w:val="center"/>
                </w:tcPr>
                <w:p w14:paraId="75FDC85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rPr>
                  </w:pPr>
                </w:p>
              </w:tc>
            </w:tr>
            <w:tr w14:paraId="62610D2B">
              <w:trPr>
                <w:trHeight w:val="397" w:hRule="atLeast"/>
                <w:tblHeader/>
                <w:jc w:val="center"/>
              </w:trPr>
              <w:tc>
                <w:tcPr>
                  <w:tcW w:w="244" w:type="pct"/>
                  <w:vMerge w:val="restart"/>
                  <w:noWrap w:val="0"/>
                  <w:vAlign w:val="center"/>
                </w:tcPr>
                <w:p w14:paraId="5C13307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消毒</w:t>
                  </w:r>
                </w:p>
              </w:tc>
              <w:tc>
                <w:tcPr>
                  <w:tcW w:w="189" w:type="pct"/>
                  <w:vMerge w:val="restart"/>
                  <w:noWrap w:val="0"/>
                  <w:vAlign w:val="center"/>
                </w:tcPr>
                <w:p w14:paraId="4AED9826">
                  <w:pPr>
                    <w:pStyle w:val="16"/>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olor w:val="auto"/>
                      <w:sz w:val="21"/>
                      <w:lang w:val="en-US" w:eastAsia="zh-CN"/>
                    </w:rPr>
                    <w:t>G</w:t>
                  </w:r>
                  <w:r>
                    <w:rPr>
                      <w:rFonts w:hint="eastAsia"/>
                      <w:color w:val="auto"/>
                      <w:sz w:val="21"/>
                      <w:vertAlign w:val="subscript"/>
                      <w:lang w:val="en-US" w:eastAsia="zh-CN"/>
                    </w:rPr>
                    <w:t>1</w:t>
                  </w:r>
                  <w:r>
                    <w:rPr>
                      <w:rFonts w:hint="eastAsia"/>
                      <w:color w:val="auto"/>
                      <w:sz w:val="21"/>
                      <w:vertAlign w:val="baseline"/>
                      <w:lang w:val="en-US" w:eastAsia="zh-CN"/>
                    </w:rPr>
                    <w:t>、</w:t>
                  </w:r>
                  <w:r>
                    <w:rPr>
                      <w:rFonts w:hint="eastAsia"/>
                      <w:color w:val="auto"/>
                      <w:sz w:val="21"/>
                      <w:lang w:val="en-US" w:eastAsia="zh-CN"/>
                    </w:rPr>
                    <w:t>G</w:t>
                  </w:r>
                  <w:r>
                    <w:rPr>
                      <w:rFonts w:hint="eastAsia"/>
                      <w:color w:val="auto"/>
                      <w:sz w:val="21"/>
                      <w:vertAlign w:val="subscript"/>
                      <w:lang w:val="en-US" w:eastAsia="zh-CN"/>
                    </w:rPr>
                    <w:t>2</w:t>
                  </w:r>
                </w:p>
              </w:tc>
              <w:tc>
                <w:tcPr>
                  <w:tcW w:w="276" w:type="pct"/>
                  <w:noWrap w:val="0"/>
                  <w:vAlign w:val="center"/>
                </w:tcPr>
                <w:p w14:paraId="775CFC8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kern w:val="0"/>
                      <w:sz w:val="21"/>
                      <w:szCs w:val="21"/>
                      <w:lang w:val="en-US" w:eastAsia="zh-CN"/>
                    </w:rPr>
                    <w:t>有组织</w:t>
                  </w:r>
                </w:p>
              </w:tc>
              <w:tc>
                <w:tcPr>
                  <w:tcW w:w="309" w:type="pct"/>
                  <w:vMerge w:val="restart"/>
                  <w:noWrap w:val="0"/>
                  <w:vAlign w:val="center"/>
                </w:tcPr>
                <w:p w14:paraId="7F08791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非甲烷总烃</w:t>
                  </w:r>
                </w:p>
              </w:tc>
              <w:tc>
                <w:tcPr>
                  <w:tcW w:w="258" w:type="pct"/>
                  <w:vMerge w:val="restart"/>
                  <w:noWrap w:val="0"/>
                  <w:vAlign w:val="center"/>
                </w:tcPr>
                <w:p w14:paraId="30CF187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r>
                    <w:rPr>
                      <w:rFonts w:hint="eastAsia" w:cs="Times New Roman"/>
                      <w:bCs/>
                      <w:color w:val="auto"/>
                      <w:kern w:val="0"/>
                      <w:sz w:val="21"/>
                      <w:szCs w:val="21"/>
                      <w:lang w:val="en-US" w:eastAsia="zh-CN"/>
                    </w:rPr>
                    <w:t>物料平衡法</w:t>
                  </w:r>
                </w:p>
              </w:tc>
              <w:tc>
                <w:tcPr>
                  <w:tcW w:w="324" w:type="pct"/>
                  <w:noWrap w:val="0"/>
                  <w:vAlign w:val="center"/>
                </w:tcPr>
                <w:p w14:paraId="00FA40E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15000</w:t>
                  </w:r>
                </w:p>
              </w:tc>
              <w:tc>
                <w:tcPr>
                  <w:tcW w:w="1035" w:type="dxa"/>
                  <w:noWrap w:val="0"/>
                  <w:vAlign w:val="center"/>
                </w:tcPr>
                <w:p w14:paraId="615D002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55.599 </w:t>
                  </w:r>
                </w:p>
              </w:tc>
              <w:tc>
                <w:tcPr>
                  <w:tcW w:w="999" w:type="dxa"/>
                  <w:noWrap w:val="0"/>
                  <w:vAlign w:val="center"/>
                </w:tcPr>
                <w:p w14:paraId="11F6B66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0.834 </w:t>
                  </w:r>
                </w:p>
              </w:tc>
              <w:tc>
                <w:tcPr>
                  <w:tcW w:w="1086" w:type="dxa"/>
                  <w:noWrap w:val="0"/>
                  <w:vAlign w:val="center"/>
                </w:tcPr>
                <w:p w14:paraId="5E61D18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5.504 </w:t>
                  </w:r>
                </w:p>
              </w:tc>
              <w:tc>
                <w:tcPr>
                  <w:tcW w:w="416" w:type="pct"/>
                  <w:noWrap w:val="0"/>
                  <w:vAlign w:val="center"/>
                </w:tcPr>
                <w:p w14:paraId="58B3AB2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碱液喷淋</w:t>
                  </w:r>
                </w:p>
              </w:tc>
              <w:tc>
                <w:tcPr>
                  <w:tcW w:w="195" w:type="pct"/>
                  <w:noWrap w:val="0"/>
                  <w:vAlign w:val="center"/>
                </w:tcPr>
                <w:p w14:paraId="22E5EFA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90%</w:t>
                  </w:r>
                </w:p>
              </w:tc>
              <w:tc>
                <w:tcPr>
                  <w:tcW w:w="256" w:type="pct"/>
                  <w:vMerge w:val="restart"/>
                  <w:noWrap w:val="0"/>
                  <w:vAlign w:val="center"/>
                </w:tcPr>
                <w:p w14:paraId="2647B94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物料平衡法</w:t>
                  </w:r>
                </w:p>
              </w:tc>
              <w:tc>
                <w:tcPr>
                  <w:tcW w:w="312" w:type="pct"/>
                  <w:noWrap w:val="0"/>
                  <w:vAlign w:val="center"/>
                </w:tcPr>
                <w:p w14:paraId="495E468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15000</w:t>
                  </w:r>
                </w:p>
              </w:tc>
              <w:tc>
                <w:tcPr>
                  <w:tcW w:w="938" w:type="dxa"/>
                  <w:noWrap w:val="0"/>
                  <w:vAlign w:val="center"/>
                </w:tcPr>
                <w:p w14:paraId="7F9DCB2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5.560 </w:t>
                  </w:r>
                </w:p>
              </w:tc>
              <w:tc>
                <w:tcPr>
                  <w:tcW w:w="974" w:type="dxa"/>
                  <w:noWrap w:val="0"/>
                  <w:vAlign w:val="center"/>
                </w:tcPr>
                <w:p w14:paraId="3A940DC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0.083 </w:t>
                  </w:r>
                </w:p>
              </w:tc>
              <w:tc>
                <w:tcPr>
                  <w:tcW w:w="933" w:type="dxa"/>
                  <w:noWrap w:val="0"/>
                  <w:vAlign w:val="center"/>
                </w:tcPr>
                <w:p w14:paraId="3E69975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0.550 </w:t>
                  </w:r>
                </w:p>
              </w:tc>
              <w:tc>
                <w:tcPr>
                  <w:tcW w:w="234" w:type="pct"/>
                  <w:vMerge w:val="restart"/>
                  <w:noWrap w:val="0"/>
                  <w:vAlign w:val="center"/>
                </w:tcPr>
                <w:p w14:paraId="0A5C750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6600</w:t>
                  </w:r>
                </w:p>
              </w:tc>
            </w:tr>
            <w:tr w14:paraId="171099B1">
              <w:trPr>
                <w:trHeight w:val="397" w:hRule="atLeast"/>
                <w:tblHeader/>
                <w:jc w:val="center"/>
              </w:trPr>
              <w:tc>
                <w:tcPr>
                  <w:tcW w:w="244" w:type="pct"/>
                  <w:vMerge w:val="continue"/>
                  <w:noWrap w:val="0"/>
                  <w:vAlign w:val="center"/>
                </w:tcPr>
                <w:p w14:paraId="7A4DCA9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p>
              </w:tc>
              <w:tc>
                <w:tcPr>
                  <w:tcW w:w="189" w:type="pct"/>
                  <w:vMerge w:val="continue"/>
                  <w:noWrap w:val="0"/>
                  <w:vAlign w:val="center"/>
                </w:tcPr>
                <w:p w14:paraId="31DE510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p>
              </w:tc>
              <w:tc>
                <w:tcPr>
                  <w:tcW w:w="276" w:type="pct"/>
                  <w:noWrap w:val="0"/>
                  <w:vAlign w:val="center"/>
                </w:tcPr>
                <w:p w14:paraId="16E1FEB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无组织</w:t>
                  </w:r>
                </w:p>
              </w:tc>
              <w:tc>
                <w:tcPr>
                  <w:tcW w:w="309" w:type="pct"/>
                  <w:vMerge w:val="continue"/>
                  <w:noWrap w:val="0"/>
                  <w:vAlign w:val="center"/>
                </w:tcPr>
                <w:p w14:paraId="44B68D6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p>
              </w:tc>
              <w:tc>
                <w:tcPr>
                  <w:tcW w:w="258" w:type="pct"/>
                  <w:vMerge w:val="continue"/>
                  <w:noWrap w:val="0"/>
                  <w:vAlign w:val="center"/>
                </w:tcPr>
                <w:p w14:paraId="0F326EB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p>
              </w:tc>
              <w:tc>
                <w:tcPr>
                  <w:tcW w:w="324" w:type="pct"/>
                  <w:noWrap w:val="0"/>
                  <w:vAlign w:val="center"/>
                </w:tcPr>
                <w:p w14:paraId="0EA77A5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344" w:type="pct"/>
                  <w:noWrap w:val="0"/>
                  <w:vAlign w:val="center"/>
                </w:tcPr>
                <w:p w14:paraId="27F7DD7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999" w:type="dxa"/>
                  <w:noWrap w:val="0"/>
                  <w:vAlign w:val="center"/>
                </w:tcPr>
                <w:p w14:paraId="69EBBBF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44</w:t>
                  </w:r>
                  <w:r>
                    <w:rPr>
                      <w:rFonts w:hint="eastAsia" w:ascii="Times New Roman" w:hAnsi="Times New Roman" w:eastAsia="宋体" w:cs="Times New Roman"/>
                      <w:i w:val="0"/>
                      <w:iCs w:val="0"/>
                      <w:color w:val="auto"/>
                      <w:kern w:val="0"/>
                      <w:sz w:val="21"/>
                      <w:szCs w:val="21"/>
                      <w:u w:val="none"/>
                      <w:lang w:val="en-US" w:eastAsia="zh-CN" w:bidi="ar"/>
                    </w:rPr>
                    <w:t xml:space="preserve"> </w:t>
                  </w:r>
                </w:p>
              </w:tc>
              <w:tc>
                <w:tcPr>
                  <w:tcW w:w="1086" w:type="dxa"/>
                  <w:noWrap w:val="0"/>
                  <w:vAlign w:val="center"/>
                </w:tcPr>
                <w:p w14:paraId="6684849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0.290 </w:t>
                  </w:r>
                </w:p>
              </w:tc>
              <w:tc>
                <w:tcPr>
                  <w:tcW w:w="416" w:type="pct"/>
                  <w:noWrap w:val="0"/>
                  <w:vAlign w:val="center"/>
                </w:tcPr>
                <w:p w14:paraId="103353D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95" w:type="pct"/>
                  <w:noWrap w:val="0"/>
                  <w:vAlign w:val="center"/>
                </w:tcPr>
                <w:p w14:paraId="38D571E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256" w:type="pct"/>
                  <w:vMerge w:val="continue"/>
                  <w:noWrap w:val="0"/>
                  <w:vAlign w:val="center"/>
                </w:tcPr>
                <w:p w14:paraId="18DB20F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12" w:type="pct"/>
                  <w:noWrap w:val="0"/>
                  <w:vAlign w:val="center"/>
                </w:tcPr>
                <w:p w14:paraId="2B70A77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312" w:type="pct"/>
                  <w:noWrap w:val="0"/>
                  <w:vAlign w:val="center"/>
                </w:tcPr>
                <w:p w14:paraId="4253C8D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974" w:type="dxa"/>
                  <w:noWrap w:val="0"/>
                  <w:vAlign w:val="center"/>
                </w:tcPr>
                <w:p w14:paraId="51044CF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44</w:t>
                  </w:r>
                  <w:r>
                    <w:rPr>
                      <w:rFonts w:hint="eastAsia" w:ascii="Times New Roman" w:hAnsi="Times New Roman" w:eastAsia="宋体" w:cs="Times New Roman"/>
                      <w:i w:val="0"/>
                      <w:iCs w:val="0"/>
                      <w:color w:val="auto"/>
                      <w:kern w:val="0"/>
                      <w:sz w:val="21"/>
                      <w:szCs w:val="21"/>
                      <w:u w:val="none"/>
                      <w:lang w:val="en-US" w:eastAsia="zh-CN" w:bidi="ar"/>
                    </w:rPr>
                    <w:t xml:space="preserve"> </w:t>
                  </w:r>
                </w:p>
              </w:tc>
              <w:tc>
                <w:tcPr>
                  <w:tcW w:w="933" w:type="dxa"/>
                  <w:noWrap w:val="0"/>
                  <w:vAlign w:val="center"/>
                </w:tcPr>
                <w:p w14:paraId="5463A73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0.290 </w:t>
                  </w:r>
                </w:p>
              </w:tc>
              <w:tc>
                <w:tcPr>
                  <w:tcW w:w="234" w:type="pct"/>
                  <w:vMerge w:val="continue"/>
                  <w:noWrap w:val="0"/>
                  <w:vAlign w:val="center"/>
                </w:tcPr>
                <w:p w14:paraId="578F09B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rPr>
                  </w:pPr>
                </w:p>
              </w:tc>
            </w:tr>
            <w:tr w14:paraId="6CBB6601">
              <w:trPr>
                <w:trHeight w:val="397" w:hRule="atLeast"/>
                <w:tblHeader/>
                <w:jc w:val="center"/>
              </w:trPr>
              <w:tc>
                <w:tcPr>
                  <w:tcW w:w="244" w:type="pct"/>
                  <w:vMerge w:val="restart"/>
                  <w:noWrap w:val="0"/>
                  <w:vAlign w:val="center"/>
                </w:tcPr>
                <w:p w14:paraId="5F7BE3F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吹瓶</w:t>
                  </w:r>
                </w:p>
              </w:tc>
              <w:tc>
                <w:tcPr>
                  <w:tcW w:w="189" w:type="pct"/>
                  <w:vMerge w:val="restart"/>
                  <w:noWrap w:val="0"/>
                  <w:vAlign w:val="center"/>
                </w:tcPr>
                <w:p w14:paraId="5CFBC89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olor w:val="auto"/>
                      <w:sz w:val="21"/>
                      <w:lang w:val="en-US" w:eastAsia="zh-CN"/>
                    </w:rPr>
                    <w:t>G</w:t>
                  </w:r>
                  <w:r>
                    <w:rPr>
                      <w:rFonts w:hint="eastAsia"/>
                      <w:color w:val="auto"/>
                      <w:sz w:val="21"/>
                      <w:vertAlign w:val="subscript"/>
                      <w:lang w:val="en-US" w:eastAsia="zh-CN"/>
                    </w:rPr>
                    <w:t>3</w:t>
                  </w:r>
                </w:p>
              </w:tc>
              <w:tc>
                <w:tcPr>
                  <w:tcW w:w="276" w:type="pct"/>
                  <w:noWrap w:val="0"/>
                  <w:vAlign w:val="center"/>
                </w:tcPr>
                <w:p w14:paraId="2E409A4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kern w:val="0"/>
                      <w:sz w:val="21"/>
                      <w:szCs w:val="21"/>
                      <w:lang w:val="en-US" w:eastAsia="zh-CN"/>
                    </w:rPr>
                    <w:t>有组织</w:t>
                  </w:r>
                </w:p>
              </w:tc>
              <w:tc>
                <w:tcPr>
                  <w:tcW w:w="309" w:type="pct"/>
                  <w:vMerge w:val="restart"/>
                  <w:noWrap w:val="0"/>
                  <w:vAlign w:val="center"/>
                </w:tcPr>
                <w:p w14:paraId="326A919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r>
                    <w:rPr>
                      <w:rFonts w:hint="eastAsia" w:cs="Times New Roman"/>
                      <w:bCs/>
                      <w:color w:val="auto"/>
                      <w:sz w:val="21"/>
                      <w:szCs w:val="21"/>
                      <w:lang w:val="en-US" w:eastAsia="zh-CN"/>
                    </w:rPr>
                    <w:t>非甲烷总烃</w:t>
                  </w:r>
                </w:p>
              </w:tc>
              <w:tc>
                <w:tcPr>
                  <w:tcW w:w="258" w:type="pct"/>
                  <w:vMerge w:val="restart"/>
                  <w:noWrap w:val="0"/>
                  <w:vAlign w:val="center"/>
                </w:tcPr>
                <w:p w14:paraId="6666AE0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r>
                    <w:rPr>
                      <w:rFonts w:hint="eastAsia" w:cs="Times New Roman"/>
                      <w:bCs/>
                      <w:color w:val="auto"/>
                      <w:kern w:val="0"/>
                      <w:sz w:val="21"/>
                      <w:szCs w:val="21"/>
                      <w:lang w:val="en-US" w:eastAsia="zh-CN"/>
                    </w:rPr>
                    <w:t>产污系数法</w:t>
                  </w:r>
                </w:p>
              </w:tc>
              <w:tc>
                <w:tcPr>
                  <w:tcW w:w="324" w:type="pct"/>
                  <w:noWrap w:val="0"/>
                  <w:vAlign w:val="center"/>
                </w:tcPr>
                <w:p w14:paraId="5BE9609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5000</w:t>
                  </w:r>
                </w:p>
              </w:tc>
              <w:tc>
                <w:tcPr>
                  <w:tcW w:w="1035" w:type="dxa"/>
                  <w:noWrap w:val="0"/>
                  <w:vAlign w:val="center"/>
                </w:tcPr>
                <w:p w14:paraId="65D8C1B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32.386</w:t>
                  </w:r>
                  <w:r>
                    <w:rPr>
                      <w:rFonts w:hint="eastAsia" w:ascii="Times New Roman" w:hAnsi="Times New Roman" w:eastAsia="宋体" w:cs="Times New Roman"/>
                      <w:i w:val="0"/>
                      <w:iCs w:val="0"/>
                      <w:color w:val="auto"/>
                      <w:kern w:val="0"/>
                      <w:sz w:val="21"/>
                      <w:szCs w:val="21"/>
                      <w:u w:val="none"/>
                      <w:lang w:val="en-US" w:eastAsia="zh-CN" w:bidi="ar"/>
                    </w:rPr>
                    <w:t xml:space="preserve"> </w:t>
                  </w:r>
                </w:p>
              </w:tc>
              <w:tc>
                <w:tcPr>
                  <w:tcW w:w="999" w:type="dxa"/>
                  <w:noWrap w:val="0"/>
                  <w:vAlign w:val="center"/>
                </w:tcPr>
                <w:p w14:paraId="6C0709B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0.162 </w:t>
                  </w:r>
                </w:p>
              </w:tc>
              <w:tc>
                <w:tcPr>
                  <w:tcW w:w="1086" w:type="dxa"/>
                  <w:noWrap w:val="0"/>
                  <w:vAlign w:val="center"/>
                </w:tcPr>
                <w:p w14:paraId="04D4C8E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1.283 </w:t>
                  </w:r>
                </w:p>
              </w:tc>
              <w:tc>
                <w:tcPr>
                  <w:tcW w:w="416" w:type="pct"/>
                  <w:noWrap w:val="0"/>
                  <w:vAlign w:val="center"/>
                </w:tcPr>
                <w:p w14:paraId="716DB2E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二级活性炭吸附装置</w:t>
                  </w:r>
                </w:p>
              </w:tc>
              <w:tc>
                <w:tcPr>
                  <w:tcW w:w="195" w:type="pct"/>
                  <w:noWrap w:val="0"/>
                  <w:vAlign w:val="center"/>
                </w:tcPr>
                <w:p w14:paraId="079EE5F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90%</w:t>
                  </w:r>
                </w:p>
              </w:tc>
              <w:tc>
                <w:tcPr>
                  <w:tcW w:w="256" w:type="pct"/>
                  <w:vMerge w:val="restart"/>
                  <w:noWrap w:val="0"/>
                  <w:vAlign w:val="center"/>
                </w:tcPr>
                <w:p w14:paraId="4F855EF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产污系数法</w:t>
                  </w:r>
                </w:p>
              </w:tc>
              <w:tc>
                <w:tcPr>
                  <w:tcW w:w="312" w:type="pct"/>
                  <w:noWrap w:val="0"/>
                  <w:vAlign w:val="center"/>
                </w:tcPr>
                <w:p w14:paraId="52FFFEF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w:t>
                  </w:r>
                  <w:r>
                    <w:rPr>
                      <w:rFonts w:hint="eastAsia" w:ascii="Times New Roman" w:hAnsi="Times New Roman" w:eastAsia="宋体" w:cs="Times New Roman"/>
                      <w:i w:val="0"/>
                      <w:iCs w:val="0"/>
                      <w:color w:val="auto"/>
                      <w:kern w:val="0"/>
                      <w:sz w:val="21"/>
                      <w:szCs w:val="21"/>
                      <w:u w:val="none"/>
                      <w:lang w:val="en-US" w:eastAsia="zh-CN" w:bidi="ar"/>
                    </w:rPr>
                    <w:t>000</w:t>
                  </w:r>
                </w:p>
              </w:tc>
              <w:tc>
                <w:tcPr>
                  <w:tcW w:w="938" w:type="dxa"/>
                  <w:noWrap w:val="0"/>
                  <w:vAlign w:val="center"/>
                </w:tcPr>
                <w:p w14:paraId="347C70C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3.239</w:t>
                  </w:r>
                  <w:r>
                    <w:rPr>
                      <w:rFonts w:hint="eastAsia" w:ascii="Times New Roman" w:hAnsi="Times New Roman" w:eastAsia="宋体" w:cs="Times New Roman"/>
                      <w:i w:val="0"/>
                      <w:iCs w:val="0"/>
                      <w:color w:val="auto"/>
                      <w:kern w:val="0"/>
                      <w:sz w:val="21"/>
                      <w:szCs w:val="21"/>
                      <w:u w:val="none"/>
                      <w:lang w:val="en-US" w:eastAsia="zh-CN" w:bidi="ar"/>
                    </w:rPr>
                    <w:t xml:space="preserve"> </w:t>
                  </w:r>
                </w:p>
              </w:tc>
              <w:tc>
                <w:tcPr>
                  <w:tcW w:w="974" w:type="dxa"/>
                  <w:noWrap w:val="0"/>
                  <w:vAlign w:val="center"/>
                </w:tcPr>
                <w:p w14:paraId="4738961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0.016 </w:t>
                  </w:r>
                </w:p>
              </w:tc>
              <w:tc>
                <w:tcPr>
                  <w:tcW w:w="933" w:type="dxa"/>
                  <w:noWrap w:val="0"/>
                  <w:vAlign w:val="center"/>
                </w:tcPr>
                <w:p w14:paraId="13EF2CB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0.128 </w:t>
                  </w:r>
                </w:p>
              </w:tc>
              <w:tc>
                <w:tcPr>
                  <w:tcW w:w="234" w:type="pct"/>
                  <w:vMerge w:val="restart"/>
                  <w:noWrap w:val="0"/>
                  <w:vAlign w:val="center"/>
                </w:tcPr>
                <w:p w14:paraId="496AE5F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7920</w:t>
                  </w:r>
                </w:p>
              </w:tc>
            </w:tr>
            <w:tr w14:paraId="4BB63A32">
              <w:trPr>
                <w:trHeight w:val="397" w:hRule="atLeast"/>
                <w:tblHeader/>
                <w:jc w:val="center"/>
              </w:trPr>
              <w:tc>
                <w:tcPr>
                  <w:tcW w:w="244" w:type="pct"/>
                  <w:vMerge w:val="continue"/>
                  <w:noWrap w:val="0"/>
                  <w:vAlign w:val="center"/>
                </w:tcPr>
                <w:p w14:paraId="4786270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p>
              </w:tc>
              <w:tc>
                <w:tcPr>
                  <w:tcW w:w="189" w:type="pct"/>
                  <w:vMerge w:val="continue"/>
                  <w:noWrap w:val="0"/>
                  <w:vAlign w:val="center"/>
                </w:tcPr>
                <w:p w14:paraId="0EDA3AE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p>
              </w:tc>
              <w:tc>
                <w:tcPr>
                  <w:tcW w:w="276" w:type="pct"/>
                  <w:noWrap w:val="0"/>
                  <w:vAlign w:val="center"/>
                </w:tcPr>
                <w:p w14:paraId="0F20731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无组织</w:t>
                  </w:r>
                </w:p>
              </w:tc>
              <w:tc>
                <w:tcPr>
                  <w:tcW w:w="309" w:type="pct"/>
                  <w:vMerge w:val="continue"/>
                  <w:noWrap w:val="0"/>
                  <w:vAlign w:val="center"/>
                </w:tcPr>
                <w:p w14:paraId="51FBCD7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p>
              </w:tc>
              <w:tc>
                <w:tcPr>
                  <w:tcW w:w="258" w:type="pct"/>
                  <w:vMerge w:val="continue"/>
                  <w:noWrap w:val="0"/>
                  <w:vAlign w:val="center"/>
                </w:tcPr>
                <w:p w14:paraId="296B014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p>
              </w:tc>
              <w:tc>
                <w:tcPr>
                  <w:tcW w:w="324" w:type="pct"/>
                  <w:noWrap w:val="0"/>
                  <w:vAlign w:val="center"/>
                </w:tcPr>
                <w:p w14:paraId="64D8BCA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344" w:type="pct"/>
                  <w:noWrap w:val="0"/>
                  <w:vAlign w:val="center"/>
                </w:tcPr>
                <w:p w14:paraId="02AFE0B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999" w:type="dxa"/>
                  <w:noWrap w:val="0"/>
                  <w:vAlign w:val="center"/>
                </w:tcPr>
                <w:p w14:paraId="440A16F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0.009 </w:t>
                  </w:r>
                </w:p>
              </w:tc>
              <w:tc>
                <w:tcPr>
                  <w:tcW w:w="1086" w:type="dxa"/>
                  <w:noWrap w:val="0"/>
                  <w:vAlign w:val="center"/>
                </w:tcPr>
                <w:p w14:paraId="0CFB132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0.068 </w:t>
                  </w:r>
                </w:p>
              </w:tc>
              <w:tc>
                <w:tcPr>
                  <w:tcW w:w="416" w:type="pct"/>
                  <w:noWrap w:val="0"/>
                  <w:vAlign w:val="center"/>
                </w:tcPr>
                <w:p w14:paraId="271D211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95" w:type="pct"/>
                  <w:noWrap w:val="0"/>
                  <w:vAlign w:val="center"/>
                </w:tcPr>
                <w:p w14:paraId="1A0BB9B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256" w:type="pct"/>
                  <w:vMerge w:val="continue"/>
                  <w:noWrap w:val="0"/>
                  <w:vAlign w:val="center"/>
                </w:tcPr>
                <w:p w14:paraId="40A9874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12" w:type="pct"/>
                  <w:noWrap w:val="0"/>
                  <w:vAlign w:val="center"/>
                </w:tcPr>
                <w:p w14:paraId="18C5189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312" w:type="pct"/>
                  <w:noWrap w:val="0"/>
                  <w:vAlign w:val="center"/>
                </w:tcPr>
                <w:p w14:paraId="12DC39F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974" w:type="dxa"/>
                  <w:noWrap w:val="0"/>
                  <w:vAlign w:val="center"/>
                </w:tcPr>
                <w:p w14:paraId="1F9875B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0.009 </w:t>
                  </w:r>
                </w:p>
              </w:tc>
              <w:tc>
                <w:tcPr>
                  <w:tcW w:w="933" w:type="dxa"/>
                  <w:noWrap w:val="0"/>
                  <w:vAlign w:val="center"/>
                </w:tcPr>
                <w:p w14:paraId="7663A6F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0.068 </w:t>
                  </w:r>
                </w:p>
              </w:tc>
              <w:tc>
                <w:tcPr>
                  <w:tcW w:w="234" w:type="pct"/>
                  <w:vMerge w:val="continue"/>
                  <w:noWrap w:val="0"/>
                  <w:vAlign w:val="center"/>
                </w:tcPr>
                <w:p w14:paraId="2999F88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rPr>
                  </w:pPr>
                </w:p>
              </w:tc>
            </w:tr>
          </w:tbl>
          <w:p w14:paraId="033CEFCF">
            <w:pPr>
              <w:widowControl/>
              <w:adjustRightInd w:val="0"/>
              <w:snapToGrid w:val="0"/>
              <w:spacing w:line="240" w:lineRule="auto"/>
              <w:ind w:firstLine="0" w:firstLineChars="0"/>
              <w:rPr>
                <w:rFonts w:hint="default" w:ascii="Times New Roman" w:hAnsi="Times New Roman" w:eastAsia="宋体" w:cs="Times New Roman"/>
                <w:bCs/>
                <w:color w:val="auto"/>
                <w:kern w:val="0"/>
                <w:sz w:val="18"/>
                <w:szCs w:val="18"/>
              </w:rPr>
            </w:pPr>
          </w:p>
          <w:p w14:paraId="4BF560E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表4-</w:t>
            </w:r>
            <w:r>
              <w:rPr>
                <w:rFonts w:hint="eastAsia" w:cs="Times New Roman"/>
                <w:b/>
                <w:color w:val="auto"/>
                <w:kern w:val="0"/>
                <w:sz w:val="21"/>
                <w:szCs w:val="21"/>
                <w:lang w:val="en-US" w:eastAsia="zh-CN"/>
              </w:rPr>
              <w:t>2  项目建成后</w:t>
            </w:r>
            <w:r>
              <w:rPr>
                <w:rFonts w:hint="default" w:ascii="Times New Roman" w:hAnsi="Times New Roman" w:eastAsia="宋体" w:cs="Times New Roman"/>
                <w:b/>
                <w:color w:val="auto"/>
                <w:kern w:val="0"/>
                <w:sz w:val="21"/>
                <w:szCs w:val="21"/>
              </w:rPr>
              <w:t>有组织废气污染源源强核算结果及相关参数一览表</w:t>
            </w:r>
          </w:p>
          <w:tbl>
            <w:tblPr>
              <w:tblStyle w:val="20"/>
              <w:tblW w:w="1503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936"/>
              <w:gridCol w:w="1109"/>
              <w:gridCol w:w="1006"/>
              <w:gridCol w:w="681"/>
              <w:gridCol w:w="1189"/>
              <w:gridCol w:w="982"/>
              <w:gridCol w:w="853"/>
              <w:gridCol w:w="1084"/>
              <w:gridCol w:w="683"/>
              <w:gridCol w:w="681"/>
              <w:gridCol w:w="1189"/>
              <w:gridCol w:w="982"/>
              <w:gridCol w:w="820"/>
              <w:gridCol w:w="1189"/>
              <w:gridCol w:w="983"/>
              <w:gridCol w:w="668"/>
            </w:tblGrid>
            <w:tr w14:paraId="43F52D6E">
              <w:trPr>
                <w:trHeight w:val="397" w:hRule="atLeast"/>
                <w:jc w:val="center"/>
              </w:trPr>
              <w:tc>
                <w:tcPr>
                  <w:tcW w:w="936" w:type="dxa"/>
                  <w:vMerge w:val="restart"/>
                  <w:noWrap/>
                  <w:vAlign w:val="center"/>
                </w:tcPr>
                <w:p w14:paraId="4739604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污染源</w:t>
                  </w:r>
                </w:p>
              </w:tc>
              <w:tc>
                <w:tcPr>
                  <w:tcW w:w="1109" w:type="dxa"/>
                  <w:vMerge w:val="restart"/>
                  <w:noWrap/>
                  <w:vAlign w:val="center"/>
                </w:tcPr>
                <w:p w14:paraId="774E568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污染物名称</w:t>
                  </w:r>
                </w:p>
              </w:tc>
              <w:tc>
                <w:tcPr>
                  <w:tcW w:w="1006" w:type="dxa"/>
                  <w:vMerge w:val="restart"/>
                  <w:noWrap/>
                  <w:vAlign w:val="center"/>
                </w:tcPr>
                <w:p w14:paraId="74CC0D9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废气产生量（m</w:t>
                  </w:r>
                  <w:r>
                    <w:rPr>
                      <w:rFonts w:hint="default" w:ascii="Times New Roman" w:hAnsi="Times New Roman" w:eastAsia="宋体" w:cs="Times New Roman"/>
                      <w:b w:val="0"/>
                      <w:bCs/>
                      <w:color w:val="auto"/>
                      <w:kern w:val="0"/>
                      <w:sz w:val="21"/>
                      <w:szCs w:val="21"/>
                      <w:vertAlign w:val="superscript"/>
                    </w:rPr>
                    <w:t>3</w:t>
                  </w:r>
                  <w:r>
                    <w:rPr>
                      <w:rFonts w:hint="default" w:ascii="Times New Roman" w:hAnsi="Times New Roman" w:eastAsia="宋体" w:cs="Times New Roman"/>
                      <w:b w:val="0"/>
                      <w:bCs/>
                      <w:color w:val="auto"/>
                      <w:kern w:val="0"/>
                      <w:sz w:val="21"/>
                      <w:szCs w:val="21"/>
                    </w:rPr>
                    <w:t>/h）</w:t>
                  </w:r>
                </w:p>
              </w:tc>
              <w:tc>
                <w:tcPr>
                  <w:tcW w:w="681" w:type="dxa"/>
                  <w:vMerge w:val="restart"/>
                  <w:noWrap/>
                  <w:vAlign w:val="center"/>
                </w:tcPr>
                <w:p w14:paraId="30D4D9A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核算</w:t>
                  </w:r>
                </w:p>
                <w:p w14:paraId="40C778A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方法</w:t>
                  </w:r>
                </w:p>
              </w:tc>
              <w:tc>
                <w:tcPr>
                  <w:tcW w:w="3024" w:type="dxa"/>
                  <w:gridSpan w:val="3"/>
                  <w:noWrap/>
                  <w:vAlign w:val="center"/>
                </w:tcPr>
                <w:p w14:paraId="60C6B06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产生情况</w:t>
                  </w:r>
                </w:p>
              </w:tc>
              <w:tc>
                <w:tcPr>
                  <w:tcW w:w="1767" w:type="dxa"/>
                  <w:gridSpan w:val="2"/>
                  <w:noWrap/>
                  <w:vAlign w:val="center"/>
                </w:tcPr>
                <w:p w14:paraId="78BA906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治理措施</w:t>
                  </w:r>
                </w:p>
              </w:tc>
              <w:tc>
                <w:tcPr>
                  <w:tcW w:w="681" w:type="dxa"/>
                  <w:vMerge w:val="restart"/>
                  <w:noWrap/>
                  <w:vAlign w:val="center"/>
                </w:tcPr>
                <w:p w14:paraId="1604A66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核算</w:t>
                  </w:r>
                </w:p>
                <w:p w14:paraId="5FABE18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方法</w:t>
                  </w:r>
                </w:p>
              </w:tc>
              <w:tc>
                <w:tcPr>
                  <w:tcW w:w="2991" w:type="dxa"/>
                  <w:gridSpan w:val="3"/>
                  <w:noWrap/>
                  <w:vAlign w:val="center"/>
                </w:tcPr>
                <w:p w14:paraId="03F5786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排放情况</w:t>
                  </w:r>
                </w:p>
              </w:tc>
              <w:tc>
                <w:tcPr>
                  <w:tcW w:w="2172" w:type="dxa"/>
                  <w:gridSpan w:val="2"/>
                  <w:noWrap/>
                  <w:vAlign w:val="center"/>
                </w:tcPr>
                <w:p w14:paraId="66269C1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执行标准</w:t>
                  </w:r>
                </w:p>
              </w:tc>
              <w:tc>
                <w:tcPr>
                  <w:tcW w:w="668" w:type="dxa"/>
                  <w:vMerge w:val="restart"/>
                  <w:noWrap w:val="0"/>
                  <w:vAlign w:val="center"/>
                </w:tcPr>
                <w:p w14:paraId="29814E7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排放时间</w:t>
                  </w:r>
                </w:p>
                <w:p w14:paraId="1DE784F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eastAsia" w:cs="Times New Roman"/>
                      <w:b w:val="0"/>
                      <w:bCs/>
                      <w:color w:val="auto"/>
                      <w:kern w:val="0"/>
                      <w:sz w:val="21"/>
                      <w:szCs w:val="21"/>
                      <w:lang w:eastAsia="zh-CN"/>
                    </w:rPr>
                    <w:t>(</w:t>
                  </w:r>
                  <w:r>
                    <w:rPr>
                      <w:rFonts w:hint="default" w:ascii="Times New Roman" w:hAnsi="Times New Roman" w:eastAsia="宋体" w:cs="Times New Roman"/>
                      <w:b w:val="0"/>
                      <w:bCs/>
                      <w:color w:val="auto"/>
                      <w:kern w:val="0"/>
                      <w:sz w:val="21"/>
                      <w:szCs w:val="21"/>
                    </w:rPr>
                    <w:t>h</w:t>
                  </w:r>
                  <w:r>
                    <w:rPr>
                      <w:rFonts w:hint="eastAsia" w:cs="Times New Roman"/>
                      <w:b w:val="0"/>
                      <w:bCs/>
                      <w:color w:val="auto"/>
                      <w:kern w:val="0"/>
                      <w:sz w:val="21"/>
                      <w:szCs w:val="21"/>
                      <w:lang w:eastAsia="zh-CN"/>
                    </w:rPr>
                    <w:t>)</w:t>
                  </w:r>
                </w:p>
              </w:tc>
            </w:tr>
            <w:tr w14:paraId="7F45F618">
              <w:trPr>
                <w:trHeight w:val="397" w:hRule="atLeast"/>
                <w:jc w:val="center"/>
              </w:trPr>
              <w:tc>
                <w:tcPr>
                  <w:tcW w:w="936" w:type="dxa"/>
                  <w:vMerge w:val="continue"/>
                  <w:noWrap/>
                  <w:vAlign w:val="center"/>
                </w:tcPr>
                <w:p w14:paraId="1840548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1109" w:type="dxa"/>
                  <w:vMerge w:val="continue"/>
                  <w:noWrap/>
                  <w:vAlign w:val="center"/>
                </w:tcPr>
                <w:p w14:paraId="46D7BEB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1006" w:type="dxa"/>
                  <w:vMerge w:val="continue"/>
                  <w:noWrap/>
                  <w:vAlign w:val="center"/>
                </w:tcPr>
                <w:p w14:paraId="6049919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681" w:type="dxa"/>
                  <w:vMerge w:val="continue"/>
                  <w:noWrap/>
                  <w:vAlign w:val="center"/>
                </w:tcPr>
                <w:p w14:paraId="6F563CD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1189" w:type="dxa"/>
                  <w:noWrap/>
                  <w:vAlign w:val="center"/>
                </w:tcPr>
                <w:p w14:paraId="535DD0B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浓度（mg/m</w:t>
                  </w:r>
                  <w:r>
                    <w:rPr>
                      <w:rFonts w:hint="default" w:ascii="Times New Roman" w:hAnsi="Times New Roman" w:eastAsia="宋体" w:cs="Times New Roman"/>
                      <w:b w:val="0"/>
                      <w:bCs/>
                      <w:color w:val="auto"/>
                      <w:kern w:val="0"/>
                      <w:sz w:val="21"/>
                      <w:szCs w:val="21"/>
                      <w:vertAlign w:val="superscript"/>
                    </w:rPr>
                    <w:t>3</w:t>
                  </w:r>
                  <w:r>
                    <w:rPr>
                      <w:rFonts w:hint="default" w:ascii="Times New Roman" w:hAnsi="Times New Roman" w:eastAsia="宋体" w:cs="Times New Roman"/>
                      <w:b w:val="0"/>
                      <w:bCs/>
                      <w:color w:val="auto"/>
                      <w:kern w:val="0"/>
                      <w:sz w:val="21"/>
                      <w:szCs w:val="21"/>
                    </w:rPr>
                    <w:t>）</w:t>
                  </w:r>
                </w:p>
              </w:tc>
              <w:tc>
                <w:tcPr>
                  <w:tcW w:w="982" w:type="dxa"/>
                  <w:noWrap/>
                  <w:vAlign w:val="center"/>
                </w:tcPr>
                <w:p w14:paraId="743E84F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速率（kg/h）</w:t>
                  </w:r>
                </w:p>
              </w:tc>
              <w:tc>
                <w:tcPr>
                  <w:tcW w:w="853" w:type="dxa"/>
                  <w:noWrap/>
                  <w:vAlign w:val="center"/>
                </w:tcPr>
                <w:p w14:paraId="4E265BB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产生量（t/a）</w:t>
                  </w:r>
                </w:p>
              </w:tc>
              <w:tc>
                <w:tcPr>
                  <w:tcW w:w="1084" w:type="dxa"/>
                  <w:noWrap/>
                  <w:vAlign w:val="center"/>
                </w:tcPr>
                <w:p w14:paraId="5CE14B4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工艺</w:t>
                  </w:r>
                </w:p>
              </w:tc>
              <w:tc>
                <w:tcPr>
                  <w:tcW w:w="683" w:type="dxa"/>
                  <w:noWrap/>
                  <w:vAlign w:val="center"/>
                </w:tcPr>
                <w:p w14:paraId="0F6B277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效率</w:t>
                  </w:r>
                </w:p>
              </w:tc>
              <w:tc>
                <w:tcPr>
                  <w:tcW w:w="681" w:type="dxa"/>
                  <w:vMerge w:val="continue"/>
                  <w:noWrap/>
                  <w:vAlign w:val="center"/>
                </w:tcPr>
                <w:p w14:paraId="112017A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1189" w:type="dxa"/>
                  <w:noWrap/>
                  <w:vAlign w:val="center"/>
                </w:tcPr>
                <w:p w14:paraId="7CAD400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浓度（mg/m</w:t>
                  </w:r>
                  <w:r>
                    <w:rPr>
                      <w:rFonts w:hint="default" w:ascii="Times New Roman" w:hAnsi="Times New Roman" w:eastAsia="宋体" w:cs="Times New Roman"/>
                      <w:b w:val="0"/>
                      <w:bCs/>
                      <w:color w:val="auto"/>
                      <w:kern w:val="0"/>
                      <w:sz w:val="21"/>
                      <w:szCs w:val="21"/>
                      <w:vertAlign w:val="superscript"/>
                    </w:rPr>
                    <w:t>3</w:t>
                  </w:r>
                  <w:r>
                    <w:rPr>
                      <w:rFonts w:hint="default" w:ascii="Times New Roman" w:hAnsi="Times New Roman" w:eastAsia="宋体" w:cs="Times New Roman"/>
                      <w:b w:val="0"/>
                      <w:bCs/>
                      <w:color w:val="auto"/>
                      <w:kern w:val="0"/>
                      <w:sz w:val="21"/>
                      <w:szCs w:val="21"/>
                    </w:rPr>
                    <w:t>）</w:t>
                  </w:r>
                </w:p>
              </w:tc>
              <w:tc>
                <w:tcPr>
                  <w:tcW w:w="982" w:type="dxa"/>
                  <w:noWrap/>
                  <w:vAlign w:val="center"/>
                </w:tcPr>
                <w:p w14:paraId="0C3281E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速率（kg/h）</w:t>
                  </w:r>
                </w:p>
              </w:tc>
              <w:tc>
                <w:tcPr>
                  <w:tcW w:w="820" w:type="dxa"/>
                  <w:noWrap/>
                  <w:vAlign w:val="center"/>
                </w:tcPr>
                <w:p w14:paraId="044B520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排放量（t/a）</w:t>
                  </w:r>
                </w:p>
              </w:tc>
              <w:tc>
                <w:tcPr>
                  <w:tcW w:w="1189" w:type="dxa"/>
                  <w:noWrap/>
                  <w:vAlign w:val="center"/>
                </w:tcPr>
                <w:p w14:paraId="180030C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浓度（mg/m</w:t>
                  </w:r>
                  <w:r>
                    <w:rPr>
                      <w:rFonts w:hint="default" w:ascii="Times New Roman" w:hAnsi="Times New Roman" w:eastAsia="宋体" w:cs="Times New Roman"/>
                      <w:b w:val="0"/>
                      <w:bCs/>
                      <w:color w:val="auto"/>
                      <w:kern w:val="0"/>
                      <w:sz w:val="21"/>
                      <w:szCs w:val="21"/>
                      <w:vertAlign w:val="superscript"/>
                    </w:rPr>
                    <w:t>3</w:t>
                  </w:r>
                  <w:r>
                    <w:rPr>
                      <w:rFonts w:hint="default" w:ascii="Times New Roman" w:hAnsi="Times New Roman" w:eastAsia="宋体" w:cs="Times New Roman"/>
                      <w:b w:val="0"/>
                      <w:bCs/>
                      <w:color w:val="auto"/>
                      <w:kern w:val="0"/>
                      <w:sz w:val="21"/>
                      <w:szCs w:val="21"/>
                    </w:rPr>
                    <w:t>）</w:t>
                  </w:r>
                </w:p>
              </w:tc>
              <w:tc>
                <w:tcPr>
                  <w:tcW w:w="983" w:type="dxa"/>
                  <w:noWrap/>
                  <w:vAlign w:val="center"/>
                </w:tcPr>
                <w:p w14:paraId="19F1F55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速率（kg/h）</w:t>
                  </w:r>
                </w:p>
              </w:tc>
              <w:tc>
                <w:tcPr>
                  <w:tcW w:w="668" w:type="dxa"/>
                  <w:vMerge w:val="continue"/>
                  <w:noWrap w:val="0"/>
                  <w:vAlign w:val="center"/>
                </w:tcPr>
                <w:p w14:paraId="3147ECC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p>
              </w:tc>
            </w:tr>
            <w:tr w14:paraId="5BC361D3">
              <w:trPr>
                <w:trHeight w:val="397" w:hRule="atLeast"/>
                <w:jc w:val="center"/>
              </w:trPr>
              <w:tc>
                <w:tcPr>
                  <w:tcW w:w="936" w:type="dxa"/>
                  <w:noWrap/>
                  <w:vAlign w:val="center"/>
                </w:tcPr>
                <w:p w14:paraId="2DBDB16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auto"/>
                      <w:kern w:val="0"/>
                      <w:sz w:val="21"/>
                      <w:szCs w:val="21"/>
                      <w:lang w:val="en-US" w:eastAsia="zh-CN"/>
                    </w:rPr>
                  </w:pPr>
                  <w:r>
                    <w:rPr>
                      <w:rFonts w:hint="eastAsia" w:cs="Times New Roman"/>
                      <w:b w:val="0"/>
                      <w:bCs/>
                      <w:color w:val="auto"/>
                      <w:kern w:val="0"/>
                      <w:sz w:val="21"/>
                      <w:szCs w:val="21"/>
                      <w:lang w:val="en-US" w:eastAsia="zh-CN"/>
                    </w:rPr>
                    <w:t>DA001</w:t>
                  </w:r>
                </w:p>
              </w:tc>
              <w:tc>
                <w:tcPr>
                  <w:tcW w:w="1109" w:type="dxa"/>
                  <w:noWrap/>
                  <w:vAlign w:val="center"/>
                </w:tcPr>
                <w:p w14:paraId="0E69B4D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非甲烷总烃</w:t>
                  </w:r>
                </w:p>
              </w:tc>
              <w:tc>
                <w:tcPr>
                  <w:tcW w:w="1006" w:type="dxa"/>
                  <w:noWrap/>
                  <w:vAlign w:val="center"/>
                </w:tcPr>
                <w:p w14:paraId="27EC1D9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b w:val="0"/>
                      <w:bCs/>
                      <w:color w:val="auto"/>
                      <w:kern w:val="0"/>
                      <w:sz w:val="21"/>
                      <w:szCs w:val="21"/>
                      <w:lang w:val="en-US" w:eastAsia="zh-CN" w:bidi="ar"/>
                    </w:rPr>
                  </w:pPr>
                  <w:r>
                    <w:rPr>
                      <w:rFonts w:hint="eastAsia" w:cs="Times New Roman"/>
                      <w:b w:val="0"/>
                      <w:bCs/>
                      <w:color w:val="auto"/>
                      <w:kern w:val="0"/>
                      <w:sz w:val="21"/>
                      <w:szCs w:val="21"/>
                      <w:lang w:val="en-US" w:eastAsia="zh-CN" w:bidi="ar"/>
                    </w:rPr>
                    <w:t>15000</w:t>
                  </w:r>
                </w:p>
              </w:tc>
              <w:tc>
                <w:tcPr>
                  <w:tcW w:w="681" w:type="dxa"/>
                  <w:noWrap/>
                  <w:vAlign w:val="center"/>
                </w:tcPr>
                <w:p w14:paraId="5C14066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auto"/>
                      <w:kern w:val="0"/>
                      <w:sz w:val="21"/>
                      <w:szCs w:val="21"/>
                      <w:lang w:val="en-US" w:eastAsia="zh-CN"/>
                    </w:rPr>
                  </w:pPr>
                  <w:r>
                    <w:rPr>
                      <w:rFonts w:hint="eastAsia" w:cs="Times New Roman"/>
                      <w:bCs/>
                      <w:color w:val="auto"/>
                      <w:kern w:val="0"/>
                      <w:sz w:val="21"/>
                      <w:szCs w:val="21"/>
                      <w:lang w:val="en-US" w:eastAsia="zh-CN"/>
                    </w:rPr>
                    <w:t>物料平衡法</w:t>
                  </w:r>
                </w:p>
              </w:tc>
              <w:tc>
                <w:tcPr>
                  <w:tcW w:w="1189" w:type="dxa"/>
                  <w:noWrap/>
                  <w:vAlign w:val="center"/>
                </w:tcPr>
                <w:p w14:paraId="6B7B072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55.599 </w:t>
                  </w:r>
                </w:p>
              </w:tc>
              <w:tc>
                <w:tcPr>
                  <w:tcW w:w="982" w:type="dxa"/>
                  <w:noWrap/>
                  <w:vAlign w:val="center"/>
                </w:tcPr>
                <w:p w14:paraId="3FFAA9E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0.834 </w:t>
                  </w:r>
                </w:p>
              </w:tc>
              <w:tc>
                <w:tcPr>
                  <w:tcW w:w="853" w:type="dxa"/>
                  <w:noWrap/>
                  <w:vAlign w:val="center"/>
                </w:tcPr>
                <w:p w14:paraId="74508A9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bCs/>
                      <w:color w:val="auto"/>
                      <w:kern w:val="0"/>
                      <w:sz w:val="21"/>
                      <w:szCs w:val="21"/>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5.504 </w:t>
                  </w:r>
                </w:p>
              </w:tc>
              <w:tc>
                <w:tcPr>
                  <w:tcW w:w="1084" w:type="dxa"/>
                  <w:noWrap/>
                  <w:vAlign w:val="center"/>
                </w:tcPr>
                <w:p w14:paraId="1F9B5B9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Times New Roman"/>
                      <w:b w:val="0"/>
                      <w:bCs/>
                      <w:color w:val="auto"/>
                      <w:sz w:val="21"/>
                      <w:szCs w:val="21"/>
                      <w:lang w:val="en-US" w:eastAsia="zh-CN"/>
                    </w:rPr>
                  </w:pPr>
                  <w:r>
                    <w:rPr>
                      <w:rFonts w:hint="eastAsia" w:cs="Times New Roman"/>
                      <w:b w:val="0"/>
                      <w:bCs/>
                      <w:color w:val="auto"/>
                      <w:sz w:val="21"/>
                      <w:szCs w:val="21"/>
                      <w:lang w:val="en-US" w:eastAsia="zh-CN"/>
                    </w:rPr>
                    <w:t>碱液喷淋</w:t>
                  </w:r>
                </w:p>
              </w:tc>
              <w:tc>
                <w:tcPr>
                  <w:tcW w:w="683" w:type="dxa"/>
                  <w:noWrap/>
                  <w:vAlign w:val="center"/>
                </w:tcPr>
                <w:p w14:paraId="62CE930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Times New Roman"/>
                      <w:b w:val="0"/>
                      <w:bCs/>
                      <w:color w:val="auto"/>
                      <w:kern w:val="0"/>
                      <w:sz w:val="21"/>
                      <w:szCs w:val="21"/>
                      <w:lang w:val="en-US" w:eastAsia="zh-CN"/>
                    </w:rPr>
                  </w:pPr>
                  <w:r>
                    <w:rPr>
                      <w:rFonts w:hint="eastAsia" w:cs="Times New Roman"/>
                      <w:b w:val="0"/>
                      <w:bCs/>
                      <w:color w:val="auto"/>
                      <w:kern w:val="0"/>
                      <w:sz w:val="21"/>
                      <w:szCs w:val="21"/>
                      <w:lang w:val="en-US" w:eastAsia="zh-CN"/>
                    </w:rPr>
                    <w:t>90%</w:t>
                  </w:r>
                </w:p>
              </w:tc>
              <w:tc>
                <w:tcPr>
                  <w:tcW w:w="681" w:type="dxa"/>
                  <w:noWrap/>
                  <w:vAlign w:val="center"/>
                </w:tcPr>
                <w:p w14:paraId="2C661E3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auto"/>
                      <w:kern w:val="0"/>
                      <w:sz w:val="21"/>
                      <w:szCs w:val="21"/>
                      <w:lang w:val="en-US" w:eastAsia="zh-CN"/>
                    </w:rPr>
                  </w:pPr>
                  <w:r>
                    <w:rPr>
                      <w:rFonts w:hint="eastAsia" w:cs="Times New Roman"/>
                      <w:bCs/>
                      <w:color w:val="auto"/>
                      <w:kern w:val="0"/>
                      <w:sz w:val="21"/>
                      <w:szCs w:val="21"/>
                      <w:lang w:val="en-US" w:eastAsia="zh-CN"/>
                    </w:rPr>
                    <w:t>物料平衡法</w:t>
                  </w:r>
                </w:p>
              </w:tc>
              <w:tc>
                <w:tcPr>
                  <w:tcW w:w="1189" w:type="dxa"/>
                  <w:noWrap/>
                  <w:vAlign w:val="center"/>
                </w:tcPr>
                <w:p w14:paraId="3263968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5.560 </w:t>
                  </w:r>
                </w:p>
              </w:tc>
              <w:tc>
                <w:tcPr>
                  <w:tcW w:w="982" w:type="dxa"/>
                  <w:noWrap/>
                  <w:vAlign w:val="center"/>
                </w:tcPr>
                <w:p w14:paraId="390EA1F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0.083 </w:t>
                  </w:r>
                </w:p>
              </w:tc>
              <w:tc>
                <w:tcPr>
                  <w:tcW w:w="820" w:type="dxa"/>
                  <w:noWrap/>
                  <w:vAlign w:val="center"/>
                </w:tcPr>
                <w:p w14:paraId="48E309D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0.550 </w:t>
                  </w:r>
                </w:p>
              </w:tc>
              <w:tc>
                <w:tcPr>
                  <w:tcW w:w="1189" w:type="dxa"/>
                  <w:noWrap/>
                  <w:vAlign w:val="center"/>
                </w:tcPr>
                <w:p w14:paraId="4BA1509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auto"/>
                      <w:kern w:val="0"/>
                      <w:sz w:val="21"/>
                      <w:szCs w:val="21"/>
                      <w:lang w:val="en-US" w:eastAsia="zh-CN"/>
                    </w:rPr>
                  </w:pPr>
                  <w:r>
                    <w:rPr>
                      <w:rFonts w:hint="eastAsia" w:cs="Times New Roman"/>
                      <w:b w:val="0"/>
                      <w:bCs/>
                      <w:color w:val="auto"/>
                      <w:kern w:val="0"/>
                      <w:sz w:val="21"/>
                      <w:szCs w:val="21"/>
                      <w:lang w:val="en-US" w:eastAsia="zh-CN"/>
                    </w:rPr>
                    <w:t>60</w:t>
                  </w:r>
                </w:p>
              </w:tc>
              <w:tc>
                <w:tcPr>
                  <w:tcW w:w="983" w:type="dxa"/>
                  <w:noWrap/>
                  <w:vAlign w:val="center"/>
                </w:tcPr>
                <w:p w14:paraId="40E0392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auto"/>
                      <w:kern w:val="0"/>
                      <w:sz w:val="21"/>
                      <w:szCs w:val="21"/>
                      <w:lang w:val="en-US" w:eastAsia="zh-CN"/>
                    </w:rPr>
                  </w:pPr>
                  <w:r>
                    <w:rPr>
                      <w:rFonts w:hint="eastAsia" w:cs="Times New Roman"/>
                      <w:b w:val="0"/>
                      <w:bCs/>
                      <w:color w:val="auto"/>
                      <w:kern w:val="0"/>
                      <w:sz w:val="21"/>
                      <w:szCs w:val="21"/>
                      <w:lang w:val="en-US" w:eastAsia="zh-CN"/>
                    </w:rPr>
                    <w:t>/</w:t>
                  </w:r>
                </w:p>
              </w:tc>
              <w:tc>
                <w:tcPr>
                  <w:tcW w:w="668" w:type="dxa"/>
                  <w:noWrap w:val="0"/>
                  <w:vAlign w:val="center"/>
                </w:tcPr>
                <w:p w14:paraId="09B4CC0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auto"/>
                      <w:sz w:val="21"/>
                      <w:szCs w:val="21"/>
                      <w:lang w:val="en-US" w:eastAsia="zh-CN"/>
                    </w:rPr>
                  </w:pPr>
                  <w:r>
                    <w:rPr>
                      <w:rFonts w:hint="eastAsia" w:cs="Times New Roman"/>
                      <w:bCs/>
                      <w:color w:val="auto"/>
                      <w:kern w:val="0"/>
                      <w:sz w:val="21"/>
                      <w:szCs w:val="21"/>
                      <w:lang w:val="en-US" w:eastAsia="zh-CN"/>
                    </w:rPr>
                    <w:t>6600</w:t>
                  </w:r>
                </w:p>
              </w:tc>
            </w:tr>
            <w:tr w14:paraId="547E78BF">
              <w:trPr>
                <w:trHeight w:val="397" w:hRule="atLeast"/>
                <w:jc w:val="center"/>
              </w:trPr>
              <w:tc>
                <w:tcPr>
                  <w:tcW w:w="936" w:type="dxa"/>
                  <w:noWrap/>
                  <w:vAlign w:val="center"/>
                </w:tcPr>
                <w:p w14:paraId="503E5FD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auto"/>
                      <w:kern w:val="0"/>
                      <w:sz w:val="21"/>
                      <w:szCs w:val="21"/>
                      <w:lang w:val="en-US" w:eastAsia="zh-CN"/>
                    </w:rPr>
                  </w:pPr>
                  <w:r>
                    <w:rPr>
                      <w:rFonts w:hint="eastAsia" w:cs="Times New Roman"/>
                      <w:b w:val="0"/>
                      <w:bCs/>
                      <w:color w:val="auto"/>
                      <w:kern w:val="0"/>
                      <w:sz w:val="21"/>
                      <w:szCs w:val="21"/>
                      <w:lang w:val="en-US" w:eastAsia="zh-CN"/>
                    </w:rPr>
                    <w:t>DA002</w:t>
                  </w:r>
                </w:p>
              </w:tc>
              <w:tc>
                <w:tcPr>
                  <w:tcW w:w="1109" w:type="dxa"/>
                  <w:noWrap/>
                  <w:vAlign w:val="center"/>
                </w:tcPr>
                <w:p w14:paraId="1FEC2CD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非甲烷总烃</w:t>
                  </w:r>
                </w:p>
              </w:tc>
              <w:tc>
                <w:tcPr>
                  <w:tcW w:w="1006" w:type="dxa"/>
                  <w:noWrap/>
                  <w:vAlign w:val="center"/>
                </w:tcPr>
                <w:p w14:paraId="0CAF3B6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b w:val="0"/>
                      <w:bCs/>
                      <w:color w:val="auto"/>
                      <w:kern w:val="0"/>
                      <w:sz w:val="21"/>
                      <w:szCs w:val="21"/>
                      <w:lang w:val="en-US" w:eastAsia="zh-CN" w:bidi="ar"/>
                    </w:rPr>
                  </w:pPr>
                  <w:r>
                    <w:rPr>
                      <w:rFonts w:hint="eastAsia" w:cs="Times New Roman"/>
                      <w:b w:val="0"/>
                      <w:bCs/>
                      <w:color w:val="auto"/>
                      <w:kern w:val="0"/>
                      <w:sz w:val="21"/>
                      <w:szCs w:val="21"/>
                      <w:lang w:val="en-US" w:eastAsia="zh-CN" w:bidi="ar"/>
                    </w:rPr>
                    <w:t>5000</w:t>
                  </w:r>
                </w:p>
              </w:tc>
              <w:tc>
                <w:tcPr>
                  <w:tcW w:w="681" w:type="dxa"/>
                  <w:noWrap/>
                  <w:vAlign w:val="center"/>
                </w:tcPr>
                <w:p w14:paraId="65AD058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s="Times New Roman"/>
                      <w:b w:val="0"/>
                      <w:bCs/>
                      <w:color w:val="auto"/>
                      <w:kern w:val="0"/>
                      <w:sz w:val="21"/>
                      <w:szCs w:val="21"/>
                      <w:lang w:val="en-US" w:eastAsia="zh-CN"/>
                    </w:rPr>
                  </w:pPr>
                  <w:r>
                    <w:rPr>
                      <w:rFonts w:hint="eastAsia" w:cs="Times New Roman"/>
                      <w:b w:val="0"/>
                      <w:bCs/>
                      <w:color w:val="auto"/>
                      <w:kern w:val="0"/>
                      <w:sz w:val="21"/>
                      <w:szCs w:val="21"/>
                      <w:lang w:val="en-US" w:eastAsia="zh-CN"/>
                    </w:rPr>
                    <w:t>产污系数法</w:t>
                  </w:r>
                </w:p>
              </w:tc>
              <w:tc>
                <w:tcPr>
                  <w:tcW w:w="1189" w:type="dxa"/>
                  <w:noWrap/>
                  <w:vAlign w:val="center"/>
                </w:tcPr>
                <w:p w14:paraId="7072631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32.386</w:t>
                  </w:r>
                </w:p>
              </w:tc>
              <w:tc>
                <w:tcPr>
                  <w:tcW w:w="982" w:type="dxa"/>
                  <w:noWrap/>
                  <w:vAlign w:val="center"/>
                </w:tcPr>
                <w:p w14:paraId="498767E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0.162 </w:t>
                  </w:r>
                </w:p>
              </w:tc>
              <w:tc>
                <w:tcPr>
                  <w:tcW w:w="853" w:type="dxa"/>
                  <w:noWrap/>
                  <w:vAlign w:val="center"/>
                </w:tcPr>
                <w:p w14:paraId="10152B6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bCs/>
                      <w:color w:val="auto"/>
                      <w:kern w:val="0"/>
                      <w:sz w:val="21"/>
                      <w:szCs w:val="21"/>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1.283 </w:t>
                  </w:r>
                </w:p>
              </w:tc>
              <w:tc>
                <w:tcPr>
                  <w:tcW w:w="1084" w:type="dxa"/>
                  <w:noWrap/>
                  <w:vAlign w:val="center"/>
                </w:tcPr>
                <w:p w14:paraId="6215F3E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二级活性炭吸附装置</w:t>
                  </w:r>
                </w:p>
              </w:tc>
              <w:tc>
                <w:tcPr>
                  <w:tcW w:w="683" w:type="dxa"/>
                  <w:noWrap/>
                  <w:vAlign w:val="center"/>
                </w:tcPr>
                <w:p w14:paraId="6B9BD8A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Times New Roman"/>
                      <w:b w:val="0"/>
                      <w:bCs/>
                      <w:color w:val="auto"/>
                      <w:kern w:val="0"/>
                      <w:sz w:val="21"/>
                      <w:szCs w:val="21"/>
                      <w:lang w:val="en-US" w:eastAsia="zh-CN"/>
                    </w:rPr>
                  </w:pPr>
                  <w:r>
                    <w:rPr>
                      <w:rFonts w:hint="eastAsia" w:cs="Times New Roman"/>
                      <w:b w:val="0"/>
                      <w:bCs/>
                      <w:color w:val="auto"/>
                      <w:kern w:val="0"/>
                      <w:sz w:val="21"/>
                      <w:szCs w:val="21"/>
                      <w:lang w:val="en-US" w:eastAsia="zh-CN"/>
                    </w:rPr>
                    <w:t>90%</w:t>
                  </w:r>
                </w:p>
              </w:tc>
              <w:tc>
                <w:tcPr>
                  <w:tcW w:w="681" w:type="dxa"/>
                  <w:noWrap/>
                  <w:vAlign w:val="center"/>
                </w:tcPr>
                <w:p w14:paraId="09B4A32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s="Times New Roman"/>
                      <w:b w:val="0"/>
                      <w:bCs/>
                      <w:color w:val="auto"/>
                      <w:kern w:val="0"/>
                      <w:sz w:val="21"/>
                      <w:szCs w:val="21"/>
                      <w:lang w:val="en-US" w:eastAsia="zh-CN"/>
                    </w:rPr>
                  </w:pPr>
                  <w:r>
                    <w:rPr>
                      <w:rFonts w:hint="eastAsia" w:cs="Times New Roman"/>
                      <w:b w:val="0"/>
                      <w:bCs/>
                      <w:color w:val="auto"/>
                      <w:kern w:val="0"/>
                      <w:sz w:val="21"/>
                      <w:szCs w:val="21"/>
                      <w:lang w:val="en-US" w:eastAsia="zh-CN"/>
                    </w:rPr>
                    <w:t>产污系数法</w:t>
                  </w:r>
                </w:p>
              </w:tc>
              <w:tc>
                <w:tcPr>
                  <w:tcW w:w="1189" w:type="dxa"/>
                  <w:noWrap/>
                  <w:vAlign w:val="center"/>
                </w:tcPr>
                <w:p w14:paraId="2A1CFBA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3.239</w:t>
                  </w:r>
                  <w:r>
                    <w:rPr>
                      <w:rFonts w:hint="eastAsia" w:ascii="Times New Roman" w:hAnsi="Times New Roman" w:eastAsia="宋体" w:cs="Times New Roman"/>
                      <w:i w:val="0"/>
                      <w:iCs w:val="0"/>
                      <w:color w:val="auto"/>
                      <w:kern w:val="0"/>
                      <w:sz w:val="21"/>
                      <w:szCs w:val="21"/>
                      <w:u w:val="none"/>
                      <w:lang w:val="en-US" w:eastAsia="zh-CN" w:bidi="ar"/>
                    </w:rPr>
                    <w:t xml:space="preserve"> </w:t>
                  </w:r>
                </w:p>
              </w:tc>
              <w:tc>
                <w:tcPr>
                  <w:tcW w:w="982" w:type="dxa"/>
                  <w:noWrap/>
                  <w:vAlign w:val="center"/>
                </w:tcPr>
                <w:p w14:paraId="24F91A9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bCs/>
                      <w:color w:val="auto"/>
                      <w:kern w:val="0"/>
                      <w:sz w:val="21"/>
                      <w:szCs w:val="21"/>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0.016 </w:t>
                  </w:r>
                </w:p>
              </w:tc>
              <w:tc>
                <w:tcPr>
                  <w:tcW w:w="820" w:type="dxa"/>
                  <w:noWrap/>
                  <w:vAlign w:val="center"/>
                </w:tcPr>
                <w:p w14:paraId="13F5308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0.128 </w:t>
                  </w:r>
                </w:p>
              </w:tc>
              <w:tc>
                <w:tcPr>
                  <w:tcW w:w="1189" w:type="dxa"/>
                  <w:noWrap/>
                  <w:vAlign w:val="center"/>
                </w:tcPr>
                <w:p w14:paraId="0D33BDD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auto"/>
                      <w:kern w:val="0"/>
                      <w:sz w:val="21"/>
                      <w:szCs w:val="21"/>
                      <w:lang w:val="en-US" w:eastAsia="zh-CN"/>
                    </w:rPr>
                  </w:pPr>
                  <w:r>
                    <w:rPr>
                      <w:rFonts w:hint="eastAsia" w:cs="Times New Roman"/>
                      <w:b w:val="0"/>
                      <w:bCs/>
                      <w:color w:val="auto"/>
                      <w:kern w:val="0"/>
                      <w:sz w:val="21"/>
                      <w:szCs w:val="21"/>
                      <w:lang w:val="en-US" w:eastAsia="zh-CN"/>
                    </w:rPr>
                    <w:t>60</w:t>
                  </w:r>
                </w:p>
              </w:tc>
              <w:tc>
                <w:tcPr>
                  <w:tcW w:w="983" w:type="dxa"/>
                  <w:noWrap/>
                  <w:vAlign w:val="center"/>
                </w:tcPr>
                <w:p w14:paraId="5D56364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auto"/>
                      <w:kern w:val="0"/>
                      <w:sz w:val="21"/>
                      <w:szCs w:val="21"/>
                      <w:lang w:val="en-US" w:eastAsia="zh-CN"/>
                    </w:rPr>
                  </w:pPr>
                  <w:r>
                    <w:rPr>
                      <w:rFonts w:hint="eastAsia" w:cs="Times New Roman"/>
                      <w:b w:val="0"/>
                      <w:bCs/>
                      <w:color w:val="auto"/>
                      <w:kern w:val="0"/>
                      <w:sz w:val="21"/>
                      <w:szCs w:val="21"/>
                      <w:lang w:val="en-US" w:eastAsia="zh-CN"/>
                    </w:rPr>
                    <w:t>3</w:t>
                  </w:r>
                </w:p>
              </w:tc>
              <w:tc>
                <w:tcPr>
                  <w:tcW w:w="668" w:type="dxa"/>
                  <w:noWrap w:val="0"/>
                  <w:vAlign w:val="center"/>
                </w:tcPr>
                <w:p w14:paraId="1E15938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7920</w:t>
                  </w:r>
                </w:p>
              </w:tc>
            </w:tr>
          </w:tbl>
          <w:p w14:paraId="4C4A825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color w:val="auto"/>
                <w:kern w:val="0"/>
                <w:sz w:val="21"/>
                <w:szCs w:val="21"/>
              </w:rPr>
            </w:pPr>
          </w:p>
          <w:p w14:paraId="0B732BF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color w:val="auto"/>
                <w:kern w:val="0"/>
                <w:sz w:val="21"/>
                <w:szCs w:val="20"/>
              </w:rPr>
            </w:pPr>
            <w:r>
              <w:rPr>
                <w:rFonts w:hint="eastAsia" w:cs="Times New Roman"/>
                <w:color w:val="auto"/>
                <w:kern w:val="0"/>
                <w:sz w:val="24"/>
                <w:lang w:val="en-US" w:eastAsia="zh-CN"/>
              </w:rPr>
              <w:t>据上表</w:t>
            </w:r>
            <w:r>
              <w:rPr>
                <w:rFonts w:hint="default" w:ascii="Times New Roman" w:hAnsi="Times New Roman" w:eastAsia="宋体" w:cs="Times New Roman"/>
                <w:color w:val="auto"/>
                <w:kern w:val="0"/>
                <w:sz w:val="24"/>
              </w:rPr>
              <w:t>可知，</w:t>
            </w:r>
            <w:r>
              <w:rPr>
                <w:rFonts w:hint="eastAsia" w:eastAsia="宋体" w:cs="Times New Roman"/>
                <w:color w:val="auto"/>
                <w:kern w:val="0"/>
                <w:sz w:val="24"/>
                <w:lang w:val="en-US" w:eastAsia="zh-CN"/>
              </w:rPr>
              <w:t>本项目建成后</w:t>
            </w:r>
            <w:r>
              <w:rPr>
                <w:rFonts w:hint="eastAsia" w:cs="Times New Roman"/>
                <w:color w:val="auto"/>
                <w:kern w:val="0"/>
                <w:sz w:val="24"/>
                <w:lang w:val="en-US" w:eastAsia="zh-CN"/>
              </w:rPr>
              <w:t>消毒工序产生的</w:t>
            </w:r>
            <w:r>
              <w:rPr>
                <w:rFonts w:hint="eastAsia" w:eastAsia="宋体" w:cs="Times New Roman"/>
                <w:color w:val="auto"/>
                <w:kern w:val="0"/>
                <w:sz w:val="24"/>
                <w:lang w:val="en-US" w:eastAsia="zh-CN"/>
              </w:rPr>
              <w:t>非甲烷总烃</w:t>
            </w:r>
            <w:r>
              <w:rPr>
                <w:rFonts w:hint="eastAsia" w:cs="Times New Roman"/>
                <w:color w:val="auto"/>
                <w:kern w:val="0"/>
                <w:sz w:val="24"/>
                <w:lang w:val="en-US" w:eastAsia="zh-CN"/>
              </w:rPr>
              <w:t>（DA001）</w:t>
            </w:r>
            <w:r>
              <w:rPr>
                <w:rFonts w:hint="default" w:ascii="Times New Roman" w:hAnsi="Times New Roman" w:eastAsia="宋体" w:cs="Times New Roman"/>
                <w:color w:val="auto"/>
                <w:kern w:val="0"/>
                <w:sz w:val="24"/>
              </w:rPr>
              <w:t>排放</w:t>
            </w:r>
            <w:r>
              <w:rPr>
                <w:rFonts w:hint="eastAsia" w:eastAsia="宋体" w:cs="Times New Roman"/>
                <w:color w:val="auto"/>
                <w:kern w:val="0"/>
                <w:sz w:val="24"/>
                <w:lang w:val="en-US" w:eastAsia="zh-CN"/>
              </w:rPr>
              <w:t>浓度</w:t>
            </w:r>
            <w:r>
              <w:rPr>
                <w:rFonts w:hint="default" w:ascii="Times New Roman" w:hAnsi="Times New Roman" w:eastAsia="宋体" w:cs="Times New Roman"/>
                <w:color w:val="auto"/>
                <w:kern w:val="0"/>
                <w:sz w:val="24"/>
              </w:rPr>
              <w:t>满足</w:t>
            </w:r>
            <w:r>
              <w:rPr>
                <w:rFonts w:hint="eastAsia"/>
                <w:color w:val="auto"/>
                <w:sz w:val="24"/>
                <w:lang w:val="en-US" w:eastAsia="zh-CN"/>
              </w:rPr>
              <w:t>《大气污染物综合排放标准》（DB32/4041-2021）表1中非甲烷总烃标准限值，吹瓶工序产生的</w:t>
            </w:r>
            <w:r>
              <w:rPr>
                <w:rFonts w:hint="eastAsia" w:eastAsia="宋体" w:cs="Times New Roman"/>
                <w:color w:val="auto"/>
                <w:kern w:val="0"/>
                <w:sz w:val="24"/>
                <w:lang w:val="en-US" w:eastAsia="zh-CN"/>
              </w:rPr>
              <w:t>非甲烷总烃</w:t>
            </w:r>
            <w:r>
              <w:rPr>
                <w:rFonts w:hint="eastAsia" w:cs="Times New Roman"/>
                <w:color w:val="auto"/>
                <w:kern w:val="0"/>
                <w:sz w:val="24"/>
                <w:lang w:val="en-US" w:eastAsia="zh-CN"/>
              </w:rPr>
              <w:t>（DA002）</w:t>
            </w:r>
            <w:r>
              <w:rPr>
                <w:rFonts w:hint="default" w:ascii="Times New Roman" w:hAnsi="Times New Roman" w:eastAsia="宋体" w:cs="Times New Roman"/>
                <w:color w:val="auto"/>
                <w:kern w:val="0"/>
                <w:sz w:val="24"/>
              </w:rPr>
              <w:t>排放</w:t>
            </w:r>
            <w:r>
              <w:rPr>
                <w:rFonts w:hint="eastAsia" w:eastAsia="宋体" w:cs="Times New Roman"/>
                <w:color w:val="auto"/>
                <w:kern w:val="0"/>
                <w:sz w:val="24"/>
                <w:lang w:val="en-US" w:eastAsia="zh-CN"/>
              </w:rPr>
              <w:t>浓度</w:t>
            </w:r>
            <w:r>
              <w:rPr>
                <w:rFonts w:hint="default" w:ascii="Times New Roman" w:hAnsi="Times New Roman" w:eastAsia="宋体" w:cs="Times New Roman"/>
                <w:color w:val="auto"/>
                <w:kern w:val="0"/>
                <w:sz w:val="24"/>
              </w:rPr>
              <w:t>满足</w:t>
            </w:r>
            <w:r>
              <w:rPr>
                <w:rFonts w:hint="eastAsia"/>
                <w:color w:val="auto"/>
                <w:sz w:val="24"/>
                <w:lang w:val="en-US" w:eastAsia="zh-CN"/>
              </w:rPr>
              <w:t>《合成树脂工业污染物排放标准》（GB 31572-2015，含2024年修改单）表5中非甲烷总烃标准限值</w:t>
            </w:r>
            <w:r>
              <w:rPr>
                <w:rFonts w:hint="default" w:ascii="Times New Roman" w:hAnsi="Times New Roman" w:eastAsia="宋体" w:cs="Times New Roman"/>
                <w:color w:val="auto"/>
                <w:sz w:val="24"/>
              </w:rPr>
              <w:t>。</w:t>
            </w:r>
          </w:p>
          <w:p w14:paraId="0D8821E5">
            <w:pPr>
              <w:widowControl/>
              <w:adjustRightInd w:val="0"/>
              <w:snapToGrid w:val="0"/>
              <w:spacing w:line="240" w:lineRule="auto"/>
              <w:ind w:firstLine="0" w:firstLineChars="0"/>
              <w:jc w:val="center"/>
              <w:rPr>
                <w:rFonts w:hint="default" w:ascii="Times New Roman" w:hAnsi="Times New Roman" w:eastAsia="宋体" w:cs="Times New Roman"/>
                <w:b/>
                <w:color w:val="auto"/>
                <w:kern w:val="0"/>
                <w:sz w:val="21"/>
                <w:szCs w:val="20"/>
              </w:rPr>
            </w:pPr>
            <w:r>
              <w:rPr>
                <w:rFonts w:hint="default" w:ascii="Times New Roman" w:hAnsi="Times New Roman" w:eastAsia="宋体" w:cs="Times New Roman"/>
                <w:b/>
                <w:color w:val="auto"/>
                <w:kern w:val="0"/>
                <w:sz w:val="21"/>
                <w:szCs w:val="20"/>
              </w:rPr>
              <w:t>表4-</w:t>
            </w:r>
            <w:r>
              <w:rPr>
                <w:rFonts w:hint="eastAsia" w:cs="Times New Roman"/>
                <w:b/>
                <w:color w:val="auto"/>
                <w:kern w:val="0"/>
                <w:sz w:val="21"/>
                <w:szCs w:val="20"/>
                <w:lang w:val="en-US" w:eastAsia="zh-CN"/>
              </w:rPr>
              <w:t>3  项目建成后</w:t>
            </w:r>
            <w:r>
              <w:rPr>
                <w:rFonts w:hint="default" w:ascii="Times New Roman" w:hAnsi="Times New Roman" w:eastAsia="宋体" w:cs="Times New Roman"/>
                <w:b/>
                <w:color w:val="auto"/>
                <w:kern w:val="0"/>
                <w:sz w:val="21"/>
                <w:szCs w:val="20"/>
              </w:rPr>
              <w:t>无组织废气污染源源强合并结果及相关参数一览表</w:t>
            </w:r>
          </w:p>
          <w:tbl>
            <w:tblPr>
              <w:tblStyle w:val="2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59"/>
              <w:gridCol w:w="1738"/>
              <w:gridCol w:w="2205"/>
              <w:gridCol w:w="1768"/>
              <w:gridCol w:w="1793"/>
              <w:gridCol w:w="2105"/>
              <w:gridCol w:w="1892"/>
              <w:gridCol w:w="1669"/>
            </w:tblGrid>
            <w:tr w14:paraId="743B437B">
              <w:trPr>
                <w:trHeight w:val="397" w:hRule="atLeast"/>
              </w:trPr>
              <w:tc>
                <w:tcPr>
                  <w:tcW w:w="618" w:type="pct"/>
                  <w:vMerge w:val="restart"/>
                  <w:noWrap w:val="0"/>
                  <w:vAlign w:val="center"/>
                </w:tcPr>
                <w:p w14:paraId="161252EB">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污染源位置</w:t>
                  </w:r>
                </w:p>
              </w:tc>
              <w:tc>
                <w:tcPr>
                  <w:tcW w:w="578" w:type="pct"/>
                  <w:vMerge w:val="restart"/>
                  <w:noWrap w:val="0"/>
                  <w:vAlign w:val="center"/>
                </w:tcPr>
                <w:p w14:paraId="4B4C07C6">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污染物名称</w:t>
                  </w:r>
                </w:p>
              </w:tc>
              <w:tc>
                <w:tcPr>
                  <w:tcW w:w="733" w:type="pct"/>
                  <w:vMerge w:val="restart"/>
                  <w:noWrap w:val="0"/>
                  <w:vAlign w:val="center"/>
                </w:tcPr>
                <w:p w14:paraId="7F138F94">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核算方法</w:t>
                  </w:r>
                </w:p>
              </w:tc>
              <w:tc>
                <w:tcPr>
                  <w:tcW w:w="1184" w:type="pct"/>
                  <w:gridSpan w:val="2"/>
                  <w:noWrap w:val="0"/>
                  <w:vAlign w:val="center"/>
                </w:tcPr>
                <w:p w14:paraId="610DB106">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排放源强</w:t>
                  </w:r>
                </w:p>
              </w:tc>
              <w:tc>
                <w:tcPr>
                  <w:tcW w:w="700" w:type="pct"/>
                  <w:vMerge w:val="restart"/>
                  <w:noWrap w:val="0"/>
                  <w:vAlign w:val="center"/>
                </w:tcPr>
                <w:p w14:paraId="0643D27B">
                  <w:pPr>
                    <w:widowControl/>
                    <w:adjustRightInd w:val="0"/>
                    <w:snapToGrid w:val="0"/>
                    <w:spacing w:line="240" w:lineRule="auto"/>
                    <w:ind w:firstLine="0" w:firstLineChars="0"/>
                    <w:jc w:val="center"/>
                    <w:rPr>
                      <w:rFonts w:hint="eastAsia" w:ascii="Times New Roman" w:hAnsi="Times New Roman" w:eastAsia="宋体" w:cs="Times New Roman"/>
                      <w:b w:val="0"/>
                      <w:bCs/>
                      <w:color w:val="auto"/>
                      <w:kern w:val="0"/>
                      <w:sz w:val="21"/>
                      <w:szCs w:val="21"/>
                      <w:lang w:eastAsia="zh-CN"/>
                    </w:rPr>
                  </w:pPr>
                  <w:r>
                    <w:rPr>
                      <w:rFonts w:hint="default" w:ascii="Times New Roman" w:hAnsi="Times New Roman" w:eastAsia="宋体" w:cs="Times New Roman"/>
                      <w:b w:val="0"/>
                      <w:bCs/>
                      <w:color w:val="auto"/>
                      <w:kern w:val="0"/>
                      <w:sz w:val="21"/>
                      <w:szCs w:val="21"/>
                    </w:rPr>
                    <w:t>面源</w:t>
                  </w:r>
                  <w:r>
                    <w:rPr>
                      <w:rFonts w:hint="eastAsia" w:cs="Times New Roman"/>
                      <w:b w:val="0"/>
                      <w:bCs/>
                      <w:color w:val="auto"/>
                      <w:kern w:val="0"/>
                      <w:sz w:val="21"/>
                      <w:szCs w:val="21"/>
                      <w:lang w:val="en-US" w:eastAsia="zh-CN"/>
                    </w:rPr>
                    <w:t>面积</w:t>
                  </w:r>
                </w:p>
                <w:p w14:paraId="53D666E9">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eastAsia" w:cs="Times New Roman"/>
                      <w:b w:val="0"/>
                      <w:bCs/>
                      <w:color w:val="auto"/>
                      <w:kern w:val="0"/>
                      <w:sz w:val="21"/>
                      <w:szCs w:val="21"/>
                      <w:lang w:eastAsia="zh-CN"/>
                    </w:rPr>
                    <w:t>(</w:t>
                  </w:r>
                  <w:r>
                    <w:rPr>
                      <w:rFonts w:hint="default" w:ascii="Times New Roman" w:hAnsi="Times New Roman" w:eastAsia="宋体" w:cs="Times New Roman"/>
                      <w:b w:val="0"/>
                      <w:bCs/>
                      <w:color w:val="auto"/>
                      <w:kern w:val="0"/>
                      <w:sz w:val="21"/>
                      <w:szCs w:val="21"/>
                    </w:rPr>
                    <w:t>m</w:t>
                  </w:r>
                  <w:r>
                    <w:rPr>
                      <w:rFonts w:hint="eastAsia" w:cs="Times New Roman"/>
                      <w:b w:val="0"/>
                      <w:bCs/>
                      <w:color w:val="auto"/>
                      <w:kern w:val="0"/>
                      <w:sz w:val="21"/>
                      <w:szCs w:val="21"/>
                      <w:vertAlign w:val="superscript"/>
                      <w:lang w:val="en-US" w:eastAsia="zh-CN"/>
                    </w:rPr>
                    <w:t>2)</w:t>
                  </w:r>
                </w:p>
              </w:tc>
              <w:tc>
                <w:tcPr>
                  <w:tcW w:w="629" w:type="pct"/>
                  <w:vMerge w:val="restart"/>
                  <w:noWrap w:val="0"/>
                  <w:vAlign w:val="center"/>
                </w:tcPr>
                <w:p w14:paraId="5E5085C8">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面源高度</w:t>
                  </w:r>
                </w:p>
                <w:p w14:paraId="2BACF93D">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eastAsia" w:cs="Times New Roman"/>
                      <w:b w:val="0"/>
                      <w:bCs/>
                      <w:color w:val="auto"/>
                      <w:kern w:val="0"/>
                      <w:sz w:val="21"/>
                      <w:szCs w:val="21"/>
                      <w:lang w:eastAsia="zh-CN"/>
                    </w:rPr>
                    <w:t>(</w:t>
                  </w:r>
                  <w:r>
                    <w:rPr>
                      <w:rFonts w:hint="default" w:ascii="Times New Roman" w:hAnsi="Times New Roman" w:eastAsia="宋体" w:cs="Times New Roman"/>
                      <w:b w:val="0"/>
                      <w:bCs/>
                      <w:color w:val="auto"/>
                      <w:kern w:val="0"/>
                      <w:sz w:val="21"/>
                      <w:szCs w:val="21"/>
                    </w:rPr>
                    <w:t>m</w:t>
                  </w:r>
                  <w:r>
                    <w:rPr>
                      <w:rFonts w:hint="eastAsia" w:cs="Times New Roman"/>
                      <w:b w:val="0"/>
                      <w:bCs/>
                      <w:color w:val="auto"/>
                      <w:kern w:val="0"/>
                      <w:sz w:val="21"/>
                      <w:szCs w:val="21"/>
                      <w:lang w:eastAsia="zh-CN"/>
                    </w:rPr>
                    <w:t>)</w:t>
                  </w:r>
                </w:p>
              </w:tc>
              <w:tc>
                <w:tcPr>
                  <w:tcW w:w="555" w:type="pct"/>
                  <w:vMerge w:val="restart"/>
                  <w:noWrap w:val="0"/>
                  <w:vAlign w:val="center"/>
                </w:tcPr>
                <w:p w14:paraId="603B7163">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排放时间</w:t>
                  </w:r>
                </w:p>
                <w:p w14:paraId="3B48197D">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eastAsia" w:cs="Times New Roman"/>
                      <w:b w:val="0"/>
                      <w:bCs/>
                      <w:color w:val="auto"/>
                      <w:kern w:val="0"/>
                      <w:sz w:val="21"/>
                      <w:szCs w:val="21"/>
                      <w:lang w:eastAsia="zh-CN"/>
                    </w:rPr>
                    <w:t>(</w:t>
                  </w:r>
                  <w:r>
                    <w:rPr>
                      <w:rFonts w:hint="default" w:ascii="Times New Roman" w:hAnsi="Times New Roman" w:eastAsia="宋体" w:cs="Times New Roman"/>
                      <w:b w:val="0"/>
                      <w:bCs/>
                      <w:color w:val="auto"/>
                      <w:kern w:val="0"/>
                      <w:sz w:val="21"/>
                      <w:szCs w:val="21"/>
                    </w:rPr>
                    <w:t>h</w:t>
                  </w:r>
                  <w:r>
                    <w:rPr>
                      <w:rFonts w:hint="eastAsia" w:cs="Times New Roman"/>
                      <w:b w:val="0"/>
                      <w:bCs/>
                      <w:color w:val="auto"/>
                      <w:kern w:val="0"/>
                      <w:sz w:val="21"/>
                      <w:szCs w:val="21"/>
                      <w:lang w:eastAsia="zh-CN"/>
                    </w:rPr>
                    <w:t>)</w:t>
                  </w:r>
                </w:p>
              </w:tc>
            </w:tr>
            <w:tr w14:paraId="48DCF0CC">
              <w:trPr>
                <w:trHeight w:val="397" w:hRule="atLeast"/>
              </w:trPr>
              <w:tc>
                <w:tcPr>
                  <w:tcW w:w="618" w:type="pct"/>
                  <w:vMerge w:val="continue"/>
                  <w:noWrap w:val="0"/>
                  <w:vAlign w:val="top"/>
                </w:tcPr>
                <w:p w14:paraId="42B79805">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p>
              </w:tc>
              <w:tc>
                <w:tcPr>
                  <w:tcW w:w="578" w:type="pct"/>
                  <w:vMerge w:val="continue"/>
                  <w:noWrap w:val="0"/>
                  <w:vAlign w:val="top"/>
                </w:tcPr>
                <w:p w14:paraId="7998380D">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p>
              </w:tc>
              <w:tc>
                <w:tcPr>
                  <w:tcW w:w="733" w:type="pct"/>
                  <w:vMerge w:val="continue"/>
                  <w:noWrap w:val="0"/>
                  <w:vAlign w:val="top"/>
                </w:tcPr>
                <w:p w14:paraId="075B957F">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p>
              </w:tc>
              <w:tc>
                <w:tcPr>
                  <w:tcW w:w="588" w:type="pct"/>
                  <w:noWrap w:val="0"/>
                  <w:vAlign w:val="center"/>
                </w:tcPr>
                <w:p w14:paraId="471DA1F0">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eastAsia" w:cs="Times New Roman"/>
                      <w:b w:val="0"/>
                      <w:bCs/>
                      <w:color w:val="auto"/>
                      <w:kern w:val="0"/>
                      <w:sz w:val="21"/>
                      <w:szCs w:val="21"/>
                      <w:lang w:eastAsia="zh-CN"/>
                    </w:rPr>
                    <w:t>(</w:t>
                  </w:r>
                  <w:r>
                    <w:rPr>
                      <w:rFonts w:hint="default" w:ascii="Times New Roman" w:hAnsi="Times New Roman" w:eastAsia="宋体" w:cs="Times New Roman"/>
                      <w:b w:val="0"/>
                      <w:bCs/>
                      <w:color w:val="auto"/>
                      <w:kern w:val="0"/>
                      <w:sz w:val="21"/>
                      <w:szCs w:val="21"/>
                    </w:rPr>
                    <w:t>kg/h</w:t>
                  </w:r>
                  <w:r>
                    <w:rPr>
                      <w:rFonts w:hint="eastAsia" w:cs="Times New Roman"/>
                      <w:b w:val="0"/>
                      <w:bCs/>
                      <w:color w:val="auto"/>
                      <w:kern w:val="0"/>
                      <w:sz w:val="21"/>
                      <w:szCs w:val="21"/>
                      <w:lang w:eastAsia="zh-CN"/>
                    </w:rPr>
                    <w:t>)</w:t>
                  </w:r>
                </w:p>
              </w:tc>
              <w:tc>
                <w:tcPr>
                  <w:tcW w:w="596" w:type="pct"/>
                  <w:noWrap w:val="0"/>
                  <w:vAlign w:val="center"/>
                </w:tcPr>
                <w:p w14:paraId="4BECE0DC">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eastAsia" w:cs="Times New Roman"/>
                      <w:b w:val="0"/>
                      <w:bCs/>
                      <w:color w:val="auto"/>
                      <w:kern w:val="0"/>
                      <w:sz w:val="21"/>
                      <w:szCs w:val="21"/>
                      <w:lang w:eastAsia="zh-CN"/>
                    </w:rPr>
                    <w:t>(</w:t>
                  </w:r>
                  <w:r>
                    <w:rPr>
                      <w:rFonts w:hint="default" w:ascii="Times New Roman" w:hAnsi="Times New Roman" w:eastAsia="宋体" w:cs="Times New Roman"/>
                      <w:b w:val="0"/>
                      <w:bCs/>
                      <w:color w:val="auto"/>
                      <w:kern w:val="0"/>
                      <w:sz w:val="21"/>
                      <w:szCs w:val="21"/>
                    </w:rPr>
                    <w:t>t/a</w:t>
                  </w:r>
                  <w:r>
                    <w:rPr>
                      <w:rFonts w:hint="eastAsia" w:cs="Times New Roman"/>
                      <w:b w:val="0"/>
                      <w:bCs/>
                      <w:color w:val="auto"/>
                      <w:kern w:val="0"/>
                      <w:sz w:val="21"/>
                      <w:szCs w:val="21"/>
                      <w:lang w:eastAsia="zh-CN"/>
                    </w:rPr>
                    <w:t>)</w:t>
                  </w:r>
                </w:p>
              </w:tc>
              <w:tc>
                <w:tcPr>
                  <w:tcW w:w="700" w:type="pct"/>
                  <w:vMerge w:val="continue"/>
                  <w:noWrap w:val="0"/>
                  <w:vAlign w:val="top"/>
                </w:tcPr>
                <w:p w14:paraId="2A02C142">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p>
              </w:tc>
              <w:tc>
                <w:tcPr>
                  <w:tcW w:w="629" w:type="pct"/>
                  <w:vMerge w:val="continue"/>
                  <w:noWrap w:val="0"/>
                  <w:vAlign w:val="top"/>
                </w:tcPr>
                <w:p w14:paraId="13FD8B82">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p>
              </w:tc>
              <w:tc>
                <w:tcPr>
                  <w:tcW w:w="555" w:type="pct"/>
                  <w:vMerge w:val="continue"/>
                  <w:noWrap w:val="0"/>
                  <w:vAlign w:val="top"/>
                </w:tcPr>
                <w:p w14:paraId="7E1C8328">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p>
              </w:tc>
            </w:tr>
            <w:tr w14:paraId="2664DD9A">
              <w:trPr>
                <w:trHeight w:val="397" w:hRule="atLeast"/>
              </w:trPr>
              <w:tc>
                <w:tcPr>
                  <w:tcW w:w="618" w:type="pct"/>
                  <w:noWrap w:val="0"/>
                  <w:vAlign w:val="center"/>
                </w:tcPr>
                <w:p w14:paraId="5E2C699E">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color w:val="auto"/>
                      <w:kern w:val="0"/>
                      <w:sz w:val="21"/>
                      <w:szCs w:val="21"/>
                      <w:lang w:val="en-US" w:eastAsia="zh-CN"/>
                    </w:rPr>
                  </w:pPr>
                  <w:r>
                    <w:rPr>
                      <w:rFonts w:hint="eastAsia" w:cs="Times New Roman"/>
                      <w:b w:val="0"/>
                      <w:bCs/>
                      <w:color w:val="auto"/>
                      <w:kern w:val="0"/>
                      <w:sz w:val="21"/>
                      <w:szCs w:val="21"/>
                      <w:lang w:val="en-US" w:eastAsia="zh-CN"/>
                    </w:rPr>
                    <w:t>生产车间</w:t>
                  </w:r>
                </w:p>
              </w:tc>
              <w:tc>
                <w:tcPr>
                  <w:tcW w:w="578" w:type="pct"/>
                  <w:noWrap w:val="0"/>
                  <w:vAlign w:val="center"/>
                </w:tcPr>
                <w:p w14:paraId="1DEE6F0C">
                  <w:pPr>
                    <w:widowControl/>
                    <w:adjustRightInd w:val="0"/>
                    <w:snapToGrid w:val="0"/>
                    <w:spacing w:line="240" w:lineRule="auto"/>
                    <w:ind w:firstLine="0" w:firstLineChars="0"/>
                    <w:jc w:val="center"/>
                    <w:rPr>
                      <w:rFonts w:hint="eastAsia" w:ascii="Times New Roman" w:hAnsi="Times New Roman" w:eastAsia="宋体" w:cs="Times New Roman"/>
                      <w:b w:val="0"/>
                      <w:bCs/>
                      <w:color w:val="auto"/>
                      <w:kern w:val="0"/>
                      <w:sz w:val="21"/>
                      <w:szCs w:val="21"/>
                      <w:lang w:val="en-US" w:eastAsia="zh-CN"/>
                    </w:rPr>
                  </w:pPr>
                  <w:r>
                    <w:rPr>
                      <w:rFonts w:hint="eastAsia" w:cs="Times New Roman"/>
                      <w:b w:val="0"/>
                      <w:bCs/>
                      <w:color w:val="auto"/>
                      <w:kern w:val="0"/>
                      <w:sz w:val="21"/>
                      <w:szCs w:val="21"/>
                      <w:lang w:val="en-US" w:eastAsia="zh-CN"/>
                    </w:rPr>
                    <w:t>非甲烷总烃</w:t>
                  </w:r>
                </w:p>
              </w:tc>
              <w:tc>
                <w:tcPr>
                  <w:tcW w:w="733" w:type="pct"/>
                  <w:noWrap w:val="0"/>
                  <w:vAlign w:val="center"/>
                </w:tcPr>
                <w:p w14:paraId="4070C0C7">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rPr>
                    <w:t>产污系数法</w:t>
                  </w:r>
                  <w:r>
                    <w:rPr>
                      <w:rFonts w:hint="eastAsia" w:cs="Times New Roman"/>
                      <w:b w:val="0"/>
                      <w:bCs/>
                      <w:color w:val="auto"/>
                      <w:kern w:val="0"/>
                      <w:sz w:val="21"/>
                      <w:szCs w:val="21"/>
                      <w:lang w:val="en-US" w:eastAsia="zh-CN"/>
                    </w:rPr>
                    <w:t>/物料平衡法</w:t>
                  </w:r>
                </w:p>
              </w:tc>
              <w:tc>
                <w:tcPr>
                  <w:tcW w:w="588" w:type="pct"/>
                  <w:noWrap w:val="0"/>
                  <w:vAlign w:val="center"/>
                </w:tcPr>
                <w:p w14:paraId="7456672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b w:val="0"/>
                      <w:bCs/>
                      <w:i w:val="0"/>
                      <w:iCs w:val="0"/>
                      <w:color w:val="auto"/>
                      <w:kern w:val="0"/>
                      <w:sz w:val="21"/>
                      <w:szCs w:val="21"/>
                      <w:u w:val="none"/>
                      <w:lang w:val="en-US" w:eastAsia="zh-CN" w:bidi="ar"/>
                    </w:rPr>
                  </w:pPr>
                  <w:r>
                    <w:rPr>
                      <w:rFonts w:hint="eastAsia" w:cs="Times New Roman"/>
                      <w:b w:val="0"/>
                      <w:bCs/>
                      <w:i w:val="0"/>
                      <w:iCs w:val="0"/>
                      <w:color w:val="auto"/>
                      <w:kern w:val="0"/>
                      <w:sz w:val="21"/>
                      <w:szCs w:val="21"/>
                      <w:u w:val="none"/>
                      <w:lang w:val="en-US" w:eastAsia="zh-CN" w:bidi="ar"/>
                    </w:rPr>
                    <w:t>0.045</w:t>
                  </w:r>
                </w:p>
              </w:tc>
              <w:tc>
                <w:tcPr>
                  <w:tcW w:w="596" w:type="pct"/>
                  <w:noWrap w:val="0"/>
                  <w:vAlign w:val="center"/>
                </w:tcPr>
                <w:p w14:paraId="2282DE0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b w:val="0"/>
                      <w:bCs/>
                      <w:i w:val="0"/>
                      <w:iCs w:val="0"/>
                      <w:color w:val="auto"/>
                      <w:kern w:val="0"/>
                      <w:sz w:val="21"/>
                      <w:szCs w:val="21"/>
                      <w:u w:val="none"/>
                      <w:lang w:val="en-US" w:eastAsia="zh-CN" w:bidi="ar"/>
                    </w:rPr>
                  </w:pPr>
                  <w:r>
                    <w:rPr>
                      <w:rFonts w:hint="eastAsia" w:cs="Times New Roman"/>
                      <w:b w:val="0"/>
                      <w:bCs/>
                      <w:i w:val="0"/>
                      <w:iCs w:val="0"/>
                      <w:color w:val="auto"/>
                      <w:kern w:val="0"/>
                      <w:sz w:val="21"/>
                      <w:szCs w:val="21"/>
                      <w:u w:val="none"/>
                      <w:lang w:val="en-US" w:eastAsia="zh-CN" w:bidi="ar"/>
                    </w:rPr>
                    <w:t>0.358</w:t>
                  </w:r>
                </w:p>
              </w:tc>
              <w:tc>
                <w:tcPr>
                  <w:tcW w:w="700" w:type="pct"/>
                  <w:noWrap w:val="0"/>
                  <w:vAlign w:val="center"/>
                </w:tcPr>
                <w:p w14:paraId="18069E4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cs="Times New Roman"/>
                      <w:b w:val="0"/>
                      <w:bCs/>
                      <w:color w:val="auto"/>
                      <w:kern w:val="0"/>
                      <w:sz w:val="21"/>
                      <w:szCs w:val="21"/>
                      <w:lang w:val="en-US" w:eastAsia="zh-CN"/>
                    </w:rPr>
                    <w:t>9768.24</w:t>
                  </w:r>
                </w:p>
              </w:tc>
              <w:tc>
                <w:tcPr>
                  <w:tcW w:w="629" w:type="pct"/>
                  <w:noWrap w:val="0"/>
                  <w:vAlign w:val="center"/>
                </w:tcPr>
                <w:p w14:paraId="3999E4D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cs="Times New Roman"/>
                      <w:b w:val="0"/>
                      <w:bCs/>
                      <w:color w:val="auto"/>
                      <w:kern w:val="0"/>
                      <w:sz w:val="21"/>
                      <w:szCs w:val="21"/>
                      <w:lang w:val="en-US" w:eastAsia="zh-CN"/>
                    </w:rPr>
                    <w:t>9</w:t>
                  </w:r>
                </w:p>
              </w:tc>
              <w:tc>
                <w:tcPr>
                  <w:tcW w:w="555" w:type="pct"/>
                  <w:noWrap w:val="0"/>
                  <w:vAlign w:val="center"/>
                </w:tcPr>
                <w:p w14:paraId="1C25DD7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auto"/>
                      <w:kern w:val="0"/>
                      <w:sz w:val="21"/>
                      <w:szCs w:val="21"/>
                      <w:lang w:val="en-US" w:eastAsia="zh-CN"/>
                    </w:rPr>
                  </w:pPr>
                  <w:r>
                    <w:rPr>
                      <w:rFonts w:hint="eastAsia" w:cs="Times New Roman"/>
                      <w:bCs/>
                      <w:color w:val="auto"/>
                      <w:kern w:val="0"/>
                      <w:sz w:val="21"/>
                      <w:szCs w:val="21"/>
                      <w:lang w:val="en-US" w:eastAsia="zh-CN"/>
                    </w:rPr>
                    <w:t>7920</w:t>
                  </w:r>
                </w:p>
              </w:tc>
            </w:tr>
            <w:tr w14:paraId="03AE6D05">
              <w:trPr>
                <w:trHeight w:val="397" w:hRule="atLeast"/>
              </w:trPr>
              <w:tc>
                <w:tcPr>
                  <w:tcW w:w="618" w:type="pct"/>
                  <w:vMerge w:val="restart"/>
                  <w:noWrap w:val="0"/>
                  <w:vAlign w:val="center"/>
                </w:tcPr>
                <w:p w14:paraId="41DF1A2C">
                  <w:pPr>
                    <w:widowControl/>
                    <w:adjustRightInd w:val="0"/>
                    <w:snapToGrid w:val="0"/>
                    <w:spacing w:line="240" w:lineRule="auto"/>
                    <w:ind w:left="0" w:leftChars="0" w:right="0" w:rightChars="0" w:firstLine="0" w:firstLineChars="0"/>
                    <w:jc w:val="center"/>
                    <w:rPr>
                      <w:rFonts w:hint="default" w:cs="Times New Roman"/>
                      <w:b w:val="0"/>
                      <w:bCs/>
                      <w:color w:val="auto"/>
                      <w:kern w:val="0"/>
                      <w:sz w:val="21"/>
                      <w:szCs w:val="21"/>
                      <w:lang w:val="en-US" w:eastAsia="zh-CN"/>
                    </w:rPr>
                  </w:pPr>
                  <w:r>
                    <w:rPr>
                      <w:rFonts w:hint="eastAsia" w:cs="Times New Roman"/>
                      <w:b w:val="0"/>
                      <w:bCs/>
                      <w:color w:val="auto"/>
                      <w:kern w:val="0"/>
                      <w:sz w:val="21"/>
                      <w:szCs w:val="21"/>
                      <w:lang w:val="en-US" w:eastAsia="zh-CN"/>
                    </w:rPr>
                    <w:t>污水处理站</w:t>
                  </w:r>
                </w:p>
              </w:tc>
              <w:tc>
                <w:tcPr>
                  <w:tcW w:w="578" w:type="pct"/>
                  <w:noWrap w:val="0"/>
                  <w:vAlign w:val="center"/>
                </w:tcPr>
                <w:p w14:paraId="2A210142">
                  <w:pPr>
                    <w:widowControl/>
                    <w:adjustRightInd w:val="0"/>
                    <w:snapToGrid w:val="0"/>
                    <w:spacing w:line="240" w:lineRule="auto"/>
                    <w:ind w:firstLine="0" w:firstLineChars="0"/>
                    <w:jc w:val="center"/>
                    <w:rPr>
                      <w:rFonts w:hint="default" w:cs="Times New Roman"/>
                      <w:b w:val="0"/>
                      <w:bCs/>
                      <w:color w:val="auto"/>
                      <w:kern w:val="0"/>
                      <w:sz w:val="21"/>
                      <w:szCs w:val="21"/>
                      <w:lang w:val="en-US" w:eastAsia="zh-CN"/>
                    </w:rPr>
                  </w:pPr>
                  <w:r>
                    <w:rPr>
                      <w:rFonts w:hint="eastAsia" w:cs="Times New Roman"/>
                      <w:b w:val="0"/>
                      <w:bCs/>
                      <w:color w:val="auto"/>
                      <w:kern w:val="0"/>
                      <w:sz w:val="21"/>
                      <w:szCs w:val="21"/>
                      <w:lang w:val="en-US" w:eastAsia="zh-CN"/>
                    </w:rPr>
                    <w:t>NH</w:t>
                  </w:r>
                  <w:r>
                    <w:rPr>
                      <w:rFonts w:hint="eastAsia" w:cs="Times New Roman"/>
                      <w:b w:val="0"/>
                      <w:bCs/>
                      <w:color w:val="auto"/>
                      <w:kern w:val="0"/>
                      <w:sz w:val="21"/>
                      <w:szCs w:val="21"/>
                      <w:vertAlign w:val="subscript"/>
                      <w:lang w:val="en-US" w:eastAsia="zh-CN"/>
                    </w:rPr>
                    <w:t>3</w:t>
                  </w:r>
                </w:p>
              </w:tc>
              <w:tc>
                <w:tcPr>
                  <w:tcW w:w="733" w:type="pct"/>
                  <w:noWrap w:val="0"/>
                  <w:vAlign w:val="center"/>
                </w:tcPr>
                <w:p w14:paraId="35C1BC23">
                  <w:pPr>
                    <w:widowControl/>
                    <w:adjustRightInd w:val="0"/>
                    <w:snapToGrid w:val="0"/>
                    <w:spacing w:line="240" w:lineRule="auto"/>
                    <w:ind w:left="0" w:leftChars="0" w:right="0" w:rightChars="0" w:firstLine="0" w:firstLineChars="0"/>
                    <w:jc w:val="center"/>
                    <w:rPr>
                      <w:rFonts w:hint="eastAsia" w:ascii="Times New Roman" w:hAnsi="Times New Roman" w:eastAsia="宋体" w:cs="Times New Roman"/>
                      <w:b w:val="0"/>
                      <w:bCs/>
                      <w:color w:val="auto"/>
                      <w:kern w:val="0"/>
                      <w:sz w:val="21"/>
                      <w:szCs w:val="21"/>
                      <w:lang w:val="en-US" w:eastAsia="zh-CN"/>
                    </w:rPr>
                  </w:pPr>
                  <w:r>
                    <w:rPr>
                      <w:rFonts w:hint="eastAsia" w:cs="Times New Roman"/>
                      <w:b w:val="0"/>
                      <w:bCs/>
                      <w:color w:val="auto"/>
                      <w:kern w:val="0"/>
                      <w:sz w:val="21"/>
                      <w:szCs w:val="21"/>
                      <w:lang w:val="en-US" w:eastAsia="zh-CN"/>
                    </w:rPr>
                    <w:t>产污系数法</w:t>
                  </w:r>
                </w:p>
              </w:tc>
              <w:tc>
                <w:tcPr>
                  <w:tcW w:w="588" w:type="pct"/>
                  <w:noWrap w:val="0"/>
                  <w:vAlign w:val="center"/>
                </w:tcPr>
                <w:p w14:paraId="7392285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0.005</w:t>
                  </w:r>
                </w:p>
              </w:tc>
              <w:tc>
                <w:tcPr>
                  <w:tcW w:w="596" w:type="pct"/>
                  <w:noWrap w:val="0"/>
                  <w:vAlign w:val="center"/>
                </w:tcPr>
                <w:p w14:paraId="4D9B764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bCs/>
                      <w:color w:val="auto"/>
                      <w:kern w:val="0"/>
                      <w:sz w:val="21"/>
                      <w:szCs w:val="21"/>
                      <w:lang w:val="en-US" w:eastAsia="zh-CN" w:bidi="ar"/>
                    </w:rPr>
                  </w:pPr>
                  <w:r>
                    <w:rPr>
                      <w:rFonts w:hint="eastAsia" w:cs="Times New Roman"/>
                      <w:bCs/>
                      <w:color w:val="auto"/>
                      <w:kern w:val="0"/>
                      <w:sz w:val="21"/>
                      <w:szCs w:val="21"/>
                      <w:lang w:val="en-US" w:eastAsia="zh-CN" w:bidi="ar"/>
                    </w:rPr>
                    <w:t>0.036</w:t>
                  </w:r>
                </w:p>
              </w:tc>
              <w:tc>
                <w:tcPr>
                  <w:tcW w:w="700" w:type="pct"/>
                  <w:vMerge w:val="restart"/>
                  <w:noWrap w:val="0"/>
                  <w:vAlign w:val="center"/>
                </w:tcPr>
                <w:p w14:paraId="48C9A04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 w:val="0"/>
                      <w:bCs/>
                      <w:color w:val="auto"/>
                      <w:kern w:val="0"/>
                      <w:sz w:val="21"/>
                      <w:szCs w:val="21"/>
                      <w:lang w:val="en-US" w:eastAsia="zh-CN"/>
                    </w:rPr>
                  </w:pPr>
                  <w:r>
                    <w:rPr>
                      <w:rFonts w:hint="eastAsia" w:cs="Times New Roman"/>
                      <w:b w:val="0"/>
                      <w:bCs/>
                      <w:color w:val="auto"/>
                      <w:kern w:val="0"/>
                      <w:sz w:val="21"/>
                      <w:szCs w:val="21"/>
                      <w:lang w:val="en-US" w:eastAsia="zh-CN"/>
                    </w:rPr>
                    <w:t>480</w:t>
                  </w:r>
                </w:p>
              </w:tc>
              <w:tc>
                <w:tcPr>
                  <w:tcW w:w="629" w:type="pct"/>
                  <w:vMerge w:val="restart"/>
                  <w:noWrap w:val="0"/>
                  <w:vAlign w:val="center"/>
                </w:tcPr>
                <w:p w14:paraId="3A7A6AB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 w:val="0"/>
                      <w:bCs/>
                      <w:color w:val="auto"/>
                      <w:kern w:val="0"/>
                      <w:sz w:val="21"/>
                      <w:szCs w:val="21"/>
                      <w:lang w:val="en-US" w:eastAsia="zh-CN"/>
                    </w:rPr>
                  </w:pPr>
                  <w:r>
                    <w:rPr>
                      <w:rFonts w:hint="eastAsia" w:cs="Times New Roman"/>
                      <w:b w:val="0"/>
                      <w:bCs/>
                      <w:color w:val="auto"/>
                      <w:kern w:val="0"/>
                      <w:sz w:val="21"/>
                      <w:szCs w:val="21"/>
                      <w:lang w:val="en-US" w:eastAsia="zh-CN"/>
                    </w:rPr>
                    <w:t>3.5</w:t>
                  </w:r>
                </w:p>
              </w:tc>
              <w:tc>
                <w:tcPr>
                  <w:tcW w:w="555" w:type="pct"/>
                  <w:noWrap w:val="0"/>
                  <w:vAlign w:val="center"/>
                </w:tcPr>
                <w:p w14:paraId="2D510B4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7920</w:t>
                  </w:r>
                </w:p>
              </w:tc>
            </w:tr>
            <w:tr w14:paraId="352FFC59">
              <w:trPr>
                <w:trHeight w:val="397" w:hRule="atLeast"/>
              </w:trPr>
              <w:tc>
                <w:tcPr>
                  <w:tcW w:w="618" w:type="pct"/>
                  <w:vMerge w:val="continue"/>
                  <w:noWrap w:val="0"/>
                  <w:vAlign w:val="center"/>
                </w:tcPr>
                <w:p w14:paraId="3812BE4D">
                  <w:pPr>
                    <w:widowControl/>
                    <w:adjustRightInd w:val="0"/>
                    <w:snapToGrid w:val="0"/>
                    <w:spacing w:line="240" w:lineRule="auto"/>
                    <w:ind w:left="0" w:leftChars="0" w:right="0" w:rightChars="0" w:firstLine="0" w:firstLineChars="0"/>
                    <w:jc w:val="center"/>
                    <w:rPr>
                      <w:rFonts w:hint="eastAsia" w:cs="Times New Roman"/>
                      <w:b w:val="0"/>
                      <w:bCs/>
                      <w:color w:val="auto"/>
                      <w:kern w:val="0"/>
                      <w:sz w:val="21"/>
                      <w:szCs w:val="21"/>
                      <w:lang w:val="en-US" w:eastAsia="zh-CN"/>
                    </w:rPr>
                  </w:pPr>
                </w:p>
              </w:tc>
              <w:tc>
                <w:tcPr>
                  <w:tcW w:w="578" w:type="pct"/>
                  <w:noWrap w:val="0"/>
                  <w:vAlign w:val="center"/>
                </w:tcPr>
                <w:p w14:paraId="3689C692">
                  <w:pPr>
                    <w:widowControl/>
                    <w:adjustRightInd w:val="0"/>
                    <w:snapToGrid w:val="0"/>
                    <w:spacing w:line="240" w:lineRule="auto"/>
                    <w:ind w:firstLine="0" w:firstLineChars="0"/>
                    <w:jc w:val="center"/>
                    <w:rPr>
                      <w:rFonts w:hint="default" w:cs="Times New Roman"/>
                      <w:b w:val="0"/>
                      <w:bCs/>
                      <w:color w:val="auto"/>
                      <w:kern w:val="0"/>
                      <w:sz w:val="21"/>
                      <w:szCs w:val="21"/>
                      <w:lang w:val="en-US" w:eastAsia="zh-CN"/>
                    </w:rPr>
                  </w:pPr>
                  <w:r>
                    <w:rPr>
                      <w:rFonts w:hint="eastAsia" w:cs="Times New Roman"/>
                      <w:b w:val="0"/>
                      <w:bCs/>
                      <w:color w:val="auto"/>
                      <w:kern w:val="0"/>
                      <w:sz w:val="21"/>
                      <w:szCs w:val="21"/>
                      <w:lang w:val="en-US" w:eastAsia="zh-CN"/>
                    </w:rPr>
                    <w:t>H</w:t>
                  </w:r>
                  <w:r>
                    <w:rPr>
                      <w:rFonts w:hint="eastAsia" w:cs="Times New Roman"/>
                      <w:b w:val="0"/>
                      <w:bCs/>
                      <w:color w:val="auto"/>
                      <w:kern w:val="0"/>
                      <w:sz w:val="21"/>
                      <w:szCs w:val="21"/>
                      <w:vertAlign w:val="subscript"/>
                      <w:lang w:val="en-US" w:eastAsia="zh-CN"/>
                    </w:rPr>
                    <w:t>2</w:t>
                  </w:r>
                  <w:r>
                    <w:rPr>
                      <w:rFonts w:hint="eastAsia" w:cs="Times New Roman"/>
                      <w:b w:val="0"/>
                      <w:bCs/>
                      <w:color w:val="auto"/>
                      <w:kern w:val="0"/>
                      <w:sz w:val="21"/>
                      <w:szCs w:val="21"/>
                      <w:lang w:val="en-US" w:eastAsia="zh-CN"/>
                    </w:rPr>
                    <w:t>S</w:t>
                  </w:r>
                </w:p>
              </w:tc>
              <w:tc>
                <w:tcPr>
                  <w:tcW w:w="733" w:type="pct"/>
                  <w:noWrap w:val="0"/>
                  <w:vAlign w:val="center"/>
                </w:tcPr>
                <w:p w14:paraId="5D852DB8">
                  <w:pPr>
                    <w:widowControl/>
                    <w:adjustRightInd w:val="0"/>
                    <w:snapToGrid w:val="0"/>
                    <w:spacing w:line="240" w:lineRule="auto"/>
                    <w:ind w:left="0" w:leftChars="0" w:right="0" w:rightChars="0" w:firstLine="0" w:firstLineChars="0"/>
                    <w:jc w:val="center"/>
                    <w:rPr>
                      <w:rFonts w:hint="eastAsia" w:ascii="Times New Roman" w:hAnsi="Times New Roman" w:eastAsia="宋体" w:cs="Times New Roman"/>
                      <w:b w:val="0"/>
                      <w:bCs/>
                      <w:color w:val="auto"/>
                      <w:kern w:val="0"/>
                      <w:sz w:val="21"/>
                      <w:szCs w:val="21"/>
                      <w:lang w:val="en-US" w:eastAsia="zh-CN"/>
                    </w:rPr>
                  </w:pPr>
                  <w:r>
                    <w:rPr>
                      <w:rFonts w:hint="eastAsia" w:cs="Times New Roman"/>
                      <w:b w:val="0"/>
                      <w:bCs/>
                      <w:color w:val="auto"/>
                      <w:kern w:val="0"/>
                      <w:sz w:val="21"/>
                      <w:szCs w:val="21"/>
                      <w:lang w:val="en-US" w:eastAsia="zh-CN"/>
                    </w:rPr>
                    <w:t>产污系数法</w:t>
                  </w:r>
                </w:p>
              </w:tc>
              <w:tc>
                <w:tcPr>
                  <w:tcW w:w="588" w:type="pct"/>
                  <w:noWrap w:val="0"/>
                  <w:vAlign w:val="center"/>
                </w:tcPr>
                <w:p w14:paraId="33CB0CC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0.0002</w:t>
                  </w:r>
                </w:p>
              </w:tc>
              <w:tc>
                <w:tcPr>
                  <w:tcW w:w="596" w:type="pct"/>
                  <w:noWrap w:val="0"/>
                  <w:vAlign w:val="center"/>
                </w:tcPr>
                <w:p w14:paraId="65BCD95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bCs/>
                      <w:color w:val="auto"/>
                      <w:kern w:val="0"/>
                      <w:sz w:val="21"/>
                      <w:szCs w:val="21"/>
                      <w:lang w:val="en-US" w:eastAsia="zh-CN" w:bidi="ar"/>
                    </w:rPr>
                  </w:pPr>
                  <w:r>
                    <w:rPr>
                      <w:rFonts w:hint="eastAsia" w:cs="Times New Roman"/>
                      <w:bCs/>
                      <w:color w:val="auto"/>
                      <w:kern w:val="0"/>
                      <w:sz w:val="21"/>
                      <w:szCs w:val="21"/>
                      <w:lang w:val="en-US" w:eastAsia="zh-CN" w:bidi="ar"/>
                    </w:rPr>
                    <w:t>0.0014</w:t>
                  </w:r>
                </w:p>
              </w:tc>
              <w:tc>
                <w:tcPr>
                  <w:tcW w:w="700" w:type="pct"/>
                  <w:vMerge w:val="continue"/>
                  <w:noWrap w:val="0"/>
                  <w:vAlign w:val="center"/>
                </w:tcPr>
                <w:p w14:paraId="60A9967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color w:val="auto"/>
                      <w:kern w:val="0"/>
                      <w:sz w:val="21"/>
                      <w:szCs w:val="21"/>
                      <w:lang w:val="en-US" w:eastAsia="zh-CN"/>
                    </w:rPr>
                  </w:pPr>
                </w:p>
              </w:tc>
              <w:tc>
                <w:tcPr>
                  <w:tcW w:w="629" w:type="pct"/>
                  <w:vMerge w:val="continue"/>
                  <w:noWrap w:val="0"/>
                  <w:vAlign w:val="center"/>
                </w:tcPr>
                <w:p w14:paraId="2353449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color w:val="auto"/>
                      <w:kern w:val="0"/>
                      <w:sz w:val="21"/>
                      <w:szCs w:val="21"/>
                      <w:lang w:val="en-US" w:eastAsia="zh-CN"/>
                    </w:rPr>
                  </w:pPr>
                </w:p>
              </w:tc>
              <w:tc>
                <w:tcPr>
                  <w:tcW w:w="555" w:type="pct"/>
                  <w:noWrap w:val="0"/>
                  <w:vAlign w:val="center"/>
                </w:tcPr>
                <w:p w14:paraId="067ABFF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7920</w:t>
                  </w:r>
                </w:p>
              </w:tc>
            </w:tr>
          </w:tbl>
          <w:p w14:paraId="57B6621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表</w:t>
            </w:r>
            <w:r>
              <w:rPr>
                <w:rFonts w:hint="default" w:ascii="Times New Roman" w:hAnsi="Times New Roman" w:eastAsia="宋体" w:cs="Times New Roman"/>
                <w:b/>
                <w:bCs/>
                <w:color w:val="auto"/>
                <w:sz w:val="21"/>
              </w:rPr>
              <w:t>4-</w:t>
            </w:r>
            <w:r>
              <w:rPr>
                <w:rFonts w:hint="eastAsia" w:cs="Times New Roman"/>
                <w:b/>
                <w:bCs/>
                <w:color w:val="auto"/>
                <w:sz w:val="21"/>
                <w:lang w:val="en-US" w:eastAsia="zh-CN"/>
              </w:rPr>
              <w:t xml:space="preserve">4  </w:t>
            </w:r>
            <w:r>
              <w:rPr>
                <w:rFonts w:hint="default" w:ascii="Times New Roman" w:hAnsi="Times New Roman" w:eastAsia="宋体" w:cs="Times New Roman"/>
                <w:b/>
                <w:color w:val="auto"/>
                <w:sz w:val="21"/>
              </w:rPr>
              <w:t>建设项目废气收集、治理措施及排放情况汇总表</w:t>
            </w:r>
          </w:p>
          <w:tbl>
            <w:tblPr>
              <w:tblStyle w:val="20"/>
              <w:tblW w:w="4966" w:type="pct"/>
              <w:tblInd w:w="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431"/>
              <w:gridCol w:w="2014"/>
              <w:gridCol w:w="1799"/>
              <w:gridCol w:w="1859"/>
              <w:gridCol w:w="995"/>
              <w:gridCol w:w="1312"/>
              <w:gridCol w:w="2014"/>
              <w:gridCol w:w="1022"/>
              <w:gridCol w:w="1031"/>
              <w:gridCol w:w="1456"/>
            </w:tblGrid>
            <w:tr w14:paraId="4396553D">
              <w:trPr>
                <w:trHeight w:val="397" w:hRule="atLeast"/>
              </w:trPr>
              <w:tc>
                <w:tcPr>
                  <w:tcW w:w="1153" w:type="pct"/>
                  <w:gridSpan w:val="2"/>
                  <w:noWrap w:val="0"/>
                  <w:vAlign w:val="center"/>
                </w:tcPr>
                <w:p w14:paraId="6DA9AEE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产污环节</w:t>
                  </w:r>
                </w:p>
              </w:tc>
              <w:tc>
                <w:tcPr>
                  <w:tcW w:w="602" w:type="pct"/>
                  <w:vMerge w:val="restart"/>
                  <w:noWrap w:val="0"/>
                  <w:vAlign w:val="center"/>
                </w:tcPr>
                <w:p w14:paraId="66D92CC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污染物种类</w:t>
                  </w:r>
                </w:p>
              </w:tc>
              <w:tc>
                <w:tcPr>
                  <w:tcW w:w="622" w:type="pct"/>
                  <w:vMerge w:val="restart"/>
                  <w:noWrap w:val="0"/>
                  <w:vAlign w:val="center"/>
                </w:tcPr>
                <w:p w14:paraId="279B498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收集方式</w:t>
                  </w:r>
                </w:p>
              </w:tc>
              <w:tc>
                <w:tcPr>
                  <w:tcW w:w="333" w:type="pct"/>
                  <w:vMerge w:val="restart"/>
                  <w:noWrap w:val="0"/>
                  <w:vAlign w:val="center"/>
                </w:tcPr>
                <w:p w14:paraId="6699A7A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收集效率</w:t>
                  </w:r>
                </w:p>
              </w:tc>
              <w:tc>
                <w:tcPr>
                  <w:tcW w:w="439" w:type="pct"/>
                  <w:vMerge w:val="restart"/>
                  <w:noWrap w:val="0"/>
                  <w:vAlign w:val="center"/>
                </w:tcPr>
                <w:p w14:paraId="688C5F8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设计风量</w:t>
                  </w:r>
                </w:p>
                <w:p w14:paraId="7959C4E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eastAsia" w:cs="Times New Roman"/>
                      <w:b w:val="0"/>
                      <w:bCs/>
                      <w:color w:val="auto"/>
                      <w:sz w:val="21"/>
                      <w:szCs w:val="21"/>
                      <w:lang w:eastAsia="zh-CN"/>
                    </w:rPr>
                    <w:t>(</w:t>
                  </w:r>
                  <w:r>
                    <w:rPr>
                      <w:rFonts w:hint="default" w:ascii="Times New Roman" w:hAnsi="Times New Roman" w:eastAsia="宋体" w:cs="Times New Roman"/>
                      <w:b w:val="0"/>
                      <w:bCs/>
                      <w:color w:val="auto"/>
                      <w:sz w:val="21"/>
                      <w:szCs w:val="21"/>
                    </w:rPr>
                    <w:t>m</w:t>
                  </w:r>
                  <w:r>
                    <w:rPr>
                      <w:rFonts w:hint="default" w:ascii="Times New Roman" w:hAnsi="Times New Roman" w:eastAsia="宋体" w:cs="Times New Roman"/>
                      <w:b w:val="0"/>
                      <w:bCs/>
                      <w:color w:val="auto"/>
                      <w:sz w:val="21"/>
                      <w:szCs w:val="21"/>
                      <w:vertAlign w:val="superscript"/>
                    </w:rPr>
                    <w:t>3</w:t>
                  </w:r>
                  <w:r>
                    <w:rPr>
                      <w:rFonts w:hint="default" w:ascii="Times New Roman" w:hAnsi="Times New Roman" w:eastAsia="宋体" w:cs="Times New Roman"/>
                      <w:b w:val="0"/>
                      <w:bCs/>
                      <w:color w:val="auto"/>
                      <w:sz w:val="21"/>
                      <w:szCs w:val="21"/>
                    </w:rPr>
                    <w:t>/h</w:t>
                  </w:r>
                  <w:r>
                    <w:rPr>
                      <w:rFonts w:hint="eastAsia" w:cs="Times New Roman"/>
                      <w:b w:val="0"/>
                      <w:bCs/>
                      <w:color w:val="auto"/>
                      <w:sz w:val="21"/>
                      <w:szCs w:val="21"/>
                      <w:lang w:eastAsia="zh-CN"/>
                    </w:rPr>
                    <w:t>)</w:t>
                  </w:r>
                </w:p>
              </w:tc>
              <w:tc>
                <w:tcPr>
                  <w:tcW w:w="674" w:type="pct"/>
                  <w:vMerge w:val="restart"/>
                  <w:noWrap w:val="0"/>
                  <w:vAlign w:val="center"/>
                </w:tcPr>
                <w:p w14:paraId="50FC5CA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治理工艺</w:t>
                  </w:r>
                </w:p>
              </w:tc>
              <w:tc>
                <w:tcPr>
                  <w:tcW w:w="342" w:type="pct"/>
                  <w:vMerge w:val="restart"/>
                  <w:noWrap w:val="0"/>
                  <w:vAlign w:val="center"/>
                </w:tcPr>
                <w:p w14:paraId="3E28AC0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去除效率</w:t>
                  </w:r>
                </w:p>
              </w:tc>
              <w:tc>
                <w:tcPr>
                  <w:tcW w:w="345" w:type="pct"/>
                  <w:vMerge w:val="restart"/>
                  <w:noWrap w:val="0"/>
                  <w:vAlign w:val="center"/>
                </w:tcPr>
                <w:p w14:paraId="472087B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是否为可行技术</w:t>
                  </w:r>
                </w:p>
              </w:tc>
              <w:tc>
                <w:tcPr>
                  <w:tcW w:w="487" w:type="pct"/>
                  <w:vMerge w:val="restart"/>
                  <w:noWrap w:val="0"/>
                  <w:vAlign w:val="center"/>
                </w:tcPr>
                <w:p w14:paraId="5446206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排放形式</w:t>
                  </w:r>
                </w:p>
              </w:tc>
            </w:tr>
            <w:tr w14:paraId="3D9AE9D7">
              <w:trPr>
                <w:trHeight w:val="397" w:hRule="atLeast"/>
              </w:trPr>
              <w:tc>
                <w:tcPr>
                  <w:tcW w:w="479" w:type="pct"/>
                  <w:noWrap w:val="0"/>
                  <w:vAlign w:val="center"/>
                </w:tcPr>
                <w:p w14:paraId="432F7B5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生产装置</w:t>
                  </w:r>
                </w:p>
              </w:tc>
              <w:tc>
                <w:tcPr>
                  <w:tcW w:w="674" w:type="pct"/>
                  <w:noWrap w:val="0"/>
                  <w:vAlign w:val="center"/>
                </w:tcPr>
                <w:p w14:paraId="3CB3E8E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废气种类</w:t>
                  </w:r>
                </w:p>
              </w:tc>
              <w:tc>
                <w:tcPr>
                  <w:tcW w:w="602" w:type="pct"/>
                  <w:vMerge w:val="continue"/>
                  <w:noWrap w:val="0"/>
                  <w:vAlign w:val="center"/>
                </w:tcPr>
                <w:p w14:paraId="0A343F5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p>
              </w:tc>
              <w:tc>
                <w:tcPr>
                  <w:tcW w:w="622" w:type="pct"/>
                  <w:vMerge w:val="continue"/>
                  <w:noWrap w:val="0"/>
                  <w:vAlign w:val="center"/>
                </w:tcPr>
                <w:p w14:paraId="3DD4DCF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p>
              </w:tc>
              <w:tc>
                <w:tcPr>
                  <w:tcW w:w="333" w:type="pct"/>
                  <w:vMerge w:val="continue"/>
                  <w:noWrap w:val="0"/>
                  <w:vAlign w:val="center"/>
                </w:tcPr>
                <w:p w14:paraId="23B943F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p>
              </w:tc>
              <w:tc>
                <w:tcPr>
                  <w:tcW w:w="439" w:type="pct"/>
                  <w:vMerge w:val="continue"/>
                  <w:noWrap w:val="0"/>
                  <w:vAlign w:val="center"/>
                </w:tcPr>
                <w:p w14:paraId="50400AD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p>
              </w:tc>
              <w:tc>
                <w:tcPr>
                  <w:tcW w:w="674" w:type="pct"/>
                  <w:vMerge w:val="continue"/>
                  <w:noWrap w:val="0"/>
                  <w:vAlign w:val="center"/>
                </w:tcPr>
                <w:p w14:paraId="58DB2A8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p>
              </w:tc>
              <w:tc>
                <w:tcPr>
                  <w:tcW w:w="342" w:type="pct"/>
                  <w:vMerge w:val="continue"/>
                  <w:noWrap w:val="0"/>
                  <w:vAlign w:val="center"/>
                </w:tcPr>
                <w:p w14:paraId="4E523F2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p>
              </w:tc>
              <w:tc>
                <w:tcPr>
                  <w:tcW w:w="345" w:type="pct"/>
                  <w:vMerge w:val="continue"/>
                  <w:noWrap w:val="0"/>
                  <w:vAlign w:val="center"/>
                </w:tcPr>
                <w:p w14:paraId="55A7342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p>
              </w:tc>
              <w:tc>
                <w:tcPr>
                  <w:tcW w:w="487" w:type="pct"/>
                  <w:vMerge w:val="continue"/>
                  <w:noWrap w:val="0"/>
                  <w:vAlign w:val="center"/>
                </w:tcPr>
                <w:p w14:paraId="64B154F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p>
              </w:tc>
            </w:tr>
            <w:tr w14:paraId="520083EC">
              <w:trPr>
                <w:trHeight w:val="397" w:hRule="atLeast"/>
              </w:trPr>
              <w:tc>
                <w:tcPr>
                  <w:tcW w:w="479" w:type="pct"/>
                  <w:noWrap w:val="0"/>
                  <w:vAlign w:val="center"/>
                </w:tcPr>
                <w:p w14:paraId="33D1D70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消毒线</w:t>
                  </w:r>
                </w:p>
              </w:tc>
              <w:tc>
                <w:tcPr>
                  <w:tcW w:w="674" w:type="pct"/>
                  <w:noWrap w:val="0"/>
                  <w:vAlign w:val="center"/>
                </w:tcPr>
                <w:p w14:paraId="242B4C2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cs="Times New Roman"/>
                      <w:b w:val="0"/>
                      <w:bCs/>
                      <w:color w:val="auto"/>
                      <w:kern w:val="0"/>
                      <w:sz w:val="21"/>
                      <w:szCs w:val="21"/>
                      <w:lang w:val="en-US" w:eastAsia="zh-CN"/>
                    </w:rPr>
                    <w:t>消毒废气</w:t>
                  </w:r>
                </w:p>
              </w:tc>
              <w:tc>
                <w:tcPr>
                  <w:tcW w:w="602" w:type="pct"/>
                  <w:noWrap w:val="0"/>
                  <w:vAlign w:val="center"/>
                </w:tcPr>
                <w:p w14:paraId="0648027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非甲烷总烃</w:t>
                  </w:r>
                </w:p>
              </w:tc>
              <w:tc>
                <w:tcPr>
                  <w:tcW w:w="622" w:type="pct"/>
                  <w:noWrap w:val="0"/>
                  <w:vAlign w:val="center"/>
                </w:tcPr>
                <w:p w14:paraId="266E64A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密闭</w:t>
                  </w:r>
                  <w:r>
                    <w:rPr>
                      <w:rFonts w:hint="default" w:ascii="Times New Roman" w:hAnsi="Times New Roman" w:eastAsia="宋体" w:cs="Times New Roman"/>
                      <w:b w:val="0"/>
                      <w:bCs/>
                      <w:color w:val="auto"/>
                      <w:sz w:val="21"/>
                      <w:szCs w:val="21"/>
                      <w:lang w:val="en-US" w:eastAsia="zh-CN"/>
                    </w:rPr>
                    <w:t>收集</w:t>
                  </w:r>
                </w:p>
              </w:tc>
              <w:tc>
                <w:tcPr>
                  <w:tcW w:w="333" w:type="pct"/>
                  <w:noWrap w:val="0"/>
                  <w:vAlign w:val="center"/>
                </w:tcPr>
                <w:p w14:paraId="1F86CD7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9</w:t>
                  </w:r>
                  <w:r>
                    <w:rPr>
                      <w:rFonts w:hint="eastAsia" w:cs="Times New Roman"/>
                      <w:b w:val="0"/>
                      <w:bCs/>
                      <w:color w:val="auto"/>
                      <w:sz w:val="21"/>
                      <w:szCs w:val="21"/>
                      <w:lang w:val="en-US" w:eastAsia="zh-CN"/>
                    </w:rPr>
                    <w:t>5</w:t>
                  </w:r>
                  <w:r>
                    <w:rPr>
                      <w:rFonts w:hint="default" w:ascii="Times New Roman" w:hAnsi="Times New Roman" w:eastAsia="宋体" w:cs="Times New Roman"/>
                      <w:b w:val="0"/>
                      <w:bCs/>
                      <w:color w:val="auto"/>
                      <w:sz w:val="21"/>
                      <w:szCs w:val="21"/>
                    </w:rPr>
                    <w:t>%</w:t>
                  </w:r>
                </w:p>
              </w:tc>
              <w:tc>
                <w:tcPr>
                  <w:tcW w:w="439" w:type="pct"/>
                  <w:noWrap w:val="0"/>
                  <w:vAlign w:val="center"/>
                </w:tcPr>
                <w:p w14:paraId="5ADEB28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kern w:val="0"/>
                      <w:sz w:val="21"/>
                      <w:szCs w:val="21"/>
                      <w:lang w:val="en-US" w:eastAsia="zh-CN" w:bidi="ar"/>
                    </w:rPr>
                    <w:t>15000</w:t>
                  </w:r>
                </w:p>
              </w:tc>
              <w:tc>
                <w:tcPr>
                  <w:tcW w:w="674" w:type="pct"/>
                  <w:noWrap w:val="0"/>
                  <w:vAlign w:val="center"/>
                </w:tcPr>
                <w:p w14:paraId="1DDBFC0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cs="Times New Roman"/>
                      <w:b w:val="0"/>
                      <w:bCs/>
                      <w:color w:val="auto"/>
                      <w:kern w:val="0"/>
                      <w:sz w:val="21"/>
                      <w:szCs w:val="21"/>
                      <w:lang w:val="en-US" w:eastAsia="zh-CN"/>
                    </w:rPr>
                    <w:t>碱喷淋</w:t>
                  </w:r>
                </w:p>
              </w:tc>
              <w:tc>
                <w:tcPr>
                  <w:tcW w:w="342" w:type="pct"/>
                  <w:noWrap w:val="0"/>
                  <w:vAlign w:val="center"/>
                </w:tcPr>
                <w:p w14:paraId="2349545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rPr>
                    <w:t>9</w:t>
                  </w:r>
                  <w:r>
                    <w:rPr>
                      <w:rFonts w:hint="eastAsia" w:ascii="Times New Roman" w:hAnsi="Times New Roman" w:eastAsia="宋体" w:cs="Times New Roman"/>
                      <w:b w:val="0"/>
                      <w:bCs/>
                      <w:color w:val="auto"/>
                      <w:kern w:val="0"/>
                      <w:sz w:val="21"/>
                      <w:szCs w:val="21"/>
                      <w:lang w:val="en-US" w:eastAsia="zh-CN"/>
                    </w:rPr>
                    <w:t>0</w:t>
                  </w:r>
                  <w:r>
                    <w:rPr>
                      <w:rFonts w:hint="default" w:ascii="Times New Roman" w:hAnsi="Times New Roman" w:eastAsia="宋体" w:cs="Times New Roman"/>
                      <w:b w:val="0"/>
                      <w:bCs/>
                      <w:color w:val="auto"/>
                      <w:kern w:val="0"/>
                      <w:sz w:val="21"/>
                      <w:szCs w:val="21"/>
                    </w:rPr>
                    <w:t>%</w:t>
                  </w:r>
                </w:p>
              </w:tc>
              <w:tc>
                <w:tcPr>
                  <w:tcW w:w="345" w:type="pct"/>
                  <w:noWrap w:val="0"/>
                  <w:vAlign w:val="center"/>
                </w:tcPr>
                <w:p w14:paraId="0D1DEA2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是</w:t>
                  </w:r>
                </w:p>
              </w:tc>
              <w:tc>
                <w:tcPr>
                  <w:tcW w:w="487" w:type="pct"/>
                  <w:noWrap w:val="0"/>
                  <w:vAlign w:val="center"/>
                </w:tcPr>
                <w:p w14:paraId="7081EAE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有组织</w:t>
                  </w:r>
                </w:p>
              </w:tc>
            </w:tr>
            <w:tr w14:paraId="703FE49C">
              <w:trPr>
                <w:trHeight w:val="397" w:hRule="atLeast"/>
              </w:trPr>
              <w:tc>
                <w:tcPr>
                  <w:tcW w:w="479" w:type="pct"/>
                  <w:noWrap w:val="0"/>
                  <w:vAlign w:val="center"/>
                </w:tcPr>
                <w:p w14:paraId="5592A19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吹瓶设备</w:t>
                  </w:r>
                </w:p>
              </w:tc>
              <w:tc>
                <w:tcPr>
                  <w:tcW w:w="674" w:type="pct"/>
                  <w:noWrap w:val="0"/>
                  <w:vAlign w:val="center"/>
                </w:tcPr>
                <w:p w14:paraId="76D05FC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auto"/>
                      <w:kern w:val="0"/>
                      <w:sz w:val="21"/>
                      <w:szCs w:val="21"/>
                      <w:lang w:val="en-US" w:eastAsia="zh-CN"/>
                    </w:rPr>
                  </w:pPr>
                  <w:r>
                    <w:rPr>
                      <w:rFonts w:hint="eastAsia" w:cs="Times New Roman"/>
                      <w:b w:val="0"/>
                      <w:bCs/>
                      <w:color w:val="auto"/>
                      <w:kern w:val="0"/>
                      <w:sz w:val="21"/>
                      <w:szCs w:val="21"/>
                      <w:lang w:val="en-US" w:eastAsia="zh-CN"/>
                    </w:rPr>
                    <w:t>吹瓶废气</w:t>
                  </w:r>
                </w:p>
              </w:tc>
              <w:tc>
                <w:tcPr>
                  <w:tcW w:w="602" w:type="pct"/>
                  <w:noWrap w:val="0"/>
                  <w:vAlign w:val="center"/>
                </w:tcPr>
                <w:p w14:paraId="71E1F3C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bCs/>
                      <w:color w:val="auto"/>
                      <w:sz w:val="21"/>
                      <w:szCs w:val="21"/>
                      <w:lang w:val="en-US" w:eastAsia="zh-CN"/>
                    </w:rPr>
                  </w:pPr>
                  <w:r>
                    <w:rPr>
                      <w:rFonts w:hint="eastAsia" w:cs="Times New Roman"/>
                      <w:b w:val="0"/>
                      <w:bCs/>
                      <w:color w:val="auto"/>
                      <w:sz w:val="21"/>
                      <w:szCs w:val="21"/>
                      <w:lang w:val="en-US" w:eastAsia="zh-CN"/>
                    </w:rPr>
                    <w:t>非甲烷总烃</w:t>
                  </w:r>
                </w:p>
              </w:tc>
              <w:tc>
                <w:tcPr>
                  <w:tcW w:w="622" w:type="pct"/>
                  <w:noWrap w:val="0"/>
                  <w:vAlign w:val="center"/>
                </w:tcPr>
                <w:p w14:paraId="0494B22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bCs/>
                      <w:color w:val="auto"/>
                      <w:sz w:val="21"/>
                      <w:szCs w:val="21"/>
                      <w:lang w:val="en-US" w:eastAsia="zh-CN"/>
                    </w:rPr>
                  </w:pPr>
                  <w:r>
                    <w:rPr>
                      <w:rFonts w:hint="eastAsia" w:cs="Times New Roman"/>
                      <w:b w:val="0"/>
                      <w:bCs/>
                      <w:color w:val="auto"/>
                      <w:sz w:val="21"/>
                      <w:szCs w:val="21"/>
                      <w:lang w:val="en-US" w:eastAsia="zh-CN"/>
                    </w:rPr>
                    <w:t>密闭</w:t>
                  </w:r>
                  <w:r>
                    <w:rPr>
                      <w:rFonts w:hint="default" w:ascii="Times New Roman" w:hAnsi="Times New Roman" w:eastAsia="宋体" w:cs="Times New Roman"/>
                      <w:b w:val="0"/>
                      <w:bCs/>
                      <w:color w:val="auto"/>
                      <w:sz w:val="21"/>
                      <w:szCs w:val="21"/>
                      <w:lang w:val="en-US" w:eastAsia="zh-CN"/>
                    </w:rPr>
                    <w:t>收集</w:t>
                  </w:r>
                </w:p>
              </w:tc>
              <w:tc>
                <w:tcPr>
                  <w:tcW w:w="333" w:type="pct"/>
                  <w:noWrap w:val="0"/>
                  <w:vAlign w:val="center"/>
                </w:tcPr>
                <w:p w14:paraId="4A152C0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9</w:t>
                  </w:r>
                  <w:r>
                    <w:rPr>
                      <w:rFonts w:hint="eastAsia" w:cs="Times New Roman"/>
                      <w:b w:val="0"/>
                      <w:bCs/>
                      <w:color w:val="auto"/>
                      <w:sz w:val="21"/>
                      <w:szCs w:val="21"/>
                      <w:lang w:val="en-US" w:eastAsia="zh-CN"/>
                    </w:rPr>
                    <w:t>5</w:t>
                  </w:r>
                  <w:r>
                    <w:rPr>
                      <w:rFonts w:hint="default" w:ascii="Times New Roman" w:hAnsi="Times New Roman" w:eastAsia="宋体" w:cs="Times New Roman"/>
                      <w:b w:val="0"/>
                      <w:bCs/>
                      <w:color w:val="auto"/>
                      <w:sz w:val="21"/>
                      <w:szCs w:val="21"/>
                    </w:rPr>
                    <w:t>%</w:t>
                  </w:r>
                </w:p>
              </w:tc>
              <w:tc>
                <w:tcPr>
                  <w:tcW w:w="439" w:type="pct"/>
                  <w:noWrap w:val="0"/>
                  <w:vAlign w:val="center"/>
                </w:tcPr>
                <w:p w14:paraId="76F0EB2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b w:val="0"/>
                      <w:bCs/>
                      <w:color w:val="auto"/>
                      <w:kern w:val="0"/>
                      <w:sz w:val="21"/>
                      <w:szCs w:val="21"/>
                      <w:lang w:val="en-US" w:eastAsia="zh-CN" w:bidi="ar"/>
                    </w:rPr>
                  </w:pPr>
                  <w:r>
                    <w:rPr>
                      <w:rFonts w:hint="eastAsia" w:cs="Times New Roman"/>
                      <w:b w:val="0"/>
                      <w:bCs/>
                      <w:color w:val="auto"/>
                      <w:kern w:val="0"/>
                      <w:sz w:val="21"/>
                      <w:szCs w:val="21"/>
                      <w:lang w:val="en-US" w:eastAsia="zh-CN" w:bidi="ar"/>
                    </w:rPr>
                    <w:t>5000</w:t>
                  </w:r>
                </w:p>
              </w:tc>
              <w:tc>
                <w:tcPr>
                  <w:tcW w:w="674" w:type="pct"/>
                  <w:noWrap w:val="0"/>
                  <w:vAlign w:val="center"/>
                </w:tcPr>
                <w:p w14:paraId="7D69914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bCs/>
                      <w:color w:val="auto"/>
                      <w:kern w:val="0"/>
                      <w:sz w:val="21"/>
                      <w:szCs w:val="21"/>
                      <w:lang w:val="en-US" w:eastAsia="zh-CN"/>
                    </w:rPr>
                  </w:pPr>
                  <w:r>
                    <w:rPr>
                      <w:rFonts w:hint="eastAsia" w:cs="Times New Roman"/>
                      <w:b w:val="0"/>
                      <w:bCs/>
                      <w:color w:val="auto"/>
                      <w:kern w:val="0"/>
                      <w:sz w:val="21"/>
                      <w:szCs w:val="21"/>
                      <w:lang w:val="en-US" w:eastAsia="zh-CN"/>
                    </w:rPr>
                    <w:t>二级活性炭吸附</w:t>
                  </w:r>
                </w:p>
              </w:tc>
              <w:tc>
                <w:tcPr>
                  <w:tcW w:w="342" w:type="pct"/>
                  <w:noWrap w:val="0"/>
                  <w:vAlign w:val="center"/>
                </w:tcPr>
                <w:p w14:paraId="6D2D1D5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9</w:t>
                  </w:r>
                  <w:r>
                    <w:rPr>
                      <w:rFonts w:hint="eastAsia" w:ascii="Times New Roman" w:hAnsi="Times New Roman" w:eastAsia="宋体" w:cs="Times New Roman"/>
                      <w:b w:val="0"/>
                      <w:bCs/>
                      <w:color w:val="auto"/>
                      <w:kern w:val="0"/>
                      <w:sz w:val="21"/>
                      <w:szCs w:val="21"/>
                      <w:lang w:val="en-US" w:eastAsia="zh-CN"/>
                    </w:rPr>
                    <w:t>0</w:t>
                  </w:r>
                  <w:r>
                    <w:rPr>
                      <w:rFonts w:hint="default" w:ascii="Times New Roman" w:hAnsi="Times New Roman" w:eastAsia="宋体" w:cs="Times New Roman"/>
                      <w:b w:val="0"/>
                      <w:bCs/>
                      <w:color w:val="auto"/>
                      <w:kern w:val="0"/>
                      <w:sz w:val="21"/>
                      <w:szCs w:val="21"/>
                    </w:rPr>
                    <w:t>%</w:t>
                  </w:r>
                </w:p>
              </w:tc>
              <w:tc>
                <w:tcPr>
                  <w:tcW w:w="345" w:type="pct"/>
                  <w:noWrap w:val="0"/>
                  <w:vAlign w:val="center"/>
                </w:tcPr>
                <w:p w14:paraId="36E5A44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是</w:t>
                  </w:r>
                </w:p>
              </w:tc>
              <w:tc>
                <w:tcPr>
                  <w:tcW w:w="487" w:type="pct"/>
                  <w:noWrap w:val="0"/>
                  <w:vAlign w:val="center"/>
                </w:tcPr>
                <w:p w14:paraId="0396E6A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有组织</w:t>
                  </w:r>
                </w:p>
              </w:tc>
            </w:tr>
          </w:tbl>
          <w:p w14:paraId="5C162478">
            <w:pPr>
              <w:adjustRightInd w:val="0"/>
              <w:snapToGrid w:val="0"/>
              <w:spacing w:before="120" w:beforeLines="50" w:line="240" w:lineRule="auto"/>
              <w:ind w:firstLine="0" w:firstLineChars="0"/>
              <w:jc w:val="center"/>
              <w:rPr>
                <w:rFonts w:hint="default" w:ascii="Times New Roman" w:hAnsi="Times New Roman" w:eastAsia="宋体" w:cs="Times New Roman"/>
                <w:b/>
                <w:color w:val="auto"/>
                <w:kern w:val="0"/>
                <w:sz w:val="21"/>
                <w:szCs w:val="20"/>
              </w:rPr>
            </w:pPr>
            <w:r>
              <w:rPr>
                <w:rFonts w:hint="default" w:ascii="Times New Roman" w:hAnsi="Times New Roman" w:eastAsia="宋体" w:cs="Times New Roman"/>
                <w:b/>
                <w:color w:val="auto"/>
                <w:kern w:val="0"/>
                <w:sz w:val="21"/>
                <w:szCs w:val="20"/>
              </w:rPr>
              <w:t>表</w:t>
            </w:r>
            <w:r>
              <w:rPr>
                <w:rFonts w:hint="default" w:ascii="Times New Roman" w:hAnsi="Times New Roman" w:eastAsia="宋体" w:cs="Times New Roman"/>
                <w:b/>
                <w:bCs/>
                <w:color w:val="auto"/>
                <w:kern w:val="0"/>
                <w:sz w:val="21"/>
                <w:szCs w:val="20"/>
              </w:rPr>
              <w:t>4-</w:t>
            </w:r>
            <w:r>
              <w:rPr>
                <w:rFonts w:hint="eastAsia" w:cs="Times New Roman"/>
                <w:b/>
                <w:bCs/>
                <w:color w:val="auto"/>
                <w:kern w:val="0"/>
                <w:sz w:val="21"/>
                <w:szCs w:val="20"/>
                <w:lang w:val="en-US" w:eastAsia="zh-CN"/>
              </w:rPr>
              <w:t xml:space="preserve">5  </w:t>
            </w:r>
            <w:r>
              <w:rPr>
                <w:rFonts w:hint="default" w:ascii="Times New Roman" w:hAnsi="Times New Roman" w:eastAsia="宋体" w:cs="Times New Roman"/>
                <w:b/>
                <w:color w:val="auto"/>
                <w:kern w:val="0"/>
                <w:sz w:val="21"/>
                <w:szCs w:val="20"/>
              </w:rPr>
              <w:t>建设项目废气排放口基本情况一览表</w:t>
            </w:r>
          </w:p>
          <w:tbl>
            <w:tblPr>
              <w:tblStyle w:val="2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66"/>
              <w:gridCol w:w="980"/>
              <w:gridCol w:w="1211"/>
              <w:gridCol w:w="2031"/>
              <w:gridCol w:w="2154"/>
              <w:gridCol w:w="1038"/>
              <w:gridCol w:w="806"/>
              <w:gridCol w:w="635"/>
              <w:gridCol w:w="635"/>
              <w:gridCol w:w="569"/>
              <w:gridCol w:w="1005"/>
              <w:gridCol w:w="1281"/>
              <w:gridCol w:w="1200"/>
              <w:gridCol w:w="1218"/>
            </w:tblGrid>
            <w:tr w14:paraId="39D9C05A">
              <w:trPr>
                <w:trHeight w:val="350" w:hRule="atLeast"/>
              </w:trPr>
              <w:tc>
                <w:tcPr>
                  <w:tcW w:w="88" w:type="pct"/>
                  <w:vMerge w:val="restart"/>
                  <w:noWrap w:val="0"/>
                  <w:vAlign w:val="center"/>
                </w:tcPr>
                <w:p w14:paraId="2F020E05">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编号</w:t>
                  </w:r>
                </w:p>
              </w:tc>
              <w:tc>
                <w:tcPr>
                  <w:tcW w:w="326" w:type="pct"/>
                  <w:vMerge w:val="restart"/>
                  <w:noWrap w:val="0"/>
                  <w:vAlign w:val="center"/>
                </w:tcPr>
                <w:p w14:paraId="449D7EB0">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名称</w:t>
                  </w:r>
                </w:p>
              </w:tc>
              <w:tc>
                <w:tcPr>
                  <w:tcW w:w="403" w:type="pct"/>
                  <w:vMerge w:val="restart"/>
                  <w:noWrap w:val="0"/>
                  <w:vAlign w:val="center"/>
                </w:tcPr>
                <w:p w14:paraId="5B952E16">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排放口类型</w:t>
                  </w:r>
                </w:p>
              </w:tc>
              <w:tc>
                <w:tcPr>
                  <w:tcW w:w="1391" w:type="pct"/>
                  <w:gridSpan w:val="2"/>
                  <w:vMerge w:val="restart"/>
                  <w:noWrap w:val="0"/>
                  <w:vAlign w:val="center"/>
                </w:tcPr>
                <w:p w14:paraId="6BC20E53">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排气筒底部中心坐标</w:t>
                  </w:r>
                </w:p>
                <w:p w14:paraId="18784F65">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w:t>
                  </w:r>
                  <w:r>
                    <w:rPr>
                      <w:rFonts w:hint="default" w:ascii="Times New Roman" w:hAnsi="Times New Roman" w:eastAsia="宋体" w:cs="Times New Roman"/>
                      <w:b w:val="0"/>
                      <w:bCs/>
                      <w:color w:val="auto"/>
                      <w:kern w:val="0"/>
                      <w:sz w:val="21"/>
                      <w:szCs w:val="21"/>
                      <w:lang w:val="en-US" w:eastAsia="zh-CN"/>
                    </w:rPr>
                    <w:t>经纬度</w:t>
                  </w:r>
                  <w:r>
                    <w:rPr>
                      <w:rFonts w:hint="default" w:ascii="Times New Roman" w:hAnsi="Times New Roman" w:eastAsia="宋体" w:cs="Times New Roman"/>
                      <w:b w:val="0"/>
                      <w:bCs/>
                      <w:color w:val="auto"/>
                      <w:kern w:val="0"/>
                      <w:sz w:val="21"/>
                      <w:szCs w:val="21"/>
                    </w:rPr>
                    <w:t>）</w:t>
                  </w:r>
                </w:p>
              </w:tc>
              <w:tc>
                <w:tcPr>
                  <w:tcW w:w="345" w:type="pct"/>
                  <w:vMerge w:val="restart"/>
                  <w:noWrap w:val="0"/>
                  <w:vAlign w:val="center"/>
                </w:tcPr>
                <w:p w14:paraId="3E4F3043">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排气筒底部</w:t>
                  </w:r>
                  <w:r>
                    <w:rPr>
                      <w:rFonts w:hint="eastAsia" w:cs="Times New Roman"/>
                      <w:b w:val="0"/>
                      <w:bCs/>
                      <w:color w:val="auto"/>
                      <w:kern w:val="0"/>
                      <w:sz w:val="21"/>
                      <w:szCs w:val="21"/>
                      <w:lang w:eastAsia="zh-CN"/>
                    </w:rPr>
                    <w:t>海拔</w:t>
                  </w:r>
                  <w:r>
                    <w:rPr>
                      <w:rFonts w:hint="default" w:ascii="Times New Roman" w:hAnsi="Times New Roman" w:eastAsia="宋体" w:cs="Times New Roman"/>
                      <w:b w:val="0"/>
                      <w:bCs/>
                      <w:color w:val="auto"/>
                      <w:kern w:val="0"/>
                      <w:sz w:val="21"/>
                      <w:szCs w:val="21"/>
                    </w:rPr>
                    <w:t>/m</w:t>
                  </w:r>
                </w:p>
              </w:tc>
              <w:tc>
                <w:tcPr>
                  <w:tcW w:w="268" w:type="pct"/>
                  <w:vMerge w:val="restart"/>
                  <w:noWrap w:val="0"/>
                  <w:vAlign w:val="center"/>
                </w:tcPr>
                <w:p w14:paraId="40736D2C">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排气筒高度/m</w:t>
                  </w:r>
                </w:p>
              </w:tc>
              <w:tc>
                <w:tcPr>
                  <w:tcW w:w="211" w:type="pct"/>
                  <w:vMerge w:val="restart"/>
                  <w:noWrap w:val="0"/>
                  <w:vAlign w:val="center"/>
                </w:tcPr>
                <w:p w14:paraId="7D14251D">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排气筒内径/m</w:t>
                  </w:r>
                </w:p>
              </w:tc>
              <w:tc>
                <w:tcPr>
                  <w:tcW w:w="211" w:type="pct"/>
                  <w:vMerge w:val="restart"/>
                  <w:noWrap w:val="0"/>
                  <w:vAlign w:val="center"/>
                </w:tcPr>
                <w:p w14:paraId="775D9A19">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烟气温度/℃</w:t>
                  </w:r>
                </w:p>
              </w:tc>
              <w:tc>
                <w:tcPr>
                  <w:tcW w:w="189" w:type="pct"/>
                  <w:vMerge w:val="restart"/>
                  <w:noWrap w:val="0"/>
                  <w:vAlign w:val="center"/>
                </w:tcPr>
                <w:p w14:paraId="09943915">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排放工况</w:t>
                  </w:r>
                </w:p>
              </w:tc>
              <w:tc>
                <w:tcPr>
                  <w:tcW w:w="334" w:type="pct"/>
                  <w:vMerge w:val="restart"/>
                  <w:noWrap w:val="0"/>
                  <w:vAlign w:val="center"/>
                </w:tcPr>
                <w:p w14:paraId="24A089AA">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污染物类型</w:t>
                  </w:r>
                </w:p>
              </w:tc>
              <w:tc>
                <w:tcPr>
                  <w:tcW w:w="1230" w:type="pct"/>
                  <w:gridSpan w:val="3"/>
                  <w:noWrap w:val="0"/>
                  <w:vAlign w:val="center"/>
                </w:tcPr>
                <w:p w14:paraId="0B27092E">
                  <w:pPr>
                    <w:widowControl/>
                    <w:adjustRightInd w:val="0"/>
                    <w:snapToGrid w:val="0"/>
                    <w:spacing w:line="240" w:lineRule="auto"/>
                    <w:ind w:firstLine="0" w:firstLineChars="0"/>
                    <w:jc w:val="center"/>
                    <w:rPr>
                      <w:rFonts w:hint="default" w:ascii="Times New Roman" w:hAnsi="Times New Roman" w:eastAsia="宋体" w:cs="Times New Roman"/>
                      <w:b w:val="0"/>
                      <w:bCs/>
                      <w:color w:val="auto"/>
                      <w:sz w:val="21"/>
                      <w:lang w:val="en-US" w:eastAsia="zh-CN"/>
                    </w:rPr>
                  </w:pPr>
                  <w:r>
                    <w:rPr>
                      <w:rFonts w:hint="default" w:ascii="Times New Roman" w:hAnsi="Times New Roman" w:eastAsia="宋体" w:cs="Times New Roman"/>
                      <w:b w:val="0"/>
                      <w:bCs/>
                      <w:color w:val="auto"/>
                      <w:sz w:val="21"/>
                      <w:lang w:val="en-US" w:eastAsia="zh-CN"/>
                    </w:rPr>
                    <w:t>排放情况</w:t>
                  </w:r>
                </w:p>
              </w:tc>
            </w:tr>
            <w:tr w14:paraId="1188644A">
              <w:trPr>
                <w:trHeight w:val="321" w:hRule="atLeast"/>
              </w:trPr>
              <w:tc>
                <w:tcPr>
                  <w:tcW w:w="88" w:type="pct"/>
                  <w:vMerge w:val="continue"/>
                  <w:noWrap w:val="0"/>
                  <w:vAlign w:val="center"/>
                </w:tcPr>
                <w:p w14:paraId="7CCCECB1">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326" w:type="pct"/>
                  <w:vMerge w:val="continue"/>
                  <w:noWrap w:val="0"/>
                  <w:vAlign w:val="center"/>
                </w:tcPr>
                <w:p w14:paraId="0AE90D54">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403" w:type="pct"/>
                  <w:vMerge w:val="continue"/>
                  <w:noWrap w:val="0"/>
                  <w:vAlign w:val="center"/>
                </w:tcPr>
                <w:p w14:paraId="7FF00AB1">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1391" w:type="pct"/>
                  <w:gridSpan w:val="2"/>
                  <w:vMerge w:val="continue"/>
                  <w:noWrap w:val="0"/>
                  <w:vAlign w:val="center"/>
                </w:tcPr>
                <w:p w14:paraId="78846703">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345" w:type="pct"/>
                  <w:vMerge w:val="continue"/>
                  <w:noWrap w:val="0"/>
                  <w:vAlign w:val="center"/>
                </w:tcPr>
                <w:p w14:paraId="63114C3E">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268" w:type="pct"/>
                  <w:vMerge w:val="continue"/>
                  <w:noWrap w:val="0"/>
                  <w:vAlign w:val="center"/>
                </w:tcPr>
                <w:p w14:paraId="291C2536">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211" w:type="pct"/>
                  <w:vMerge w:val="continue"/>
                  <w:noWrap w:val="0"/>
                  <w:vAlign w:val="center"/>
                </w:tcPr>
                <w:p w14:paraId="769B535F">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211" w:type="pct"/>
                  <w:vMerge w:val="continue"/>
                  <w:noWrap w:val="0"/>
                  <w:vAlign w:val="center"/>
                </w:tcPr>
                <w:p w14:paraId="62CBC12D">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189" w:type="pct"/>
                  <w:vMerge w:val="continue"/>
                  <w:noWrap w:val="0"/>
                  <w:vAlign w:val="center"/>
                </w:tcPr>
                <w:p w14:paraId="76FDCA41">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334" w:type="pct"/>
                  <w:vMerge w:val="continue"/>
                  <w:noWrap w:val="0"/>
                  <w:vAlign w:val="center"/>
                </w:tcPr>
                <w:p w14:paraId="41541399">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426" w:type="pct"/>
                  <w:vMerge w:val="restart"/>
                  <w:noWrap w:val="0"/>
                  <w:vAlign w:val="center"/>
                </w:tcPr>
                <w:p w14:paraId="5E2A9AA4">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浓度</w:t>
                  </w:r>
                </w:p>
                <w:p w14:paraId="2D20F5A9">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eastAsia" w:cs="Times New Roman"/>
                      <w:b w:val="0"/>
                      <w:bCs/>
                      <w:color w:val="auto"/>
                      <w:kern w:val="0"/>
                      <w:sz w:val="21"/>
                      <w:szCs w:val="21"/>
                      <w:lang w:eastAsia="zh-CN"/>
                    </w:rPr>
                    <w:t>(</w:t>
                  </w:r>
                  <w:r>
                    <w:rPr>
                      <w:rFonts w:hint="default" w:ascii="Times New Roman" w:hAnsi="Times New Roman" w:eastAsia="宋体" w:cs="Times New Roman"/>
                      <w:b w:val="0"/>
                      <w:bCs/>
                      <w:color w:val="auto"/>
                      <w:kern w:val="0"/>
                      <w:sz w:val="21"/>
                      <w:szCs w:val="21"/>
                    </w:rPr>
                    <w:t>mg/m</w:t>
                  </w:r>
                  <w:r>
                    <w:rPr>
                      <w:rFonts w:hint="default" w:ascii="Times New Roman" w:hAnsi="Times New Roman" w:eastAsia="宋体" w:cs="Times New Roman"/>
                      <w:b w:val="0"/>
                      <w:bCs/>
                      <w:color w:val="auto"/>
                      <w:kern w:val="0"/>
                      <w:sz w:val="21"/>
                      <w:szCs w:val="21"/>
                      <w:vertAlign w:val="superscript"/>
                    </w:rPr>
                    <w:t>3</w:t>
                  </w:r>
                  <w:r>
                    <w:rPr>
                      <w:rFonts w:hint="eastAsia" w:cs="Times New Roman"/>
                      <w:b w:val="0"/>
                      <w:bCs/>
                      <w:color w:val="auto"/>
                      <w:kern w:val="0"/>
                      <w:sz w:val="21"/>
                      <w:szCs w:val="21"/>
                      <w:vertAlign w:val="superscript"/>
                      <w:lang w:eastAsia="zh-CN"/>
                    </w:rPr>
                    <w:t>)</w:t>
                  </w:r>
                </w:p>
              </w:tc>
              <w:tc>
                <w:tcPr>
                  <w:tcW w:w="399" w:type="pct"/>
                  <w:vMerge w:val="restart"/>
                  <w:noWrap w:val="0"/>
                  <w:vAlign w:val="center"/>
                </w:tcPr>
                <w:p w14:paraId="48DEBCE7">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速率</w:t>
                  </w:r>
                </w:p>
                <w:p w14:paraId="788640CE">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eastAsia" w:cs="Times New Roman"/>
                      <w:b w:val="0"/>
                      <w:bCs/>
                      <w:color w:val="auto"/>
                      <w:kern w:val="0"/>
                      <w:sz w:val="21"/>
                      <w:szCs w:val="21"/>
                      <w:lang w:eastAsia="zh-CN"/>
                    </w:rPr>
                    <w:t>(</w:t>
                  </w:r>
                  <w:r>
                    <w:rPr>
                      <w:rFonts w:hint="default" w:ascii="Times New Roman" w:hAnsi="Times New Roman" w:eastAsia="宋体" w:cs="Times New Roman"/>
                      <w:b w:val="0"/>
                      <w:bCs/>
                      <w:color w:val="auto"/>
                      <w:kern w:val="0"/>
                      <w:sz w:val="21"/>
                      <w:szCs w:val="21"/>
                    </w:rPr>
                    <w:t>kg/h</w:t>
                  </w:r>
                  <w:r>
                    <w:rPr>
                      <w:rFonts w:hint="eastAsia" w:cs="Times New Roman"/>
                      <w:b w:val="0"/>
                      <w:bCs/>
                      <w:color w:val="auto"/>
                      <w:kern w:val="0"/>
                      <w:sz w:val="21"/>
                      <w:szCs w:val="21"/>
                      <w:lang w:eastAsia="zh-CN"/>
                    </w:rPr>
                    <w:t>)</w:t>
                  </w:r>
                </w:p>
              </w:tc>
              <w:tc>
                <w:tcPr>
                  <w:tcW w:w="405" w:type="pct"/>
                  <w:vMerge w:val="restart"/>
                  <w:noWrap w:val="0"/>
                  <w:vAlign w:val="center"/>
                </w:tcPr>
                <w:p w14:paraId="6CC944F0">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排放量（t/a）</w:t>
                  </w:r>
                </w:p>
              </w:tc>
            </w:tr>
            <w:tr w14:paraId="5C726AE5">
              <w:trPr>
                <w:trHeight w:val="350" w:hRule="atLeast"/>
              </w:trPr>
              <w:tc>
                <w:tcPr>
                  <w:tcW w:w="88" w:type="pct"/>
                  <w:vMerge w:val="continue"/>
                  <w:noWrap w:val="0"/>
                  <w:vAlign w:val="center"/>
                </w:tcPr>
                <w:p w14:paraId="687C270D">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326" w:type="pct"/>
                  <w:vMerge w:val="continue"/>
                  <w:noWrap w:val="0"/>
                  <w:vAlign w:val="center"/>
                </w:tcPr>
                <w:p w14:paraId="176316D7">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403" w:type="pct"/>
                  <w:vMerge w:val="continue"/>
                  <w:noWrap w:val="0"/>
                  <w:vAlign w:val="center"/>
                </w:tcPr>
                <w:p w14:paraId="31B044CD">
                  <w:pPr>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p>
              </w:tc>
              <w:tc>
                <w:tcPr>
                  <w:tcW w:w="675" w:type="pct"/>
                  <w:noWrap w:val="0"/>
                  <w:vAlign w:val="center"/>
                </w:tcPr>
                <w:p w14:paraId="053FDCAE">
                  <w:pPr>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X</w:t>
                  </w:r>
                </w:p>
              </w:tc>
              <w:tc>
                <w:tcPr>
                  <w:tcW w:w="715" w:type="pct"/>
                  <w:noWrap w:val="0"/>
                  <w:vAlign w:val="center"/>
                </w:tcPr>
                <w:p w14:paraId="14518BA7">
                  <w:pPr>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Y</w:t>
                  </w:r>
                </w:p>
              </w:tc>
              <w:tc>
                <w:tcPr>
                  <w:tcW w:w="345" w:type="pct"/>
                  <w:vMerge w:val="continue"/>
                  <w:noWrap w:val="0"/>
                  <w:vAlign w:val="center"/>
                </w:tcPr>
                <w:p w14:paraId="61935F4D">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268" w:type="pct"/>
                  <w:vMerge w:val="continue"/>
                  <w:noWrap w:val="0"/>
                  <w:vAlign w:val="center"/>
                </w:tcPr>
                <w:p w14:paraId="4A6B22E4">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211" w:type="pct"/>
                  <w:vMerge w:val="continue"/>
                  <w:noWrap w:val="0"/>
                  <w:vAlign w:val="center"/>
                </w:tcPr>
                <w:p w14:paraId="386B311A">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211" w:type="pct"/>
                  <w:vMerge w:val="continue"/>
                  <w:noWrap w:val="0"/>
                  <w:vAlign w:val="center"/>
                </w:tcPr>
                <w:p w14:paraId="1972CF38">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189" w:type="pct"/>
                  <w:vMerge w:val="continue"/>
                  <w:noWrap w:val="0"/>
                  <w:vAlign w:val="center"/>
                </w:tcPr>
                <w:p w14:paraId="0FA766CC">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334" w:type="pct"/>
                  <w:vMerge w:val="continue"/>
                  <w:noWrap w:val="0"/>
                  <w:vAlign w:val="center"/>
                </w:tcPr>
                <w:p w14:paraId="59C6F758">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426" w:type="pct"/>
                  <w:vMerge w:val="continue"/>
                  <w:noWrap w:val="0"/>
                  <w:vAlign w:val="center"/>
                </w:tcPr>
                <w:p w14:paraId="26979B9F">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399" w:type="pct"/>
                  <w:vMerge w:val="continue"/>
                  <w:noWrap w:val="0"/>
                  <w:vAlign w:val="center"/>
                </w:tcPr>
                <w:p w14:paraId="2B78353E">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405" w:type="pct"/>
                  <w:vMerge w:val="continue"/>
                  <w:noWrap w:val="0"/>
                  <w:vAlign w:val="center"/>
                </w:tcPr>
                <w:p w14:paraId="2D0CA66C">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r>
            <w:tr w14:paraId="79E2038B">
              <w:trPr>
                <w:trHeight w:val="663" w:hRule="atLeast"/>
              </w:trPr>
              <w:tc>
                <w:tcPr>
                  <w:tcW w:w="88" w:type="pct"/>
                  <w:noWrap w:val="0"/>
                  <w:vAlign w:val="center"/>
                </w:tcPr>
                <w:p w14:paraId="2A9B82E4">
                  <w:pPr>
                    <w:widowControl/>
                    <w:numPr>
                      <w:ilvl w:val="0"/>
                      <w:numId w:val="20"/>
                    </w:numPr>
                    <w:adjustRightInd w:val="0"/>
                    <w:snapToGrid w:val="0"/>
                    <w:spacing w:line="240" w:lineRule="auto"/>
                    <w:ind w:left="0" w:leftChars="0" w:firstLine="0" w:firstLineChars="0"/>
                    <w:jc w:val="center"/>
                    <w:rPr>
                      <w:rFonts w:hint="default" w:ascii="Times New Roman" w:hAnsi="Times New Roman" w:eastAsia="宋体" w:cs="Times New Roman"/>
                      <w:b w:val="0"/>
                      <w:bCs/>
                      <w:color w:val="auto"/>
                      <w:kern w:val="0"/>
                      <w:sz w:val="21"/>
                      <w:szCs w:val="21"/>
                    </w:rPr>
                  </w:pPr>
                </w:p>
              </w:tc>
              <w:tc>
                <w:tcPr>
                  <w:tcW w:w="326" w:type="pct"/>
                  <w:noWrap w:val="0"/>
                  <w:vAlign w:val="center"/>
                </w:tcPr>
                <w:p w14:paraId="4E651582">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DA001</w:t>
                  </w:r>
                </w:p>
              </w:tc>
              <w:tc>
                <w:tcPr>
                  <w:tcW w:w="403" w:type="pct"/>
                  <w:noWrap w:val="0"/>
                  <w:vAlign w:val="center"/>
                </w:tcPr>
                <w:p w14:paraId="7E8A3775">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一般排放口</w:t>
                  </w:r>
                </w:p>
              </w:tc>
              <w:tc>
                <w:tcPr>
                  <w:tcW w:w="675" w:type="pct"/>
                  <w:noWrap w:val="0"/>
                  <w:vAlign w:val="center"/>
                </w:tcPr>
                <w:p w14:paraId="6604C36E">
                  <w:pPr>
                    <w:pStyle w:val="36"/>
                    <w:bidi w:val="0"/>
                    <w:ind w:firstLine="0" w:firstLineChars="0"/>
                    <w:rPr>
                      <w:rFonts w:hint="default" w:ascii="Times New Roman" w:hAnsi="Times New Roman" w:eastAsia="宋体" w:cs="Times New Roman"/>
                      <w:b w:val="0"/>
                      <w:bCs/>
                      <w:color w:val="auto"/>
                      <w:kern w:val="0"/>
                      <w:sz w:val="21"/>
                      <w:szCs w:val="21"/>
                      <w:lang w:val="en-US" w:eastAsia="zh-CN"/>
                    </w:rPr>
                  </w:pPr>
                  <w:r>
                    <w:rPr>
                      <w:rFonts w:hint="eastAsia" w:ascii="Times New Roman" w:cs="Times New Roman"/>
                      <w:b w:val="0"/>
                      <w:bCs/>
                      <w:color w:val="auto"/>
                      <w:sz w:val="21"/>
                      <w:szCs w:val="21"/>
                      <w:lang w:val="en-US" w:eastAsia="zh-CN"/>
                    </w:rPr>
                    <w:t>119°14′0.174″</w:t>
                  </w:r>
                </w:p>
              </w:tc>
              <w:tc>
                <w:tcPr>
                  <w:tcW w:w="715" w:type="pct"/>
                  <w:noWrap w:val="0"/>
                  <w:vAlign w:val="center"/>
                </w:tcPr>
                <w:p w14:paraId="3C1B73DF">
                  <w:pPr>
                    <w:pStyle w:val="36"/>
                    <w:bidi w:val="0"/>
                    <w:ind w:firstLine="0" w:firstLineChars="0"/>
                    <w:rPr>
                      <w:rFonts w:hint="default" w:ascii="Times New Roman" w:hAnsi="Times New Roman" w:eastAsia="宋体" w:cs="Times New Roman"/>
                      <w:b w:val="0"/>
                      <w:bCs/>
                      <w:color w:val="auto"/>
                      <w:sz w:val="21"/>
                      <w:szCs w:val="21"/>
                      <w:lang w:val="en-US" w:eastAsia="zh-CN"/>
                    </w:rPr>
                  </w:pPr>
                  <w:r>
                    <w:rPr>
                      <w:rFonts w:hint="eastAsia" w:ascii="Times New Roman" w:cs="Times New Roman"/>
                      <w:b w:val="0"/>
                      <w:bCs/>
                      <w:color w:val="auto"/>
                      <w:sz w:val="21"/>
                      <w:szCs w:val="21"/>
                      <w:lang w:val="en-US" w:eastAsia="zh-CN"/>
                    </w:rPr>
                    <w:t>33°48′14.261″</w:t>
                  </w:r>
                </w:p>
              </w:tc>
              <w:tc>
                <w:tcPr>
                  <w:tcW w:w="345" w:type="pct"/>
                  <w:noWrap w:val="0"/>
                  <w:vAlign w:val="center"/>
                </w:tcPr>
                <w:p w14:paraId="37DB8359">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3.83</w:t>
                  </w:r>
                </w:p>
              </w:tc>
              <w:tc>
                <w:tcPr>
                  <w:tcW w:w="268" w:type="pct"/>
                  <w:noWrap w:val="0"/>
                  <w:vAlign w:val="center"/>
                </w:tcPr>
                <w:p w14:paraId="0C8B377B">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15</w:t>
                  </w:r>
                </w:p>
              </w:tc>
              <w:tc>
                <w:tcPr>
                  <w:tcW w:w="211" w:type="pct"/>
                  <w:noWrap w:val="0"/>
                  <w:vAlign w:val="center"/>
                </w:tcPr>
                <w:p w14:paraId="563F9EDB">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rPr>
                    <w:t>0.</w:t>
                  </w:r>
                  <w:r>
                    <w:rPr>
                      <w:rFonts w:hint="default" w:ascii="Times New Roman" w:hAnsi="Times New Roman" w:eastAsia="宋体" w:cs="Times New Roman"/>
                      <w:b w:val="0"/>
                      <w:bCs/>
                      <w:color w:val="auto"/>
                      <w:sz w:val="21"/>
                      <w:szCs w:val="21"/>
                      <w:lang w:val="en-US" w:eastAsia="zh-CN"/>
                    </w:rPr>
                    <w:t>5</w:t>
                  </w:r>
                </w:p>
              </w:tc>
              <w:tc>
                <w:tcPr>
                  <w:tcW w:w="211" w:type="pct"/>
                  <w:noWrap w:val="0"/>
                  <w:vAlign w:val="center"/>
                </w:tcPr>
                <w:p w14:paraId="5E2F7CA7">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rPr>
                    <w:t>25</w:t>
                  </w:r>
                </w:p>
              </w:tc>
              <w:tc>
                <w:tcPr>
                  <w:tcW w:w="189" w:type="pct"/>
                  <w:noWrap w:val="0"/>
                  <w:vAlign w:val="center"/>
                </w:tcPr>
                <w:p w14:paraId="22AA786F">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正常</w:t>
                  </w:r>
                </w:p>
              </w:tc>
              <w:tc>
                <w:tcPr>
                  <w:tcW w:w="334" w:type="pct"/>
                  <w:noWrap w:val="0"/>
                  <w:vAlign w:val="center"/>
                </w:tcPr>
                <w:p w14:paraId="736E92F5">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非甲烷总烃</w:t>
                  </w:r>
                </w:p>
              </w:tc>
              <w:tc>
                <w:tcPr>
                  <w:tcW w:w="1281" w:type="dxa"/>
                  <w:noWrap w:val="0"/>
                  <w:vAlign w:val="center"/>
                </w:tcPr>
                <w:p w14:paraId="6DED720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color w:val="auto"/>
                      <w:sz w:val="21"/>
                      <w:szCs w:val="21"/>
                      <w:lang w:val="en-US"/>
                    </w:rPr>
                  </w:pPr>
                  <w:r>
                    <w:rPr>
                      <w:rFonts w:hint="eastAsia" w:ascii="Times New Roman" w:hAnsi="Times New Roman" w:eastAsia="宋体" w:cs="Times New Roman"/>
                      <w:i w:val="0"/>
                      <w:iCs w:val="0"/>
                      <w:color w:val="auto"/>
                      <w:kern w:val="0"/>
                      <w:sz w:val="21"/>
                      <w:szCs w:val="21"/>
                      <w:u w:val="none"/>
                      <w:lang w:val="en-US" w:eastAsia="zh-CN" w:bidi="ar"/>
                    </w:rPr>
                    <w:t xml:space="preserve">5.560 </w:t>
                  </w:r>
                </w:p>
              </w:tc>
              <w:tc>
                <w:tcPr>
                  <w:tcW w:w="1200" w:type="dxa"/>
                  <w:noWrap w:val="0"/>
                  <w:vAlign w:val="center"/>
                </w:tcPr>
                <w:p w14:paraId="6CC3A92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color w:val="auto"/>
                      <w:kern w:val="0"/>
                      <w:sz w:val="21"/>
                      <w:szCs w:val="21"/>
                      <w:lang w:val="en-US"/>
                    </w:rPr>
                  </w:pPr>
                  <w:r>
                    <w:rPr>
                      <w:rFonts w:hint="eastAsia" w:ascii="Times New Roman" w:hAnsi="Times New Roman" w:eastAsia="宋体" w:cs="Times New Roman"/>
                      <w:i w:val="0"/>
                      <w:iCs w:val="0"/>
                      <w:color w:val="auto"/>
                      <w:kern w:val="0"/>
                      <w:sz w:val="21"/>
                      <w:szCs w:val="21"/>
                      <w:u w:val="none"/>
                      <w:lang w:val="en-US" w:eastAsia="zh-CN" w:bidi="ar"/>
                    </w:rPr>
                    <w:t xml:space="preserve">0.083 </w:t>
                  </w:r>
                </w:p>
              </w:tc>
              <w:tc>
                <w:tcPr>
                  <w:tcW w:w="1218" w:type="dxa"/>
                  <w:noWrap w:val="0"/>
                  <w:vAlign w:val="center"/>
                </w:tcPr>
                <w:p w14:paraId="1CB453A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0.550 </w:t>
                  </w:r>
                </w:p>
              </w:tc>
            </w:tr>
            <w:tr w14:paraId="55A006E6">
              <w:trPr>
                <w:trHeight w:val="663" w:hRule="atLeast"/>
              </w:trPr>
              <w:tc>
                <w:tcPr>
                  <w:tcW w:w="88" w:type="pct"/>
                  <w:noWrap w:val="0"/>
                  <w:vAlign w:val="center"/>
                </w:tcPr>
                <w:p w14:paraId="4BACDA05">
                  <w:pPr>
                    <w:widowControl/>
                    <w:numPr>
                      <w:ilvl w:val="0"/>
                      <w:numId w:val="20"/>
                    </w:numPr>
                    <w:adjustRightInd w:val="0"/>
                    <w:snapToGrid w:val="0"/>
                    <w:spacing w:line="240" w:lineRule="auto"/>
                    <w:ind w:left="0" w:leftChars="0" w:firstLine="0" w:firstLineChars="0"/>
                    <w:jc w:val="center"/>
                    <w:rPr>
                      <w:rFonts w:hint="eastAsia" w:ascii="Times New Roman" w:hAnsi="Times New Roman" w:eastAsia="宋体" w:cs="Times New Roman"/>
                      <w:b w:val="0"/>
                      <w:bCs/>
                      <w:color w:val="auto"/>
                      <w:kern w:val="0"/>
                      <w:sz w:val="21"/>
                      <w:szCs w:val="21"/>
                      <w:lang w:val="en-US" w:eastAsia="zh-CN"/>
                    </w:rPr>
                  </w:pPr>
                </w:p>
              </w:tc>
              <w:tc>
                <w:tcPr>
                  <w:tcW w:w="326" w:type="pct"/>
                  <w:noWrap w:val="0"/>
                  <w:vAlign w:val="center"/>
                </w:tcPr>
                <w:p w14:paraId="7FA1BB4A">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DA002</w:t>
                  </w:r>
                </w:p>
              </w:tc>
              <w:tc>
                <w:tcPr>
                  <w:tcW w:w="403" w:type="pct"/>
                  <w:noWrap w:val="0"/>
                  <w:vAlign w:val="center"/>
                </w:tcPr>
                <w:p w14:paraId="63862BFE">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一般排放口</w:t>
                  </w:r>
                </w:p>
              </w:tc>
              <w:tc>
                <w:tcPr>
                  <w:tcW w:w="675" w:type="pct"/>
                  <w:noWrap w:val="0"/>
                  <w:vAlign w:val="center"/>
                </w:tcPr>
                <w:p w14:paraId="04330977">
                  <w:pPr>
                    <w:pStyle w:val="36"/>
                    <w:bidi w:val="0"/>
                    <w:ind w:firstLine="0" w:firstLineChars="0"/>
                    <w:rPr>
                      <w:rFonts w:hint="default" w:ascii="Times New Roman" w:hAnsi="Times New Roman" w:eastAsia="宋体" w:cs="Times New Roman"/>
                      <w:b w:val="0"/>
                      <w:bCs/>
                      <w:color w:val="auto"/>
                      <w:sz w:val="21"/>
                      <w:szCs w:val="21"/>
                    </w:rPr>
                  </w:pPr>
                  <w:r>
                    <w:rPr>
                      <w:rFonts w:hint="eastAsia" w:ascii="Times New Roman" w:cs="Times New Roman"/>
                      <w:b w:val="0"/>
                      <w:bCs/>
                      <w:color w:val="auto"/>
                      <w:sz w:val="21"/>
                      <w:szCs w:val="21"/>
                      <w:lang w:val="en-US" w:eastAsia="zh-CN"/>
                    </w:rPr>
                    <w:t>119°14′1.927″</w:t>
                  </w:r>
                </w:p>
              </w:tc>
              <w:tc>
                <w:tcPr>
                  <w:tcW w:w="715" w:type="pct"/>
                  <w:noWrap w:val="0"/>
                  <w:vAlign w:val="center"/>
                </w:tcPr>
                <w:p w14:paraId="63530C89">
                  <w:pPr>
                    <w:pStyle w:val="36"/>
                    <w:bidi w:val="0"/>
                    <w:ind w:firstLine="0" w:firstLineChars="0"/>
                    <w:rPr>
                      <w:rFonts w:hint="default" w:ascii="Times New Roman" w:hAnsi="Times New Roman" w:eastAsia="宋体" w:cs="Times New Roman"/>
                      <w:b w:val="0"/>
                      <w:bCs/>
                      <w:color w:val="auto"/>
                      <w:sz w:val="21"/>
                      <w:szCs w:val="21"/>
                    </w:rPr>
                  </w:pPr>
                  <w:r>
                    <w:rPr>
                      <w:rFonts w:hint="eastAsia" w:ascii="Times New Roman" w:cs="Times New Roman"/>
                      <w:b w:val="0"/>
                      <w:bCs/>
                      <w:color w:val="auto"/>
                      <w:sz w:val="21"/>
                      <w:szCs w:val="21"/>
                      <w:lang w:val="en-US" w:eastAsia="zh-CN"/>
                    </w:rPr>
                    <w:t>33°48′14.069″</w:t>
                  </w:r>
                </w:p>
              </w:tc>
              <w:tc>
                <w:tcPr>
                  <w:tcW w:w="345" w:type="pct"/>
                  <w:noWrap w:val="0"/>
                  <w:vAlign w:val="center"/>
                </w:tcPr>
                <w:p w14:paraId="0DB610E0">
                  <w:pPr>
                    <w:adjustRightInd w:val="0"/>
                    <w:snapToGrid w:val="0"/>
                    <w:spacing w:line="240" w:lineRule="auto"/>
                    <w:ind w:firstLine="0" w:firstLineChars="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3.83</w:t>
                  </w:r>
                </w:p>
              </w:tc>
              <w:tc>
                <w:tcPr>
                  <w:tcW w:w="268" w:type="pct"/>
                  <w:noWrap w:val="0"/>
                  <w:vAlign w:val="center"/>
                </w:tcPr>
                <w:p w14:paraId="70C2F5ED">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27</w:t>
                  </w:r>
                </w:p>
              </w:tc>
              <w:tc>
                <w:tcPr>
                  <w:tcW w:w="211" w:type="pct"/>
                  <w:noWrap w:val="0"/>
                  <w:vAlign w:val="center"/>
                </w:tcPr>
                <w:p w14:paraId="5B1C37EE">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0.</w:t>
                  </w:r>
                  <w:r>
                    <w:rPr>
                      <w:rFonts w:hint="default" w:ascii="Times New Roman" w:hAnsi="Times New Roman" w:eastAsia="宋体" w:cs="Times New Roman"/>
                      <w:b w:val="0"/>
                      <w:bCs/>
                      <w:color w:val="auto"/>
                      <w:sz w:val="21"/>
                      <w:szCs w:val="21"/>
                      <w:lang w:val="en-US" w:eastAsia="zh-CN"/>
                    </w:rPr>
                    <w:t>5</w:t>
                  </w:r>
                </w:p>
              </w:tc>
              <w:tc>
                <w:tcPr>
                  <w:tcW w:w="211" w:type="pct"/>
                  <w:noWrap w:val="0"/>
                  <w:vAlign w:val="center"/>
                </w:tcPr>
                <w:p w14:paraId="0F16D5A0">
                  <w:pPr>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25</w:t>
                  </w:r>
                </w:p>
              </w:tc>
              <w:tc>
                <w:tcPr>
                  <w:tcW w:w="189" w:type="pct"/>
                  <w:noWrap w:val="0"/>
                  <w:vAlign w:val="center"/>
                </w:tcPr>
                <w:p w14:paraId="0969925E">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正常</w:t>
                  </w:r>
                </w:p>
              </w:tc>
              <w:tc>
                <w:tcPr>
                  <w:tcW w:w="334" w:type="pct"/>
                  <w:noWrap w:val="0"/>
                  <w:vAlign w:val="center"/>
                </w:tcPr>
                <w:p w14:paraId="1999C074">
                  <w:pPr>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lang w:val="en-US" w:eastAsia="zh-CN"/>
                    </w:rPr>
                  </w:pPr>
                  <w:r>
                    <w:rPr>
                      <w:rFonts w:hint="eastAsia" w:cs="Times New Roman"/>
                      <w:b w:val="0"/>
                      <w:bCs/>
                      <w:color w:val="auto"/>
                      <w:sz w:val="21"/>
                      <w:szCs w:val="21"/>
                      <w:lang w:val="en-US" w:eastAsia="zh-CN"/>
                    </w:rPr>
                    <w:t>非甲烷总烃</w:t>
                  </w:r>
                </w:p>
              </w:tc>
              <w:tc>
                <w:tcPr>
                  <w:tcW w:w="1281" w:type="dxa"/>
                  <w:noWrap w:val="0"/>
                  <w:vAlign w:val="center"/>
                </w:tcPr>
                <w:p w14:paraId="412AC14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3.239</w:t>
                  </w:r>
                </w:p>
              </w:tc>
              <w:tc>
                <w:tcPr>
                  <w:tcW w:w="1200" w:type="dxa"/>
                  <w:noWrap w:val="0"/>
                  <w:vAlign w:val="center"/>
                </w:tcPr>
                <w:p w14:paraId="4306D6C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0.016 </w:t>
                  </w:r>
                </w:p>
              </w:tc>
              <w:tc>
                <w:tcPr>
                  <w:tcW w:w="1218" w:type="dxa"/>
                  <w:noWrap w:val="0"/>
                  <w:vAlign w:val="center"/>
                </w:tcPr>
                <w:p w14:paraId="1B0FDC9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0.128 </w:t>
                  </w:r>
                </w:p>
              </w:tc>
            </w:tr>
          </w:tbl>
          <w:p w14:paraId="157145D7">
            <w:pPr>
              <w:pStyle w:val="17"/>
              <w:rPr>
                <w:color w:val="auto"/>
              </w:rPr>
            </w:pPr>
          </w:p>
        </w:tc>
      </w:tr>
    </w:tbl>
    <w:p w14:paraId="1A579E93">
      <w:pPr>
        <w:adjustRightInd w:val="0"/>
        <w:snapToGrid w:val="0"/>
        <w:spacing w:line="360" w:lineRule="auto"/>
        <w:rPr>
          <w:rFonts w:hint="eastAsia" w:ascii="宋体" w:cs="宋体"/>
          <w:b/>
          <w:color w:val="auto"/>
          <w:kern w:val="0"/>
          <w:sz w:val="28"/>
          <w:szCs w:val="28"/>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0"/>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8162"/>
      </w:tblGrid>
      <w:tr w14:paraId="4211B005">
        <w:trPr>
          <w:trHeight w:val="12944" w:hRule="atLeast"/>
          <w:jc w:val="center"/>
        </w:trPr>
        <w:tc>
          <w:tcPr>
            <w:tcW w:w="746" w:type="dxa"/>
            <w:noWrap w:val="0"/>
            <w:tcMar>
              <w:left w:w="28" w:type="dxa"/>
              <w:right w:w="28" w:type="dxa"/>
            </w:tcMar>
            <w:vAlign w:val="center"/>
          </w:tcPr>
          <w:p w14:paraId="7DBE35D9">
            <w:pPr>
              <w:pStyle w:val="16"/>
              <w:rPr>
                <w:color w:val="auto"/>
              </w:rPr>
            </w:pPr>
          </w:p>
        </w:tc>
        <w:tc>
          <w:tcPr>
            <w:tcW w:w="8162" w:type="dxa"/>
            <w:noWrap w:val="0"/>
            <w:vAlign w:val="center"/>
          </w:tcPr>
          <w:p w14:paraId="237633F7">
            <w:pPr>
              <w:pStyle w:val="16"/>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b w:val="0"/>
                <w:bCs w:val="0"/>
                <w:color w:val="auto"/>
                <w:sz w:val="24"/>
                <w:szCs w:val="24"/>
              </w:rPr>
            </w:pPr>
            <w:r>
              <w:rPr>
                <w:rFonts w:hint="eastAsia"/>
                <w:b w:val="0"/>
                <w:bCs w:val="0"/>
                <w:color w:val="auto"/>
                <w:sz w:val="24"/>
                <w:lang w:val="en-US" w:eastAsia="zh-CN"/>
              </w:rPr>
              <w:t>2.</w:t>
            </w:r>
            <w:r>
              <w:rPr>
                <w:rFonts w:hint="eastAsia"/>
                <w:b w:val="0"/>
                <w:bCs w:val="0"/>
                <w:color w:val="auto"/>
                <w:sz w:val="24"/>
                <w:szCs w:val="24"/>
              </w:rPr>
              <w:t>非正常工况分析</w:t>
            </w:r>
          </w:p>
          <w:p w14:paraId="0E915C97">
            <w:pPr>
              <w:pStyle w:val="16"/>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b w:val="0"/>
                <w:bCs w:val="0"/>
                <w:color w:val="auto"/>
                <w:sz w:val="24"/>
              </w:rPr>
            </w:pPr>
            <w:r>
              <w:rPr>
                <w:rFonts w:hint="eastAsia"/>
                <w:b w:val="0"/>
                <w:bCs w:val="0"/>
                <w:color w:val="auto"/>
                <w:sz w:val="24"/>
              </w:rPr>
              <w:t>非正常排放是指生产设备在开、停车状态，检修状态或者部分设备未能完全运行的状态下污染物的排放情况。本项目生产中产生的所有工艺废气经收集处理后达标排放。若废气处理装置未正常运行，处理效率降低，造成废气的非正常排放。根据本项目废气产生及排放情况，本次评价考虑废气处理设施处理效率下降为</w:t>
            </w:r>
            <w:r>
              <w:rPr>
                <w:rFonts w:hint="eastAsia"/>
                <w:b w:val="0"/>
                <w:bCs w:val="0"/>
                <w:color w:val="auto"/>
                <w:sz w:val="24"/>
                <w:lang w:val="en-US" w:eastAsia="zh-CN"/>
              </w:rPr>
              <w:t>5</w:t>
            </w:r>
            <w:r>
              <w:rPr>
                <w:rFonts w:hint="eastAsia"/>
                <w:b w:val="0"/>
                <w:bCs w:val="0"/>
                <w:color w:val="auto"/>
                <w:sz w:val="24"/>
              </w:rPr>
              <w:t>0%、非正常排放时间为1h的状况，本项目非正常工况见</w:t>
            </w:r>
            <w:r>
              <w:rPr>
                <w:rFonts w:hint="eastAsia"/>
                <w:b w:val="0"/>
                <w:bCs w:val="0"/>
                <w:color w:val="auto"/>
                <w:sz w:val="24"/>
                <w:lang w:val="en-US" w:eastAsia="zh-CN"/>
              </w:rPr>
              <w:t>下表</w:t>
            </w:r>
            <w:r>
              <w:rPr>
                <w:rFonts w:hint="eastAsia"/>
                <w:b w:val="0"/>
                <w:bCs w:val="0"/>
                <w:color w:val="auto"/>
                <w:sz w:val="24"/>
              </w:rPr>
              <w:t>。</w:t>
            </w:r>
          </w:p>
          <w:p w14:paraId="6C79DE15">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b/>
                <w:bCs/>
                <w:color w:val="auto"/>
                <w:sz w:val="21"/>
                <w:szCs w:val="21"/>
              </w:rPr>
            </w:pPr>
            <w:r>
              <w:rPr>
                <w:b/>
                <w:bCs/>
                <w:color w:val="auto"/>
                <w:sz w:val="21"/>
                <w:szCs w:val="21"/>
              </w:rPr>
              <w:t>表4-</w:t>
            </w:r>
            <w:r>
              <w:rPr>
                <w:rFonts w:hint="eastAsia"/>
                <w:b/>
                <w:bCs/>
                <w:color w:val="auto"/>
                <w:sz w:val="21"/>
                <w:szCs w:val="21"/>
                <w:lang w:val="en-US" w:eastAsia="zh-CN"/>
              </w:rPr>
              <w:t xml:space="preserve">6  </w:t>
            </w:r>
            <w:r>
              <w:rPr>
                <w:b/>
                <w:bCs/>
                <w:color w:val="auto"/>
                <w:sz w:val="21"/>
                <w:szCs w:val="21"/>
              </w:rPr>
              <w:t>非正常工况排放</w:t>
            </w:r>
            <w:r>
              <w:rPr>
                <w:rFonts w:hint="eastAsia"/>
                <w:b/>
                <w:bCs/>
                <w:color w:val="auto"/>
                <w:sz w:val="21"/>
                <w:szCs w:val="21"/>
              </w:rPr>
              <w:t>情况分析</w:t>
            </w:r>
          </w:p>
          <w:tbl>
            <w:tblPr>
              <w:tblStyle w:val="20"/>
              <w:tblW w:w="779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99"/>
              <w:gridCol w:w="543"/>
              <w:gridCol w:w="783"/>
              <w:gridCol w:w="686"/>
              <w:gridCol w:w="1035"/>
              <w:gridCol w:w="862"/>
              <w:gridCol w:w="640"/>
              <w:gridCol w:w="640"/>
              <w:gridCol w:w="622"/>
              <w:gridCol w:w="460"/>
              <w:gridCol w:w="826"/>
            </w:tblGrid>
            <w:tr w14:paraId="1B83230C">
              <w:trPr>
                <w:trHeight w:val="397" w:hRule="atLeast"/>
                <w:jc w:val="center"/>
              </w:trPr>
              <w:tc>
                <w:tcPr>
                  <w:tcW w:w="699" w:type="dxa"/>
                  <w:vMerge w:val="restart"/>
                  <w:noWrap w:val="0"/>
                  <w:vAlign w:val="center"/>
                </w:tcPr>
                <w:p w14:paraId="4903F8F4">
                  <w:pPr>
                    <w:jc w:val="center"/>
                    <w:rPr>
                      <w:color w:val="auto"/>
                      <w:sz w:val="21"/>
                      <w:szCs w:val="21"/>
                    </w:rPr>
                  </w:pPr>
                  <w:r>
                    <w:rPr>
                      <w:color w:val="auto"/>
                      <w:sz w:val="21"/>
                      <w:szCs w:val="21"/>
                    </w:rPr>
                    <w:t>排气筒</w:t>
                  </w:r>
                </w:p>
                <w:p w14:paraId="02E4DFB1">
                  <w:pPr>
                    <w:jc w:val="center"/>
                    <w:rPr>
                      <w:color w:val="auto"/>
                      <w:sz w:val="21"/>
                      <w:szCs w:val="21"/>
                    </w:rPr>
                  </w:pPr>
                  <w:r>
                    <w:rPr>
                      <w:color w:val="auto"/>
                      <w:sz w:val="21"/>
                      <w:szCs w:val="21"/>
                    </w:rPr>
                    <w:t>编号</w:t>
                  </w:r>
                </w:p>
              </w:tc>
              <w:tc>
                <w:tcPr>
                  <w:tcW w:w="543" w:type="dxa"/>
                  <w:vMerge w:val="restart"/>
                  <w:noWrap w:val="0"/>
                  <w:vAlign w:val="center"/>
                </w:tcPr>
                <w:p w14:paraId="1F3CCCB7">
                  <w:pPr>
                    <w:widowControl/>
                    <w:jc w:val="center"/>
                    <w:rPr>
                      <w:color w:val="auto"/>
                      <w:sz w:val="21"/>
                      <w:szCs w:val="21"/>
                    </w:rPr>
                  </w:pPr>
                  <w:r>
                    <w:rPr>
                      <w:color w:val="auto"/>
                      <w:kern w:val="0"/>
                      <w:sz w:val="21"/>
                      <w:szCs w:val="21"/>
                      <w:lang w:bidi="ar"/>
                    </w:rPr>
                    <w:t>非正常</w:t>
                  </w:r>
                </w:p>
                <w:p w14:paraId="7C0F9447">
                  <w:pPr>
                    <w:widowControl/>
                    <w:jc w:val="center"/>
                    <w:rPr>
                      <w:color w:val="auto"/>
                      <w:sz w:val="21"/>
                      <w:szCs w:val="21"/>
                    </w:rPr>
                  </w:pPr>
                  <w:r>
                    <w:rPr>
                      <w:color w:val="auto"/>
                      <w:kern w:val="0"/>
                      <w:sz w:val="21"/>
                      <w:szCs w:val="21"/>
                      <w:lang w:bidi="ar"/>
                    </w:rPr>
                    <w:t>排放原</w:t>
                  </w:r>
                </w:p>
                <w:p w14:paraId="3F92D35A">
                  <w:pPr>
                    <w:widowControl/>
                    <w:jc w:val="center"/>
                    <w:rPr>
                      <w:color w:val="auto"/>
                      <w:sz w:val="21"/>
                      <w:szCs w:val="21"/>
                    </w:rPr>
                  </w:pPr>
                  <w:r>
                    <w:rPr>
                      <w:color w:val="auto"/>
                      <w:kern w:val="0"/>
                      <w:sz w:val="21"/>
                      <w:szCs w:val="21"/>
                      <w:lang w:bidi="ar"/>
                    </w:rPr>
                    <w:t>因</w:t>
                  </w:r>
                </w:p>
              </w:tc>
              <w:tc>
                <w:tcPr>
                  <w:tcW w:w="783" w:type="dxa"/>
                  <w:vMerge w:val="restart"/>
                  <w:noWrap w:val="0"/>
                  <w:vAlign w:val="center"/>
                </w:tcPr>
                <w:p w14:paraId="72456E52">
                  <w:pPr>
                    <w:jc w:val="center"/>
                    <w:rPr>
                      <w:color w:val="auto"/>
                      <w:sz w:val="21"/>
                      <w:szCs w:val="21"/>
                    </w:rPr>
                  </w:pPr>
                  <w:r>
                    <w:rPr>
                      <w:color w:val="auto"/>
                      <w:sz w:val="21"/>
                      <w:szCs w:val="21"/>
                    </w:rPr>
                    <w:t>污染物</w:t>
                  </w:r>
                </w:p>
              </w:tc>
              <w:tc>
                <w:tcPr>
                  <w:tcW w:w="686" w:type="dxa"/>
                  <w:vMerge w:val="restart"/>
                  <w:noWrap w:val="0"/>
                  <w:vAlign w:val="center"/>
                </w:tcPr>
                <w:p w14:paraId="0CC1062B">
                  <w:pPr>
                    <w:jc w:val="center"/>
                    <w:rPr>
                      <w:color w:val="auto"/>
                      <w:sz w:val="21"/>
                      <w:szCs w:val="21"/>
                    </w:rPr>
                  </w:pPr>
                  <w:r>
                    <w:rPr>
                      <w:rFonts w:hint="eastAsia"/>
                      <w:color w:val="auto"/>
                      <w:sz w:val="21"/>
                      <w:szCs w:val="21"/>
                    </w:rPr>
                    <w:t>非正常排放量（</w:t>
                  </w:r>
                  <w:r>
                    <w:rPr>
                      <w:rFonts w:hint="eastAsia"/>
                      <w:color w:val="auto"/>
                      <w:sz w:val="21"/>
                      <w:szCs w:val="21"/>
                      <w:lang w:val="en-US" w:eastAsia="zh-CN"/>
                    </w:rPr>
                    <w:t>kg</w:t>
                  </w:r>
                  <w:r>
                    <w:rPr>
                      <w:rFonts w:hint="eastAsia"/>
                      <w:color w:val="auto"/>
                      <w:sz w:val="21"/>
                      <w:szCs w:val="21"/>
                    </w:rPr>
                    <w:t>）</w:t>
                  </w:r>
                </w:p>
              </w:tc>
              <w:tc>
                <w:tcPr>
                  <w:tcW w:w="1035" w:type="dxa"/>
                  <w:vMerge w:val="restart"/>
                  <w:noWrap w:val="0"/>
                  <w:vAlign w:val="center"/>
                </w:tcPr>
                <w:p w14:paraId="76894B77">
                  <w:pPr>
                    <w:jc w:val="center"/>
                    <w:rPr>
                      <w:color w:val="auto"/>
                      <w:sz w:val="21"/>
                      <w:szCs w:val="21"/>
                    </w:rPr>
                  </w:pPr>
                  <w:r>
                    <w:rPr>
                      <w:color w:val="auto"/>
                      <w:sz w:val="21"/>
                      <w:szCs w:val="21"/>
                    </w:rPr>
                    <w:t>非正常排放浓度</w:t>
                  </w:r>
                </w:p>
                <w:p w14:paraId="170358DD">
                  <w:pPr>
                    <w:pStyle w:val="17"/>
                    <w:spacing w:line="240" w:lineRule="auto"/>
                    <w:ind w:left="0" w:leftChars="0" w:firstLine="0" w:firstLineChars="0"/>
                    <w:jc w:val="center"/>
                    <w:rPr>
                      <w:rFonts w:ascii="Times New Roman" w:hAnsi="Times New Roman" w:cs="Times New Roman"/>
                      <w:color w:val="auto"/>
                      <w:sz w:val="21"/>
                      <w:szCs w:val="21"/>
                    </w:rPr>
                  </w:pPr>
                  <w:r>
                    <w:rPr>
                      <w:rFonts w:hint="eastAsia" w:ascii="Times New Roman" w:hAnsi="Times New Roman" w:cs="Times New Roman"/>
                      <w:b w:val="0"/>
                      <w:color w:val="auto"/>
                      <w:sz w:val="21"/>
                      <w:szCs w:val="21"/>
                      <w:lang w:eastAsia="zh-CN"/>
                    </w:rPr>
                    <w:t>(</w:t>
                  </w:r>
                  <w:r>
                    <w:rPr>
                      <w:rFonts w:ascii="Times New Roman" w:hAnsi="Times New Roman" w:cs="Times New Roman"/>
                      <w:b w:val="0"/>
                      <w:color w:val="auto"/>
                      <w:sz w:val="21"/>
                      <w:szCs w:val="21"/>
                    </w:rPr>
                    <w:t>mg/m</w:t>
                  </w:r>
                  <w:r>
                    <w:rPr>
                      <w:rFonts w:ascii="Times New Roman" w:hAnsi="Times New Roman" w:cs="Times New Roman"/>
                      <w:b w:val="0"/>
                      <w:color w:val="auto"/>
                      <w:sz w:val="21"/>
                      <w:szCs w:val="21"/>
                      <w:vertAlign w:val="superscript"/>
                    </w:rPr>
                    <w:t>3</w:t>
                  </w:r>
                  <w:r>
                    <w:rPr>
                      <w:rFonts w:hint="eastAsia" w:ascii="Times New Roman" w:hAnsi="Times New Roman" w:cs="Times New Roman"/>
                      <w:b w:val="0"/>
                      <w:color w:val="auto"/>
                      <w:sz w:val="21"/>
                      <w:szCs w:val="21"/>
                      <w:vertAlign w:val="superscript"/>
                      <w:lang w:eastAsia="zh-CN"/>
                    </w:rPr>
                    <w:t>)</w:t>
                  </w:r>
                </w:p>
              </w:tc>
              <w:tc>
                <w:tcPr>
                  <w:tcW w:w="862" w:type="dxa"/>
                  <w:vMerge w:val="restart"/>
                  <w:noWrap w:val="0"/>
                  <w:vAlign w:val="center"/>
                </w:tcPr>
                <w:p w14:paraId="197B96AB">
                  <w:pPr>
                    <w:jc w:val="center"/>
                    <w:rPr>
                      <w:color w:val="auto"/>
                      <w:sz w:val="21"/>
                      <w:szCs w:val="21"/>
                    </w:rPr>
                  </w:pPr>
                  <w:r>
                    <w:rPr>
                      <w:color w:val="auto"/>
                      <w:sz w:val="21"/>
                      <w:szCs w:val="21"/>
                    </w:rPr>
                    <w:t>非正常排放速率</w:t>
                  </w:r>
                </w:p>
                <w:p w14:paraId="4C0067A5">
                  <w:pPr>
                    <w:pStyle w:val="17"/>
                    <w:spacing w:line="240" w:lineRule="auto"/>
                    <w:ind w:left="0" w:leftChars="0" w:firstLine="0" w:firstLineChars="0"/>
                    <w:jc w:val="center"/>
                    <w:rPr>
                      <w:rFonts w:ascii="Times New Roman" w:hAnsi="Times New Roman" w:cs="Times New Roman"/>
                      <w:color w:val="auto"/>
                      <w:sz w:val="21"/>
                      <w:szCs w:val="21"/>
                    </w:rPr>
                  </w:pPr>
                  <w:r>
                    <w:rPr>
                      <w:rFonts w:hint="eastAsia" w:ascii="Times New Roman" w:hAnsi="Times New Roman" w:cs="Times New Roman"/>
                      <w:b w:val="0"/>
                      <w:color w:val="auto"/>
                      <w:sz w:val="21"/>
                      <w:szCs w:val="21"/>
                      <w:lang w:eastAsia="zh-CN"/>
                    </w:rPr>
                    <w:t>(</w:t>
                  </w:r>
                  <w:r>
                    <w:rPr>
                      <w:rFonts w:ascii="Times New Roman" w:hAnsi="Times New Roman" w:cs="Times New Roman"/>
                      <w:b w:val="0"/>
                      <w:color w:val="auto"/>
                      <w:sz w:val="21"/>
                      <w:szCs w:val="21"/>
                    </w:rPr>
                    <w:t>kg/h</w:t>
                  </w:r>
                  <w:r>
                    <w:rPr>
                      <w:rFonts w:hint="eastAsia" w:ascii="Times New Roman" w:hAnsi="Times New Roman" w:cs="Times New Roman"/>
                      <w:b w:val="0"/>
                      <w:color w:val="auto"/>
                      <w:sz w:val="21"/>
                      <w:szCs w:val="21"/>
                      <w:lang w:eastAsia="zh-CN"/>
                    </w:rPr>
                    <w:t>)</w:t>
                  </w:r>
                </w:p>
              </w:tc>
              <w:tc>
                <w:tcPr>
                  <w:tcW w:w="1280" w:type="dxa"/>
                  <w:gridSpan w:val="2"/>
                  <w:noWrap w:val="0"/>
                  <w:vAlign w:val="center"/>
                </w:tcPr>
                <w:p w14:paraId="7A005DFF">
                  <w:pPr>
                    <w:jc w:val="center"/>
                    <w:rPr>
                      <w:color w:val="auto"/>
                      <w:sz w:val="21"/>
                      <w:szCs w:val="21"/>
                    </w:rPr>
                  </w:pPr>
                  <w:r>
                    <w:rPr>
                      <w:color w:val="auto"/>
                      <w:sz w:val="21"/>
                      <w:szCs w:val="21"/>
                    </w:rPr>
                    <w:t>排气筒参数</w:t>
                  </w:r>
                </w:p>
              </w:tc>
              <w:tc>
                <w:tcPr>
                  <w:tcW w:w="622" w:type="dxa"/>
                  <w:vMerge w:val="restart"/>
                  <w:noWrap w:val="0"/>
                  <w:vAlign w:val="center"/>
                </w:tcPr>
                <w:p w14:paraId="6472D632">
                  <w:pPr>
                    <w:jc w:val="center"/>
                    <w:rPr>
                      <w:color w:val="auto"/>
                      <w:sz w:val="21"/>
                      <w:szCs w:val="21"/>
                    </w:rPr>
                  </w:pPr>
                  <w:r>
                    <w:rPr>
                      <w:color w:val="auto"/>
                      <w:sz w:val="21"/>
                      <w:szCs w:val="21"/>
                    </w:rPr>
                    <w:t>单次持续时间</w:t>
                  </w:r>
                </w:p>
                <w:p w14:paraId="066F4195">
                  <w:pPr>
                    <w:pStyle w:val="17"/>
                    <w:spacing w:line="240" w:lineRule="auto"/>
                    <w:ind w:left="0" w:leftChars="0" w:firstLine="0" w:firstLineChars="0"/>
                    <w:jc w:val="center"/>
                    <w:rPr>
                      <w:color w:val="auto"/>
                      <w:sz w:val="21"/>
                      <w:szCs w:val="21"/>
                    </w:rPr>
                  </w:pPr>
                  <w:r>
                    <w:rPr>
                      <w:rFonts w:hint="eastAsia" w:ascii="Times New Roman" w:hAnsi="Times New Roman" w:cs="Times New Roman"/>
                      <w:b w:val="0"/>
                      <w:color w:val="auto"/>
                      <w:sz w:val="21"/>
                      <w:szCs w:val="21"/>
                      <w:lang w:eastAsia="zh-CN"/>
                    </w:rPr>
                    <w:t>(</w:t>
                  </w:r>
                  <w:r>
                    <w:rPr>
                      <w:rFonts w:ascii="Times New Roman" w:hAnsi="Times New Roman" w:cs="Times New Roman"/>
                      <w:b w:val="0"/>
                      <w:color w:val="auto"/>
                      <w:sz w:val="21"/>
                      <w:szCs w:val="21"/>
                    </w:rPr>
                    <w:t>h</w:t>
                  </w:r>
                  <w:r>
                    <w:rPr>
                      <w:rFonts w:hint="eastAsia" w:ascii="Times New Roman" w:hAnsi="Times New Roman" w:cs="Times New Roman"/>
                      <w:b w:val="0"/>
                      <w:color w:val="auto"/>
                      <w:sz w:val="21"/>
                      <w:szCs w:val="21"/>
                      <w:lang w:eastAsia="zh-CN"/>
                    </w:rPr>
                    <w:t>)</w:t>
                  </w:r>
                </w:p>
              </w:tc>
              <w:tc>
                <w:tcPr>
                  <w:tcW w:w="460" w:type="dxa"/>
                  <w:vMerge w:val="restart"/>
                  <w:noWrap w:val="0"/>
                  <w:vAlign w:val="center"/>
                </w:tcPr>
                <w:p w14:paraId="5628FC53">
                  <w:pPr>
                    <w:jc w:val="center"/>
                    <w:rPr>
                      <w:color w:val="auto"/>
                      <w:sz w:val="21"/>
                      <w:szCs w:val="21"/>
                    </w:rPr>
                  </w:pPr>
                  <w:r>
                    <w:rPr>
                      <w:color w:val="auto"/>
                      <w:sz w:val="21"/>
                      <w:szCs w:val="21"/>
                    </w:rPr>
                    <w:t>发生</w:t>
                  </w:r>
                </w:p>
                <w:p w14:paraId="71472A08">
                  <w:pPr>
                    <w:jc w:val="center"/>
                    <w:rPr>
                      <w:color w:val="auto"/>
                      <w:sz w:val="21"/>
                      <w:szCs w:val="21"/>
                    </w:rPr>
                  </w:pPr>
                  <w:r>
                    <w:rPr>
                      <w:color w:val="auto"/>
                      <w:sz w:val="21"/>
                      <w:szCs w:val="21"/>
                    </w:rPr>
                    <w:t>频次</w:t>
                  </w:r>
                </w:p>
                <w:p w14:paraId="55B0B213">
                  <w:pPr>
                    <w:jc w:val="center"/>
                    <w:rPr>
                      <w:color w:val="auto"/>
                      <w:sz w:val="21"/>
                      <w:szCs w:val="21"/>
                    </w:rPr>
                  </w:pPr>
                  <w:r>
                    <w:rPr>
                      <w:rFonts w:hint="eastAsia" w:ascii="宋体" w:hAnsi="宋体" w:cs="宋体"/>
                      <w:color w:val="auto"/>
                      <w:sz w:val="21"/>
                      <w:szCs w:val="21"/>
                    </w:rPr>
                    <w:t>/</w:t>
                  </w:r>
                  <w:r>
                    <w:rPr>
                      <w:color w:val="auto"/>
                      <w:sz w:val="21"/>
                      <w:szCs w:val="21"/>
                    </w:rPr>
                    <w:t>年</w:t>
                  </w:r>
                </w:p>
              </w:tc>
              <w:tc>
                <w:tcPr>
                  <w:tcW w:w="826" w:type="dxa"/>
                  <w:vMerge w:val="restart"/>
                  <w:noWrap w:val="0"/>
                  <w:vAlign w:val="center"/>
                </w:tcPr>
                <w:p w14:paraId="138A4A80">
                  <w:pPr>
                    <w:jc w:val="center"/>
                    <w:rPr>
                      <w:rFonts w:hint="eastAsia" w:ascii="宋体" w:hAnsi="宋体" w:cs="宋体"/>
                      <w:color w:val="auto"/>
                      <w:sz w:val="21"/>
                      <w:szCs w:val="21"/>
                    </w:rPr>
                  </w:pPr>
                  <w:r>
                    <w:rPr>
                      <w:rFonts w:hint="eastAsia" w:ascii="宋体" w:hAnsi="宋体" w:cs="宋体"/>
                      <w:color w:val="auto"/>
                      <w:sz w:val="21"/>
                      <w:szCs w:val="21"/>
                    </w:rPr>
                    <w:t>应对</w:t>
                  </w:r>
                </w:p>
                <w:p w14:paraId="4A07E745">
                  <w:pPr>
                    <w:jc w:val="center"/>
                    <w:rPr>
                      <w:rFonts w:ascii="宋体" w:hAnsi="宋体" w:cs="宋体"/>
                      <w:color w:val="auto"/>
                      <w:sz w:val="21"/>
                      <w:szCs w:val="21"/>
                    </w:rPr>
                  </w:pPr>
                  <w:r>
                    <w:rPr>
                      <w:rFonts w:hint="eastAsia" w:ascii="宋体" w:hAnsi="宋体" w:cs="宋体"/>
                      <w:color w:val="auto"/>
                      <w:sz w:val="21"/>
                      <w:szCs w:val="21"/>
                    </w:rPr>
                    <w:t>措施</w:t>
                  </w:r>
                </w:p>
              </w:tc>
            </w:tr>
            <w:tr w14:paraId="40065A12">
              <w:trPr>
                <w:trHeight w:val="397" w:hRule="atLeast"/>
                <w:jc w:val="center"/>
              </w:trPr>
              <w:tc>
                <w:tcPr>
                  <w:tcW w:w="699" w:type="dxa"/>
                  <w:vMerge w:val="continue"/>
                  <w:noWrap w:val="0"/>
                  <w:vAlign w:val="center"/>
                </w:tcPr>
                <w:p w14:paraId="6FBFB914">
                  <w:pPr>
                    <w:jc w:val="center"/>
                    <w:rPr>
                      <w:color w:val="auto"/>
                      <w:sz w:val="21"/>
                      <w:szCs w:val="21"/>
                    </w:rPr>
                  </w:pPr>
                </w:p>
              </w:tc>
              <w:tc>
                <w:tcPr>
                  <w:tcW w:w="543" w:type="dxa"/>
                  <w:vMerge w:val="continue"/>
                  <w:noWrap w:val="0"/>
                  <w:vAlign w:val="center"/>
                </w:tcPr>
                <w:p w14:paraId="389B966C">
                  <w:pPr>
                    <w:widowControl/>
                    <w:jc w:val="center"/>
                    <w:rPr>
                      <w:color w:val="auto"/>
                      <w:kern w:val="0"/>
                      <w:sz w:val="21"/>
                      <w:szCs w:val="21"/>
                      <w:lang w:bidi="ar"/>
                    </w:rPr>
                  </w:pPr>
                </w:p>
              </w:tc>
              <w:tc>
                <w:tcPr>
                  <w:tcW w:w="783" w:type="dxa"/>
                  <w:vMerge w:val="continue"/>
                  <w:noWrap w:val="0"/>
                  <w:vAlign w:val="center"/>
                </w:tcPr>
                <w:p w14:paraId="3A792712">
                  <w:pPr>
                    <w:jc w:val="center"/>
                    <w:rPr>
                      <w:color w:val="auto"/>
                      <w:sz w:val="21"/>
                      <w:szCs w:val="21"/>
                    </w:rPr>
                  </w:pPr>
                </w:p>
              </w:tc>
              <w:tc>
                <w:tcPr>
                  <w:tcW w:w="686" w:type="dxa"/>
                  <w:vMerge w:val="continue"/>
                  <w:noWrap w:val="0"/>
                  <w:vAlign w:val="center"/>
                </w:tcPr>
                <w:p w14:paraId="7B9AB1F6">
                  <w:pPr>
                    <w:jc w:val="center"/>
                    <w:rPr>
                      <w:color w:val="auto"/>
                      <w:sz w:val="21"/>
                      <w:szCs w:val="21"/>
                    </w:rPr>
                  </w:pPr>
                </w:p>
              </w:tc>
              <w:tc>
                <w:tcPr>
                  <w:tcW w:w="1035" w:type="dxa"/>
                  <w:vMerge w:val="continue"/>
                  <w:noWrap w:val="0"/>
                  <w:vAlign w:val="center"/>
                </w:tcPr>
                <w:p w14:paraId="40CCE6C5">
                  <w:pPr>
                    <w:jc w:val="center"/>
                    <w:rPr>
                      <w:color w:val="auto"/>
                      <w:sz w:val="21"/>
                      <w:szCs w:val="21"/>
                    </w:rPr>
                  </w:pPr>
                </w:p>
              </w:tc>
              <w:tc>
                <w:tcPr>
                  <w:tcW w:w="862" w:type="dxa"/>
                  <w:vMerge w:val="continue"/>
                  <w:noWrap w:val="0"/>
                  <w:vAlign w:val="center"/>
                </w:tcPr>
                <w:p w14:paraId="1BE36681">
                  <w:pPr>
                    <w:jc w:val="center"/>
                    <w:rPr>
                      <w:color w:val="auto"/>
                      <w:sz w:val="21"/>
                      <w:szCs w:val="21"/>
                    </w:rPr>
                  </w:pPr>
                </w:p>
              </w:tc>
              <w:tc>
                <w:tcPr>
                  <w:tcW w:w="640" w:type="dxa"/>
                  <w:noWrap w:val="0"/>
                  <w:vAlign w:val="center"/>
                </w:tcPr>
                <w:p w14:paraId="5EB21D68">
                  <w:pPr>
                    <w:jc w:val="center"/>
                    <w:rPr>
                      <w:color w:val="auto"/>
                      <w:sz w:val="21"/>
                      <w:szCs w:val="21"/>
                    </w:rPr>
                  </w:pPr>
                  <w:r>
                    <w:rPr>
                      <w:color w:val="auto"/>
                      <w:sz w:val="21"/>
                      <w:szCs w:val="21"/>
                    </w:rPr>
                    <w:t>高度</w:t>
                  </w:r>
                </w:p>
                <w:p w14:paraId="19D441CC">
                  <w:pPr>
                    <w:pStyle w:val="17"/>
                    <w:spacing w:line="240" w:lineRule="auto"/>
                    <w:ind w:left="0" w:leftChars="0" w:firstLine="0" w:firstLineChars="0"/>
                    <w:jc w:val="center"/>
                    <w:rPr>
                      <w:rFonts w:ascii="Times New Roman" w:hAnsi="Times New Roman" w:cs="Times New Roman"/>
                      <w:color w:val="auto"/>
                      <w:sz w:val="21"/>
                      <w:szCs w:val="21"/>
                    </w:rPr>
                  </w:pPr>
                  <w:r>
                    <w:rPr>
                      <w:rFonts w:hint="eastAsia" w:ascii="Times New Roman" w:hAnsi="Times New Roman" w:cs="Times New Roman"/>
                      <w:b w:val="0"/>
                      <w:color w:val="auto"/>
                      <w:sz w:val="21"/>
                      <w:szCs w:val="21"/>
                      <w:lang w:eastAsia="zh-CN"/>
                    </w:rPr>
                    <w:t>(</w:t>
                  </w:r>
                  <w:r>
                    <w:rPr>
                      <w:rFonts w:ascii="Times New Roman" w:hAnsi="Times New Roman" w:cs="Times New Roman"/>
                      <w:b w:val="0"/>
                      <w:color w:val="auto"/>
                      <w:sz w:val="21"/>
                      <w:szCs w:val="21"/>
                    </w:rPr>
                    <w:t>m</w:t>
                  </w:r>
                  <w:r>
                    <w:rPr>
                      <w:rFonts w:hint="eastAsia" w:ascii="Times New Roman" w:hAnsi="Times New Roman" w:cs="Times New Roman"/>
                      <w:b w:val="0"/>
                      <w:color w:val="auto"/>
                      <w:sz w:val="21"/>
                      <w:szCs w:val="21"/>
                      <w:lang w:eastAsia="zh-CN"/>
                    </w:rPr>
                    <w:t>)</w:t>
                  </w:r>
                </w:p>
              </w:tc>
              <w:tc>
                <w:tcPr>
                  <w:tcW w:w="640" w:type="dxa"/>
                  <w:noWrap w:val="0"/>
                  <w:vAlign w:val="center"/>
                </w:tcPr>
                <w:p w14:paraId="68D7FD55">
                  <w:pPr>
                    <w:jc w:val="center"/>
                    <w:rPr>
                      <w:color w:val="auto"/>
                      <w:sz w:val="21"/>
                      <w:szCs w:val="21"/>
                    </w:rPr>
                  </w:pPr>
                  <w:r>
                    <w:rPr>
                      <w:color w:val="auto"/>
                      <w:sz w:val="21"/>
                      <w:szCs w:val="21"/>
                    </w:rPr>
                    <w:t>内径</w:t>
                  </w:r>
                </w:p>
                <w:p w14:paraId="1EF5F171">
                  <w:pPr>
                    <w:pStyle w:val="17"/>
                    <w:spacing w:line="240" w:lineRule="auto"/>
                    <w:ind w:left="0" w:leftChars="0" w:firstLine="0" w:firstLineChars="0"/>
                    <w:jc w:val="center"/>
                    <w:rPr>
                      <w:rFonts w:ascii="Times New Roman" w:hAnsi="Times New Roman" w:cs="Times New Roman"/>
                      <w:color w:val="auto"/>
                      <w:sz w:val="21"/>
                      <w:szCs w:val="21"/>
                    </w:rPr>
                  </w:pPr>
                  <w:r>
                    <w:rPr>
                      <w:rFonts w:hint="eastAsia" w:ascii="Times New Roman" w:hAnsi="Times New Roman" w:cs="Times New Roman"/>
                      <w:b w:val="0"/>
                      <w:color w:val="auto"/>
                      <w:sz w:val="21"/>
                      <w:szCs w:val="21"/>
                      <w:lang w:eastAsia="zh-CN"/>
                    </w:rPr>
                    <w:t>(</w:t>
                  </w:r>
                  <w:r>
                    <w:rPr>
                      <w:rFonts w:ascii="Times New Roman" w:hAnsi="Times New Roman" w:cs="Times New Roman"/>
                      <w:b w:val="0"/>
                      <w:color w:val="auto"/>
                      <w:sz w:val="21"/>
                      <w:szCs w:val="21"/>
                    </w:rPr>
                    <w:t>m</w:t>
                  </w:r>
                  <w:r>
                    <w:rPr>
                      <w:rFonts w:hint="eastAsia" w:ascii="Times New Roman" w:hAnsi="Times New Roman" w:cs="Times New Roman"/>
                      <w:b w:val="0"/>
                      <w:color w:val="auto"/>
                      <w:sz w:val="21"/>
                      <w:szCs w:val="21"/>
                      <w:lang w:eastAsia="zh-CN"/>
                    </w:rPr>
                    <w:t>)</w:t>
                  </w:r>
                </w:p>
              </w:tc>
              <w:tc>
                <w:tcPr>
                  <w:tcW w:w="622" w:type="dxa"/>
                  <w:vMerge w:val="continue"/>
                  <w:noWrap w:val="0"/>
                  <w:vAlign w:val="center"/>
                </w:tcPr>
                <w:p w14:paraId="3F8E77CD">
                  <w:pPr>
                    <w:jc w:val="center"/>
                    <w:rPr>
                      <w:color w:val="auto"/>
                      <w:sz w:val="21"/>
                      <w:szCs w:val="21"/>
                    </w:rPr>
                  </w:pPr>
                </w:p>
              </w:tc>
              <w:tc>
                <w:tcPr>
                  <w:tcW w:w="460" w:type="dxa"/>
                  <w:vMerge w:val="continue"/>
                  <w:noWrap w:val="0"/>
                  <w:vAlign w:val="center"/>
                </w:tcPr>
                <w:p w14:paraId="5113BB9E">
                  <w:pPr>
                    <w:jc w:val="center"/>
                    <w:rPr>
                      <w:color w:val="auto"/>
                      <w:sz w:val="21"/>
                      <w:szCs w:val="21"/>
                    </w:rPr>
                  </w:pPr>
                </w:p>
              </w:tc>
              <w:tc>
                <w:tcPr>
                  <w:tcW w:w="826" w:type="dxa"/>
                  <w:vMerge w:val="continue"/>
                  <w:noWrap w:val="0"/>
                  <w:vAlign w:val="center"/>
                </w:tcPr>
                <w:p w14:paraId="41D92B8F">
                  <w:pPr>
                    <w:jc w:val="center"/>
                    <w:rPr>
                      <w:color w:val="auto"/>
                      <w:sz w:val="21"/>
                      <w:szCs w:val="21"/>
                    </w:rPr>
                  </w:pPr>
                </w:p>
              </w:tc>
            </w:tr>
            <w:tr w14:paraId="5AD40D87">
              <w:trPr>
                <w:trHeight w:val="397" w:hRule="atLeast"/>
                <w:jc w:val="center"/>
              </w:trPr>
              <w:tc>
                <w:tcPr>
                  <w:tcW w:w="699" w:type="dxa"/>
                  <w:noWrap w:val="0"/>
                  <w:vAlign w:val="center"/>
                </w:tcPr>
                <w:p w14:paraId="00249737">
                  <w:pPr>
                    <w:jc w:val="center"/>
                    <w:rPr>
                      <w:color w:val="auto"/>
                      <w:sz w:val="21"/>
                      <w:szCs w:val="21"/>
                    </w:rPr>
                  </w:pPr>
                  <w:r>
                    <w:rPr>
                      <w:color w:val="auto"/>
                      <w:sz w:val="21"/>
                      <w:szCs w:val="21"/>
                    </w:rPr>
                    <w:t>DA001</w:t>
                  </w:r>
                </w:p>
              </w:tc>
              <w:tc>
                <w:tcPr>
                  <w:tcW w:w="543" w:type="dxa"/>
                  <w:vMerge w:val="restart"/>
                  <w:noWrap w:val="0"/>
                  <w:vAlign w:val="center"/>
                </w:tcPr>
                <w:p w14:paraId="481BFEED">
                  <w:pPr>
                    <w:jc w:val="center"/>
                    <w:rPr>
                      <w:color w:val="auto"/>
                      <w:sz w:val="21"/>
                      <w:szCs w:val="21"/>
                    </w:rPr>
                  </w:pPr>
                  <w:r>
                    <w:rPr>
                      <w:color w:val="auto"/>
                      <w:sz w:val="21"/>
                      <w:szCs w:val="21"/>
                    </w:rPr>
                    <w:t>废气治理设施发生故障</w:t>
                  </w:r>
                </w:p>
              </w:tc>
              <w:tc>
                <w:tcPr>
                  <w:tcW w:w="783" w:type="dxa"/>
                  <w:noWrap w:val="0"/>
                  <w:vAlign w:val="center"/>
                </w:tcPr>
                <w:p w14:paraId="1DE2F16E">
                  <w:pPr>
                    <w:jc w:val="center"/>
                    <w:rPr>
                      <w:rFonts w:hint="eastAsia" w:eastAsia="宋体"/>
                      <w:color w:val="auto"/>
                      <w:spacing w:val="-11"/>
                      <w:kern w:val="2"/>
                      <w:sz w:val="21"/>
                      <w:szCs w:val="21"/>
                      <w:lang w:val="en-US" w:eastAsia="zh-CN" w:bidi="ar-SA"/>
                    </w:rPr>
                  </w:pPr>
                  <w:r>
                    <w:rPr>
                      <w:rFonts w:hint="eastAsia"/>
                      <w:color w:val="auto"/>
                      <w:spacing w:val="-11"/>
                      <w:sz w:val="21"/>
                      <w:szCs w:val="21"/>
                      <w:lang w:val="en-US" w:eastAsia="zh-CN"/>
                    </w:rPr>
                    <w:t>非甲烷总烃</w:t>
                  </w:r>
                </w:p>
              </w:tc>
              <w:tc>
                <w:tcPr>
                  <w:tcW w:w="686" w:type="dxa"/>
                  <w:noWrap w:val="0"/>
                  <w:vAlign w:val="center"/>
                </w:tcPr>
                <w:p w14:paraId="6989D31B">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417</w:t>
                  </w:r>
                  <w:r>
                    <w:rPr>
                      <w:rFonts w:hint="eastAsia" w:ascii="Times New Roman" w:hAnsi="Times New Roman" w:eastAsia="宋体" w:cs="Times New Roman"/>
                      <w:color w:val="auto"/>
                      <w:sz w:val="21"/>
                      <w:szCs w:val="21"/>
                      <w:lang w:val="en-US" w:eastAsia="zh-CN"/>
                    </w:rPr>
                    <w:t xml:space="preserve"> </w:t>
                  </w:r>
                </w:p>
              </w:tc>
              <w:tc>
                <w:tcPr>
                  <w:tcW w:w="1035" w:type="dxa"/>
                  <w:noWrap w:val="0"/>
                  <w:vAlign w:val="center"/>
                </w:tcPr>
                <w:p w14:paraId="39C70E59">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27.799</w:t>
                  </w:r>
                </w:p>
              </w:tc>
              <w:tc>
                <w:tcPr>
                  <w:tcW w:w="862" w:type="dxa"/>
                  <w:noWrap w:val="0"/>
                  <w:vAlign w:val="center"/>
                </w:tcPr>
                <w:p w14:paraId="5BE055F3">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417</w:t>
                  </w:r>
                  <w:r>
                    <w:rPr>
                      <w:rFonts w:hint="eastAsia" w:ascii="Times New Roman" w:hAnsi="Times New Roman" w:eastAsia="宋体" w:cs="Times New Roman"/>
                      <w:color w:val="auto"/>
                      <w:sz w:val="21"/>
                      <w:szCs w:val="21"/>
                      <w:lang w:val="en-US" w:eastAsia="zh-CN"/>
                    </w:rPr>
                    <w:t xml:space="preserve"> </w:t>
                  </w:r>
                </w:p>
              </w:tc>
              <w:tc>
                <w:tcPr>
                  <w:tcW w:w="640" w:type="dxa"/>
                  <w:noWrap w:val="0"/>
                  <w:vAlign w:val="center"/>
                </w:tcPr>
                <w:p w14:paraId="4A40CB66">
                  <w:pPr>
                    <w:jc w:val="center"/>
                    <w:rPr>
                      <w:color w:val="auto"/>
                      <w:kern w:val="2"/>
                      <w:sz w:val="21"/>
                      <w:szCs w:val="21"/>
                      <w:lang w:val="en-US" w:eastAsia="zh-CN" w:bidi="ar-SA"/>
                    </w:rPr>
                  </w:pPr>
                  <w:r>
                    <w:rPr>
                      <w:rFonts w:hint="eastAsia"/>
                      <w:color w:val="auto"/>
                      <w:sz w:val="21"/>
                      <w:szCs w:val="21"/>
                    </w:rPr>
                    <w:t>15</w:t>
                  </w:r>
                </w:p>
              </w:tc>
              <w:tc>
                <w:tcPr>
                  <w:tcW w:w="640" w:type="dxa"/>
                  <w:noWrap w:val="0"/>
                  <w:vAlign w:val="center"/>
                </w:tcPr>
                <w:p w14:paraId="7A51072A">
                  <w:pPr>
                    <w:jc w:val="center"/>
                    <w:rPr>
                      <w:rFonts w:hint="eastAsia"/>
                      <w:color w:val="auto"/>
                      <w:kern w:val="2"/>
                      <w:sz w:val="21"/>
                      <w:szCs w:val="21"/>
                      <w:lang w:val="en-US" w:eastAsia="zh-CN" w:bidi="ar-SA"/>
                    </w:rPr>
                  </w:pPr>
                  <w:r>
                    <w:rPr>
                      <w:rFonts w:hint="eastAsia"/>
                      <w:color w:val="auto"/>
                      <w:sz w:val="21"/>
                      <w:szCs w:val="21"/>
                    </w:rPr>
                    <w:t>0.5</w:t>
                  </w:r>
                </w:p>
              </w:tc>
              <w:tc>
                <w:tcPr>
                  <w:tcW w:w="622" w:type="dxa"/>
                  <w:noWrap w:val="0"/>
                  <w:vAlign w:val="center"/>
                </w:tcPr>
                <w:p w14:paraId="53B0CE1E">
                  <w:pPr>
                    <w:jc w:val="center"/>
                    <w:rPr>
                      <w:rFonts w:hint="eastAsia"/>
                      <w:color w:val="auto"/>
                      <w:kern w:val="2"/>
                      <w:sz w:val="21"/>
                      <w:szCs w:val="21"/>
                      <w:lang w:val="en-US" w:eastAsia="zh-CN" w:bidi="ar-SA"/>
                    </w:rPr>
                  </w:pPr>
                  <w:r>
                    <w:rPr>
                      <w:rFonts w:hint="eastAsia"/>
                      <w:color w:val="auto"/>
                      <w:sz w:val="21"/>
                      <w:szCs w:val="21"/>
                    </w:rPr>
                    <w:t>1</w:t>
                  </w:r>
                </w:p>
              </w:tc>
              <w:tc>
                <w:tcPr>
                  <w:tcW w:w="460" w:type="dxa"/>
                  <w:noWrap w:val="0"/>
                  <w:vAlign w:val="center"/>
                </w:tcPr>
                <w:p w14:paraId="614C4B8A">
                  <w:pPr>
                    <w:jc w:val="center"/>
                    <w:rPr>
                      <w:rFonts w:hint="eastAsia"/>
                      <w:color w:val="auto"/>
                      <w:kern w:val="2"/>
                      <w:sz w:val="21"/>
                      <w:szCs w:val="21"/>
                      <w:lang w:val="en-US" w:eastAsia="zh-CN" w:bidi="ar-SA"/>
                    </w:rPr>
                  </w:pPr>
                  <w:r>
                    <w:rPr>
                      <w:rFonts w:hint="eastAsia"/>
                      <w:color w:val="auto"/>
                      <w:sz w:val="21"/>
                      <w:szCs w:val="21"/>
                    </w:rPr>
                    <w:t>1</w:t>
                  </w:r>
                </w:p>
              </w:tc>
              <w:tc>
                <w:tcPr>
                  <w:tcW w:w="826" w:type="dxa"/>
                  <w:vMerge w:val="restart"/>
                  <w:noWrap w:val="0"/>
                  <w:vAlign w:val="center"/>
                </w:tcPr>
                <w:p w14:paraId="2E28C854">
                  <w:pPr>
                    <w:jc w:val="center"/>
                    <w:rPr>
                      <w:color w:val="auto"/>
                      <w:sz w:val="21"/>
                      <w:szCs w:val="21"/>
                    </w:rPr>
                  </w:pPr>
                  <w:r>
                    <w:rPr>
                      <w:rFonts w:hint="eastAsia"/>
                      <w:color w:val="auto"/>
                      <w:sz w:val="21"/>
                      <w:szCs w:val="21"/>
                    </w:rPr>
                    <w:t>停止相应生产设备运行，立即检修</w:t>
                  </w:r>
                </w:p>
              </w:tc>
            </w:tr>
            <w:tr w14:paraId="6037665C">
              <w:trPr>
                <w:trHeight w:val="397" w:hRule="atLeast"/>
                <w:jc w:val="center"/>
              </w:trPr>
              <w:tc>
                <w:tcPr>
                  <w:tcW w:w="699" w:type="dxa"/>
                  <w:noWrap w:val="0"/>
                  <w:vAlign w:val="center"/>
                </w:tcPr>
                <w:p w14:paraId="5683520E">
                  <w:pPr>
                    <w:jc w:val="center"/>
                    <w:rPr>
                      <w:rFonts w:hint="default" w:eastAsia="宋体"/>
                      <w:color w:val="auto"/>
                      <w:sz w:val="21"/>
                      <w:szCs w:val="21"/>
                      <w:lang w:val="en-US" w:eastAsia="zh-CN"/>
                    </w:rPr>
                  </w:pPr>
                  <w:r>
                    <w:rPr>
                      <w:rFonts w:hint="eastAsia"/>
                      <w:color w:val="auto"/>
                      <w:sz w:val="21"/>
                      <w:szCs w:val="21"/>
                      <w:lang w:val="en-US" w:eastAsia="zh-CN"/>
                    </w:rPr>
                    <w:t>DA002</w:t>
                  </w:r>
                </w:p>
              </w:tc>
              <w:tc>
                <w:tcPr>
                  <w:tcW w:w="543" w:type="dxa"/>
                  <w:vMerge w:val="continue"/>
                  <w:noWrap w:val="0"/>
                  <w:vAlign w:val="center"/>
                </w:tcPr>
                <w:p w14:paraId="2AC7D196">
                  <w:pPr>
                    <w:jc w:val="center"/>
                    <w:rPr>
                      <w:color w:val="auto"/>
                      <w:sz w:val="21"/>
                      <w:szCs w:val="21"/>
                    </w:rPr>
                  </w:pPr>
                </w:p>
              </w:tc>
              <w:tc>
                <w:tcPr>
                  <w:tcW w:w="783" w:type="dxa"/>
                  <w:noWrap w:val="0"/>
                  <w:vAlign w:val="center"/>
                </w:tcPr>
                <w:p w14:paraId="12B042FA">
                  <w:pPr>
                    <w:jc w:val="center"/>
                    <w:rPr>
                      <w:rFonts w:hint="default"/>
                      <w:color w:val="auto"/>
                      <w:spacing w:val="-11"/>
                      <w:sz w:val="21"/>
                      <w:szCs w:val="21"/>
                      <w:lang w:val="en-US" w:eastAsia="zh-CN"/>
                    </w:rPr>
                  </w:pPr>
                  <w:r>
                    <w:rPr>
                      <w:rFonts w:hint="eastAsia"/>
                      <w:color w:val="auto"/>
                      <w:spacing w:val="-11"/>
                      <w:sz w:val="21"/>
                      <w:szCs w:val="21"/>
                      <w:lang w:val="en-US" w:eastAsia="zh-CN"/>
                    </w:rPr>
                    <w:t>非甲烷总烃</w:t>
                  </w:r>
                </w:p>
              </w:tc>
              <w:tc>
                <w:tcPr>
                  <w:tcW w:w="686" w:type="dxa"/>
                  <w:noWrap w:val="0"/>
                  <w:vAlign w:val="center"/>
                </w:tcPr>
                <w:p w14:paraId="370B3031">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0.081 </w:t>
                  </w:r>
                </w:p>
              </w:tc>
              <w:tc>
                <w:tcPr>
                  <w:tcW w:w="1035" w:type="dxa"/>
                  <w:noWrap w:val="0"/>
                  <w:vAlign w:val="center"/>
                </w:tcPr>
                <w:p w14:paraId="65B0788D">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16.193</w:t>
                  </w:r>
                </w:p>
              </w:tc>
              <w:tc>
                <w:tcPr>
                  <w:tcW w:w="862" w:type="dxa"/>
                  <w:noWrap w:val="0"/>
                  <w:vAlign w:val="center"/>
                </w:tcPr>
                <w:p w14:paraId="7070C65B">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0.081 </w:t>
                  </w:r>
                </w:p>
              </w:tc>
              <w:tc>
                <w:tcPr>
                  <w:tcW w:w="640" w:type="dxa"/>
                  <w:noWrap w:val="0"/>
                  <w:vAlign w:val="center"/>
                </w:tcPr>
                <w:p w14:paraId="29865F9A">
                  <w:pPr>
                    <w:jc w:val="center"/>
                    <w:rPr>
                      <w:rFonts w:hint="eastAsia"/>
                      <w:color w:val="auto"/>
                      <w:sz w:val="21"/>
                      <w:szCs w:val="21"/>
                    </w:rPr>
                  </w:pPr>
                  <w:r>
                    <w:rPr>
                      <w:rFonts w:hint="eastAsia"/>
                      <w:color w:val="auto"/>
                      <w:sz w:val="21"/>
                      <w:szCs w:val="21"/>
                    </w:rPr>
                    <w:t>15</w:t>
                  </w:r>
                </w:p>
              </w:tc>
              <w:tc>
                <w:tcPr>
                  <w:tcW w:w="640" w:type="dxa"/>
                  <w:noWrap w:val="0"/>
                  <w:vAlign w:val="center"/>
                </w:tcPr>
                <w:p w14:paraId="211B4524">
                  <w:pPr>
                    <w:jc w:val="center"/>
                    <w:rPr>
                      <w:rFonts w:hint="eastAsia"/>
                      <w:color w:val="auto"/>
                      <w:sz w:val="21"/>
                      <w:szCs w:val="21"/>
                    </w:rPr>
                  </w:pPr>
                  <w:r>
                    <w:rPr>
                      <w:rFonts w:hint="eastAsia"/>
                      <w:color w:val="auto"/>
                      <w:sz w:val="21"/>
                      <w:szCs w:val="21"/>
                    </w:rPr>
                    <w:t>0.5</w:t>
                  </w:r>
                </w:p>
              </w:tc>
              <w:tc>
                <w:tcPr>
                  <w:tcW w:w="622" w:type="dxa"/>
                  <w:noWrap w:val="0"/>
                  <w:vAlign w:val="center"/>
                </w:tcPr>
                <w:p w14:paraId="1535CC0D">
                  <w:pPr>
                    <w:jc w:val="center"/>
                    <w:rPr>
                      <w:rFonts w:hint="eastAsia"/>
                      <w:color w:val="auto"/>
                      <w:sz w:val="21"/>
                      <w:szCs w:val="21"/>
                    </w:rPr>
                  </w:pPr>
                  <w:r>
                    <w:rPr>
                      <w:rFonts w:hint="eastAsia"/>
                      <w:color w:val="auto"/>
                      <w:sz w:val="21"/>
                      <w:szCs w:val="21"/>
                    </w:rPr>
                    <w:t>1</w:t>
                  </w:r>
                </w:p>
              </w:tc>
              <w:tc>
                <w:tcPr>
                  <w:tcW w:w="460" w:type="dxa"/>
                  <w:noWrap w:val="0"/>
                  <w:vAlign w:val="center"/>
                </w:tcPr>
                <w:p w14:paraId="31D1978C">
                  <w:pPr>
                    <w:jc w:val="center"/>
                    <w:rPr>
                      <w:rFonts w:hint="eastAsia"/>
                      <w:color w:val="auto"/>
                      <w:sz w:val="21"/>
                      <w:szCs w:val="21"/>
                    </w:rPr>
                  </w:pPr>
                  <w:r>
                    <w:rPr>
                      <w:rFonts w:hint="eastAsia"/>
                      <w:color w:val="auto"/>
                      <w:sz w:val="21"/>
                      <w:szCs w:val="21"/>
                    </w:rPr>
                    <w:t>1</w:t>
                  </w:r>
                </w:p>
              </w:tc>
              <w:tc>
                <w:tcPr>
                  <w:tcW w:w="826" w:type="dxa"/>
                  <w:vMerge w:val="continue"/>
                  <w:noWrap w:val="0"/>
                  <w:vAlign w:val="center"/>
                </w:tcPr>
                <w:p w14:paraId="681538F5">
                  <w:pPr>
                    <w:jc w:val="center"/>
                    <w:rPr>
                      <w:rFonts w:hint="eastAsia"/>
                      <w:color w:val="auto"/>
                      <w:sz w:val="21"/>
                      <w:szCs w:val="21"/>
                    </w:rPr>
                  </w:pPr>
                </w:p>
              </w:tc>
            </w:tr>
          </w:tbl>
          <w:p w14:paraId="1239DE80">
            <w:pPr>
              <w:pStyle w:val="16"/>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auto"/>
              </w:rPr>
            </w:pPr>
            <w:r>
              <w:rPr>
                <w:rFonts w:hint="eastAsia"/>
                <w:color w:val="auto"/>
              </w:rPr>
              <w:t>根据上表可知非正常工况下，废气的排放浓度和排放速率均大幅上升，因此需要企业加强日常维护管理，定期检修，确保设施稳定运行。</w:t>
            </w:r>
          </w:p>
          <w:p w14:paraId="4E25D62B">
            <w:pPr>
              <w:pStyle w:val="16"/>
              <w:keepNext w:val="0"/>
              <w:keepLines w:val="0"/>
              <w:pageBreakBefore w:val="0"/>
              <w:widowControl w:val="0"/>
              <w:kinsoku/>
              <w:wordWrap/>
              <w:overflowPunct/>
              <w:topLinePunct w:val="0"/>
              <w:autoSpaceDE/>
              <w:autoSpaceDN/>
              <w:bidi w:val="0"/>
              <w:adjustRightInd/>
              <w:snapToGrid/>
              <w:spacing w:after="0" w:line="360" w:lineRule="auto"/>
              <w:ind w:left="0" w:leftChars="0" w:firstLine="482"/>
              <w:textAlignment w:val="auto"/>
              <w:rPr>
                <w:rFonts w:hint="default" w:ascii="Times New Roman" w:hAnsi="Times New Roman"/>
                <w:b w:val="0"/>
                <w:bCs/>
                <w:color w:val="auto"/>
                <w:sz w:val="24"/>
                <w:lang w:val="en-US" w:eastAsia="zh-CN"/>
              </w:rPr>
            </w:pPr>
            <w:r>
              <w:rPr>
                <w:rFonts w:hint="eastAsia"/>
                <w:b w:val="0"/>
                <w:bCs w:val="0"/>
                <w:color w:val="auto"/>
                <w:lang w:val="en-US" w:eastAsia="zh-CN"/>
              </w:rPr>
              <w:t>3.</w:t>
            </w:r>
            <w:r>
              <w:rPr>
                <w:rFonts w:hint="eastAsia"/>
                <w:b w:val="0"/>
                <w:bCs w:val="0"/>
                <w:color w:val="auto"/>
              </w:rPr>
              <w:t>废气</w:t>
            </w:r>
            <w:r>
              <w:rPr>
                <w:b w:val="0"/>
                <w:bCs w:val="0"/>
                <w:color w:val="auto"/>
              </w:rPr>
              <w:t>污染防治技术可行性分析</w:t>
            </w:r>
          </w:p>
          <w:p w14:paraId="0FC702FD">
            <w:pPr>
              <w:pStyle w:val="17"/>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b w:val="0"/>
                <w:bCs/>
                <w:color w:val="auto"/>
                <w:sz w:val="24"/>
                <w:lang w:val="en-US" w:eastAsia="zh-CN"/>
              </w:rPr>
            </w:pPr>
            <w:r>
              <w:rPr>
                <w:rFonts w:hint="eastAsia" w:ascii="Times New Roman" w:hAnsi="Times New Roman"/>
                <w:b w:val="0"/>
                <w:bCs/>
                <w:color w:val="auto"/>
                <w:sz w:val="24"/>
                <w:lang w:val="en-US" w:eastAsia="zh-CN"/>
              </w:rPr>
              <w:t>本项目消毒过程产生的乙酸雾拟采用碱喷淋处理，通过15m高排气筒排放。碱喷淋塔的工作原理主要基于酸碱中和反应。其基本过程如下：含有酸性气体的废气通过风管引入喷淋塔底部，进入塔体内部。在塔体的喷淋系统中，碱液（如氢氧化钠或氢氧化钙）被喷洒到废气中。喷淋介质与废气充分接触，形成气液两相的接触反应。 废气中的酸性物质与喷淋的碱液发生中和反应，生成盐类或水溶液，从而有效去除废气中的酸性成分。经过反应后，净化后的气体从塔顶排出，经过除雾板去除水分后，最终排放到大气中。</w:t>
            </w:r>
          </w:p>
          <w:p w14:paraId="5685C25B">
            <w:pPr>
              <w:pStyle w:val="17"/>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b w:val="0"/>
                <w:bCs/>
                <w:color w:val="auto"/>
                <w:sz w:val="24"/>
                <w:lang w:val="en-US" w:eastAsia="zh-CN"/>
              </w:rPr>
            </w:pPr>
          </w:p>
          <w:p w14:paraId="464C7516">
            <w:pPr>
              <w:pStyle w:val="17"/>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b w:val="0"/>
                <w:bCs/>
                <w:color w:val="auto"/>
                <w:sz w:val="24"/>
                <w:lang w:val="en-US" w:eastAsia="zh-CN"/>
              </w:rPr>
            </w:pPr>
          </w:p>
          <w:p w14:paraId="38BED125">
            <w:pPr>
              <w:pStyle w:val="17"/>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b w:val="0"/>
                <w:bCs/>
                <w:color w:val="auto"/>
                <w:sz w:val="24"/>
                <w:lang w:val="en-US" w:eastAsia="zh-CN"/>
              </w:rPr>
            </w:pPr>
          </w:p>
          <w:p w14:paraId="119B7921">
            <w:pPr>
              <w:pStyle w:val="17"/>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b w:val="0"/>
                <w:bCs/>
                <w:color w:val="auto"/>
                <w:sz w:val="24"/>
                <w:lang w:val="en-US" w:eastAsia="zh-CN"/>
              </w:rPr>
            </w:pPr>
            <w:r>
              <w:rPr>
                <w:rFonts w:hint="eastAsia" w:ascii="Times New Roman" w:hAnsi="Times New Roman"/>
                <w:b w:val="0"/>
                <w:bCs/>
                <w:color w:val="auto"/>
                <w:sz w:val="24"/>
                <w:lang w:val="en-US" w:eastAsia="zh-CN"/>
              </w:rPr>
              <w:t xml:space="preserve"> </w:t>
            </w:r>
          </w:p>
          <w:p w14:paraId="13638434">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firstLine="480" w:firstLineChars="20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2645410" cy="2715260"/>
                  <wp:effectExtent l="0" t="0" r="2540" b="8890"/>
                  <wp:docPr id="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
                          <pic:cNvPicPr>
                            <a:picLocks noChangeAspect="1"/>
                          </pic:cNvPicPr>
                        </pic:nvPicPr>
                        <pic:blipFill>
                          <a:blip r:embed="rId8"/>
                          <a:stretch>
                            <a:fillRect/>
                          </a:stretch>
                        </pic:blipFill>
                        <pic:spPr>
                          <a:xfrm>
                            <a:off x="0" y="0"/>
                            <a:ext cx="2645410" cy="2715260"/>
                          </a:xfrm>
                          <a:prstGeom prst="rect">
                            <a:avLst/>
                          </a:prstGeom>
                          <a:noFill/>
                          <a:ln>
                            <a:noFill/>
                          </a:ln>
                        </pic:spPr>
                      </pic:pic>
                    </a:graphicData>
                  </a:graphic>
                </wp:inline>
              </w:drawing>
            </w:r>
          </w:p>
          <w:p w14:paraId="031722FC">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firstLine="422" w:firstLineChars="200"/>
              <w:jc w:val="center"/>
              <w:textAlignment w:val="auto"/>
              <w:rPr>
                <w:rFonts w:hint="default" w:ascii="Times New Roman" w:hAnsi="Times New Roman" w:eastAsia="宋体" w:cs="Times New Roman"/>
                <w:b w:val="0"/>
                <w:bCs w:val="0"/>
                <w:color w:val="auto"/>
                <w:lang w:val="en-US" w:eastAsia="zh-CN"/>
              </w:rPr>
            </w:pPr>
            <w:r>
              <w:rPr>
                <w:rFonts w:hint="default" w:ascii="Times New Roman" w:hAnsi="Times New Roman" w:cs="Times New Roman"/>
                <w:b/>
                <w:bCs/>
                <w:color w:val="auto"/>
                <w:sz w:val="21"/>
                <w:szCs w:val="21"/>
                <w:lang w:val="en-US" w:eastAsia="zh-CN"/>
              </w:rPr>
              <w:t>图4-1</w:t>
            </w:r>
            <w:r>
              <w:rPr>
                <w:rFonts w:hint="eastAsia" w:ascii="Times New Roman" w:hAnsi="Times New Roman" w:cs="Times New Roman"/>
                <w:b/>
                <w:bCs/>
                <w:color w:val="auto"/>
                <w:sz w:val="21"/>
                <w:szCs w:val="21"/>
                <w:lang w:val="en-US" w:eastAsia="zh-CN"/>
              </w:rPr>
              <w:t xml:space="preserve">  </w:t>
            </w:r>
            <w:r>
              <w:rPr>
                <w:rFonts w:hint="default" w:ascii="Times New Roman" w:hAnsi="Times New Roman" w:cs="Times New Roman"/>
                <w:b/>
                <w:bCs/>
                <w:color w:val="auto"/>
                <w:sz w:val="21"/>
                <w:szCs w:val="21"/>
                <w:lang w:val="en-US" w:eastAsia="zh-CN"/>
              </w:rPr>
              <w:t>喷淋塔结构示意图</w:t>
            </w:r>
          </w:p>
          <w:p w14:paraId="5A59A837">
            <w:pPr>
              <w:pStyle w:val="17"/>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b w:val="0"/>
                <w:bCs/>
                <w:color w:val="auto"/>
                <w:sz w:val="24"/>
                <w:lang w:val="en-US" w:eastAsia="zh-CN"/>
              </w:rPr>
            </w:pPr>
            <w:r>
              <w:rPr>
                <w:rFonts w:hint="eastAsia" w:ascii="Times New Roman" w:hAnsi="Times New Roman"/>
                <w:b w:val="0"/>
                <w:bCs/>
                <w:color w:val="auto"/>
                <w:sz w:val="24"/>
                <w:lang w:val="en-US" w:eastAsia="zh-CN"/>
              </w:rPr>
              <w:t>本项目消毒工序产生的废气主要为乙酸雾，属于水溶性较好的酸性物质，且项目采用碱喷淋，碱溶液能与酸性物质反应，因此采用碱喷淋处理是可行的。</w:t>
            </w:r>
          </w:p>
          <w:p w14:paraId="267373F7">
            <w:pPr>
              <w:pStyle w:val="17"/>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b w:val="0"/>
                <w:bCs/>
                <w:color w:val="auto"/>
                <w:sz w:val="24"/>
                <w:lang w:val="en-US" w:eastAsia="zh-CN"/>
              </w:rPr>
            </w:pPr>
            <w:r>
              <w:rPr>
                <w:rFonts w:hint="eastAsia" w:ascii="Times New Roman" w:hAnsi="Times New Roman"/>
                <w:b w:val="0"/>
                <w:bCs/>
                <w:color w:val="auto"/>
                <w:sz w:val="24"/>
                <w:lang w:val="en-US" w:eastAsia="zh-CN"/>
              </w:rPr>
              <w:t>根据《排污许可证申请与核发技术规范 橡胶和塑料制品工业》（HJ1122-2020）附录A中表A.2中“塑料包装箱及容器制造废气”提供的用于治理有机废气的可行技术为“喷淋；吸附；吸附浓缩+热力燃烧/催化燃烧”，本项目拟采取的有机废气治理技术为“二级活性炭吸附装置”，为《排污许可证申请与核发技术规范 橡胶和塑料制品工业》（HJ1122-2020）中提供的可行技术。选择活性炭时，选择碘值不低于800毫克/克的活性炭，并按照设计要求足量添加、及时更换。</w:t>
            </w:r>
          </w:p>
          <w:p w14:paraId="65024593">
            <w:pPr>
              <w:pStyle w:val="17"/>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b w:val="0"/>
                <w:bCs/>
                <w:color w:val="auto"/>
                <w:sz w:val="24"/>
                <w:lang w:val="en-US" w:eastAsia="zh-CN"/>
              </w:rPr>
            </w:pPr>
            <w:r>
              <w:rPr>
                <w:rFonts w:hint="eastAsia" w:ascii="Times New Roman" w:hAnsi="Times New Roman"/>
                <w:b w:val="0"/>
                <w:bCs/>
                <w:color w:val="auto"/>
                <w:sz w:val="24"/>
                <w:lang w:val="en-US" w:eastAsia="zh-CN"/>
              </w:rPr>
              <w:t>根据《排污许可证申请与核发技术规范 酒、饮料制造工业》（HJ1028-2019），污水处理站废气无组织废气排放污染防治控制要求：“应对厂内综合污水处理站产生恶臭的区域加罩或加盖，或者投放除臭剂，或者集中收集恶臭气体到除臭装置处理后经排气筒排放。”本项目污水处理站产生恶臭气体区域经过加罩或加盖密封并定期喷洒除臭剂的措施，属于《排污许可证申请与核发技术规范 酒、饮料制造工业》（HJ1028-2019）中列出的可行技术。</w:t>
            </w:r>
          </w:p>
          <w:p w14:paraId="215E8862">
            <w:pPr>
              <w:pStyle w:val="17"/>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b w:val="0"/>
                <w:bCs/>
                <w:color w:val="auto"/>
                <w:sz w:val="24"/>
                <w:lang w:val="en-US" w:eastAsia="zh-CN"/>
              </w:rPr>
            </w:pPr>
            <w:r>
              <w:rPr>
                <w:rFonts w:hint="eastAsia" w:ascii="Times New Roman" w:hAnsi="Times New Roman"/>
                <w:b w:val="0"/>
                <w:bCs/>
                <w:color w:val="auto"/>
                <w:sz w:val="24"/>
                <w:lang w:val="en-US" w:eastAsia="zh-CN"/>
              </w:rPr>
              <w:t>综上分析，本项目营运期采用的废气污染物治理技术为可行性技术。</w:t>
            </w:r>
          </w:p>
          <w:p w14:paraId="2A2C2F8C">
            <w:pPr>
              <w:pStyle w:val="17"/>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b w:val="0"/>
                <w:bCs w:val="0"/>
                <w:color w:val="auto"/>
                <w:sz w:val="24"/>
                <w:lang w:val="en-US" w:eastAsia="zh-CN"/>
              </w:rPr>
            </w:pPr>
            <w:r>
              <w:rPr>
                <w:rFonts w:hint="eastAsia" w:ascii="Times New Roman" w:hAnsi="Times New Roman" w:cs="Times New Roman"/>
                <w:b w:val="0"/>
                <w:bCs w:val="0"/>
                <w:color w:val="auto"/>
                <w:lang w:val="en-US" w:eastAsia="zh-CN"/>
              </w:rPr>
              <w:t>4.</w:t>
            </w:r>
            <w:r>
              <w:rPr>
                <w:rFonts w:hint="default" w:ascii="Times New Roman" w:hAnsi="Times New Roman" w:cs="Times New Roman"/>
                <w:b w:val="0"/>
                <w:bCs w:val="0"/>
                <w:color w:val="auto"/>
              </w:rPr>
              <w:t>卫生防护距离</w:t>
            </w:r>
          </w:p>
          <w:p w14:paraId="4E92D048">
            <w:pPr>
              <w:keepNext w:val="0"/>
              <w:keepLines w:val="0"/>
              <w:pageBreakBefore w:val="0"/>
              <w:widowControl w:val="0"/>
              <w:kinsoku/>
              <w:wordWrap/>
              <w:overflowPunct/>
              <w:topLinePunct w:val="0"/>
              <w:bidi w:val="0"/>
              <w:snapToGrid/>
              <w:spacing w:line="360" w:lineRule="auto"/>
              <w:ind w:firstLine="470" w:firstLineChars="196"/>
              <w:textAlignment w:val="auto"/>
              <w:rPr>
                <w:color w:val="auto"/>
                <w:sz w:val="24"/>
              </w:rPr>
            </w:pPr>
            <w:r>
              <w:rPr>
                <w:rFonts w:hint="eastAsia"/>
                <w:color w:val="auto"/>
                <w:sz w:val="24"/>
              </w:rPr>
              <w:t>根据《大气有害物质无组织排放卫生防护距离推导技术导则》</w:t>
            </w:r>
            <w:r>
              <w:rPr>
                <w:rFonts w:hint="eastAsia"/>
                <w:color w:val="auto"/>
                <w:sz w:val="24"/>
                <w:lang w:eastAsia="zh-CN"/>
              </w:rPr>
              <w:t>（</w:t>
            </w:r>
            <w:r>
              <w:rPr>
                <w:rFonts w:hint="eastAsia"/>
                <w:color w:val="auto"/>
                <w:sz w:val="24"/>
              </w:rPr>
              <w:t>GB/T39499-2020</w:t>
            </w:r>
            <w:r>
              <w:rPr>
                <w:rFonts w:hint="eastAsia"/>
                <w:color w:val="auto"/>
                <w:sz w:val="24"/>
                <w:lang w:eastAsia="zh-CN"/>
              </w:rPr>
              <w:t>）</w:t>
            </w:r>
            <w:r>
              <w:rPr>
                <w:rFonts w:hint="eastAsia"/>
                <w:color w:val="auto"/>
                <w:sz w:val="24"/>
              </w:rPr>
              <w:t>的有关规定，当目标企业无组织排放存在多种有毒有害污染物时，基于单个污染物的等标排放量（Qc/Cm）计算结果，优先选择等标排放量最大的污染物1～2种为企业无组织排放的主要特征大气有害物质。当前两种污染物的等标排放量相差在10%以内时，需要同时选择这两种特征大气有害物质分别计算卫生防护距离初值，</w:t>
            </w:r>
            <w:r>
              <w:rPr>
                <w:rFonts w:hint="eastAsia"/>
                <w:color w:val="auto"/>
                <w:sz w:val="24"/>
                <w:lang w:val="en-US" w:eastAsia="zh-CN"/>
              </w:rPr>
              <w:t>本项目无组织排放污染物为非甲烷总烃，未涉及多种有毒有害污染物，不需要计算其</w:t>
            </w:r>
            <w:r>
              <w:rPr>
                <w:rFonts w:hint="eastAsia"/>
                <w:color w:val="auto"/>
                <w:sz w:val="24"/>
              </w:rPr>
              <w:t>等标排放量</w:t>
            </w:r>
            <w:r>
              <w:rPr>
                <w:rFonts w:hint="eastAsia"/>
                <w:color w:val="auto"/>
                <w:sz w:val="24"/>
                <w:lang w:val="en-US" w:eastAsia="zh-CN"/>
              </w:rPr>
              <w:t>，选择非甲烷总烃来计算面源卫生防护距离。</w:t>
            </w:r>
            <w:r>
              <w:rPr>
                <w:color w:val="auto"/>
                <w:sz w:val="24"/>
              </w:rPr>
              <w:t>根据</w:t>
            </w:r>
            <w:r>
              <w:rPr>
                <w:rFonts w:hint="eastAsia"/>
                <w:color w:val="auto"/>
                <w:sz w:val="24"/>
              </w:rPr>
              <w:t>《大气有害物质无组织排放卫生防护距离推导技术导则GB/T39499-2020》</w:t>
            </w:r>
            <w:r>
              <w:rPr>
                <w:color w:val="auto"/>
                <w:sz w:val="24"/>
              </w:rPr>
              <w:t>推荐的计算公式，计算本项目无组织排放的</w:t>
            </w:r>
            <w:r>
              <w:rPr>
                <w:color w:val="auto"/>
                <w:sz w:val="24"/>
                <w:lang w:val="en-GB"/>
              </w:rPr>
              <w:t>各污染源</w:t>
            </w:r>
            <w:r>
              <w:rPr>
                <w:color w:val="auto"/>
                <w:sz w:val="24"/>
              </w:rPr>
              <w:t>卫生防护距离。</w:t>
            </w:r>
          </w:p>
          <w:p w14:paraId="75BFEABC">
            <w:pPr>
              <w:pStyle w:val="17"/>
              <w:keepNext w:val="0"/>
              <w:keepLines w:val="0"/>
              <w:pageBreakBefore w:val="0"/>
              <w:widowControl w:val="0"/>
              <w:kinsoku/>
              <w:wordWrap/>
              <w:overflowPunct/>
              <w:topLinePunct w:val="0"/>
              <w:bidi w:val="0"/>
              <w:spacing w:line="360" w:lineRule="auto"/>
              <w:textAlignment w:val="auto"/>
              <w:rPr>
                <w:color w:val="auto"/>
              </w:rPr>
            </w:pPr>
          </w:p>
          <w:p w14:paraId="57E12974">
            <w:pPr>
              <w:pStyle w:val="17"/>
              <w:keepNext w:val="0"/>
              <w:keepLines w:val="0"/>
              <w:pageBreakBefore w:val="0"/>
              <w:widowControl w:val="0"/>
              <w:kinsoku/>
              <w:wordWrap/>
              <w:overflowPunct/>
              <w:topLinePunct w:val="0"/>
              <w:bidi w:val="0"/>
              <w:spacing w:line="360" w:lineRule="auto"/>
              <w:jc w:val="center"/>
              <w:textAlignment w:val="auto"/>
              <w:rPr>
                <w:color w:val="auto"/>
                <w:sz w:val="24"/>
              </w:rPr>
            </w:pPr>
            <w:r>
              <w:rPr>
                <w:color w:val="auto"/>
                <w:sz w:val="24"/>
              </w:rPr>
              <w:pict>
                <v:shape id="Object 545" o:spid="_x0000_s2594" o:spt="75" type="#_x0000_t75" style="position:absolute;left:0pt;margin-left:123.25pt;margin-top:-14.5pt;height:34.5pt;width:150.75pt;mso-wrap-distance-bottom:0pt;mso-wrap-distance-left:9pt;mso-wrap-distance-right:9pt;mso-wrap-distance-top:0pt;z-index:251659264;mso-width-relative:page;mso-height-relative:page;" o:ole="t" filled="f" o:preferrelative="t" stroked="f" coordsize="21600,21600">
                  <v:path/>
                  <v:fill on="f" focussize="0,0"/>
                  <v:stroke on="f"/>
                  <v:imagedata r:id="rId10" o:title=""/>
                  <o:lock v:ext="edit" aspectratio="t"/>
                  <w10:wrap type="square"/>
                </v:shape>
                <o:OLEObject Type="Embed" ProgID="" ShapeID="Object 545" DrawAspect="Content" ObjectID="_1468075726" r:id="rId9">
                  <o:LockedField>false</o:LockedField>
                </o:OLEObject>
              </w:pict>
            </w:r>
          </w:p>
          <w:p w14:paraId="0301AB4F">
            <w:pPr>
              <w:keepNext w:val="0"/>
              <w:keepLines w:val="0"/>
              <w:pageBreakBefore w:val="0"/>
              <w:widowControl w:val="0"/>
              <w:kinsoku/>
              <w:wordWrap/>
              <w:overflowPunct/>
              <w:topLinePunct w:val="0"/>
              <w:bidi w:val="0"/>
              <w:snapToGrid/>
              <w:spacing w:line="360" w:lineRule="auto"/>
              <w:ind w:left="1201" w:leftChars="228" w:hanging="722" w:hangingChars="301"/>
              <w:textAlignment w:val="auto"/>
              <w:rPr>
                <w:color w:val="auto"/>
                <w:sz w:val="24"/>
              </w:rPr>
            </w:pPr>
            <w:r>
              <w:rPr>
                <w:color w:val="auto"/>
                <w:sz w:val="24"/>
              </w:rPr>
              <w:t>式中：C</w:t>
            </w:r>
            <w:r>
              <w:rPr>
                <w:color w:val="auto"/>
                <w:sz w:val="24"/>
                <w:vertAlign w:val="subscript"/>
              </w:rPr>
              <w:t>m</w:t>
            </w:r>
            <w:r>
              <w:rPr>
                <w:color w:val="auto"/>
                <w:sz w:val="24"/>
              </w:rPr>
              <w:t>——标准浓度限值，mg/m</w:t>
            </w:r>
            <w:r>
              <w:rPr>
                <w:color w:val="auto"/>
                <w:sz w:val="24"/>
                <w:vertAlign w:val="superscript"/>
              </w:rPr>
              <w:t>3</w:t>
            </w:r>
            <w:r>
              <w:rPr>
                <w:color w:val="auto"/>
                <w:sz w:val="24"/>
              </w:rPr>
              <w:t>；</w:t>
            </w:r>
            <w:r>
              <w:rPr>
                <w:color w:val="auto"/>
                <w:sz w:val="24"/>
              </w:rPr>
              <w:cr/>
            </w:r>
            <w:r>
              <w:rPr>
                <w:color w:val="auto"/>
                <w:sz w:val="24"/>
              </w:rPr>
              <w:t>Q</w:t>
            </w:r>
            <w:r>
              <w:rPr>
                <w:color w:val="auto"/>
                <w:sz w:val="24"/>
                <w:vertAlign w:val="subscript"/>
              </w:rPr>
              <w:t>C</w:t>
            </w:r>
            <w:r>
              <w:rPr>
                <w:color w:val="auto"/>
                <w:sz w:val="24"/>
              </w:rPr>
              <w:t>——工业企业有害气体排放量可以达到的控制水平，kg/h；</w:t>
            </w:r>
            <w:r>
              <w:rPr>
                <w:color w:val="auto"/>
                <w:sz w:val="24"/>
              </w:rPr>
              <w:cr/>
            </w:r>
            <w:r>
              <w:rPr>
                <w:color w:val="auto"/>
                <w:sz w:val="24"/>
              </w:rPr>
              <w:t>L——工业企业所需卫生防护距离，m；</w:t>
            </w:r>
            <w:r>
              <w:rPr>
                <w:color w:val="auto"/>
                <w:sz w:val="24"/>
              </w:rPr>
              <w:cr/>
            </w:r>
            <w:r>
              <w:rPr>
                <w:color w:val="auto"/>
                <w:sz w:val="24"/>
              </w:rPr>
              <w:t>γ——有害气体排放源所在生产单元的等效半径，m。根据该生产单元占地面积S（m</w:t>
            </w:r>
            <w:r>
              <w:rPr>
                <w:color w:val="auto"/>
                <w:sz w:val="24"/>
                <w:vertAlign w:val="superscript"/>
              </w:rPr>
              <w:t>2</w:t>
            </w:r>
            <w:r>
              <w:rPr>
                <w:color w:val="auto"/>
                <w:sz w:val="24"/>
              </w:rPr>
              <w:t>）计算，r=（S/π）</w:t>
            </w:r>
            <w:r>
              <w:rPr>
                <w:color w:val="auto"/>
                <w:sz w:val="24"/>
                <w:vertAlign w:val="superscript"/>
              </w:rPr>
              <w:t>0.5</w:t>
            </w:r>
            <w:r>
              <w:rPr>
                <w:color w:val="auto"/>
                <w:sz w:val="24"/>
              </w:rPr>
              <w:t>；</w:t>
            </w:r>
          </w:p>
          <w:p w14:paraId="681ACED2">
            <w:pPr>
              <w:keepNext w:val="0"/>
              <w:keepLines w:val="0"/>
              <w:pageBreakBefore w:val="0"/>
              <w:widowControl w:val="0"/>
              <w:numPr>
                <w:ilvl w:val="0"/>
                <w:numId w:val="21"/>
              </w:numPr>
              <w:kinsoku/>
              <w:wordWrap/>
              <w:overflowPunct/>
              <w:topLinePunct w:val="0"/>
              <w:bidi w:val="0"/>
              <w:snapToGrid/>
              <w:spacing w:line="360" w:lineRule="auto"/>
              <w:textAlignment w:val="auto"/>
              <w:rPr>
                <w:color w:val="auto"/>
                <w:sz w:val="24"/>
              </w:rPr>
            </w:pPr>
            <w:r>
              <w:rPr>
                <w:color w:val="auto"/>
                <w:sz w:val="24"/>
              </w:rPr>
              <w:t>B</w:t>
            </w:r>
            <w:r>
              <w:rPr>
                <w:rFonts w:hint="eastAsia"/>
                <w:color w:val="auto"/>
                <w:sz w:val="24"/>
                <w:lang w:eastAsia="zh-CN"/>
              </w:rPr>
              <w:t>.</w:t>
            </w:r>
            <w:r>
              <w:rPr>
                <w:color w:val="auto"/>
                <w:sz w:val="24"/>
              </w:rPr>
              <w:t>C、D——计算系数</w:t>
            </w:r>
            <w:r>
              <w:rPr>
                <w:rFonts w:hint="eastAsia"/>
                <w:color w:val="auto"/>
                <w:sz w:val="24"/>
              </w:rPr>
              <w:t>，</w:t>
            </w:r>
            <w:r>
              <w:rPr>
                <w:color w:val="auto"/>
                <w:sz w:val="24"/>
              </w:rPr>
              <w:t>根据建设项目所在地区近五年平均风速及工业企业大气污染源构成类别从</w:t>
            </w:r>
            <w:r>
              <w:rPr>
                <w:rFonts w:hint="eastAsia"/>
                <w:color w:val="auto"/>
                <w:sz w:val="24"/>
                <w:lang w:val="en-US" w:eastAsia="zh-CN"/>
              </w:rPr>
              <w:t>下表</w:t>
            </w:r>
            <w:r>
              <w:rPr>
                <w:color w:val="auto"/>
                <w:sz w:val="24"/>
              </w:rPr>
              <w:t>中选取。</w:t>
            </w:r>
          </w:p>
          <w:p w14:paraId="10910EFB">
            <w:pPr>
              <w:pStyle w:val="17"/>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ascii="Times New Roman" w:hAnsi="Times New Roman"/>
                <w:b w:val="0"/>
                <w:bCs/>
                <w:color w:val="auto"/>
              </w:rPr>
            </w:pPr>
            <w:r>
              <w:rPr>
                <w:rFonts w:hint="eastAsia" w:ascii="Times New Roman" w:hAnsi="Times New Roman"/>
                <w:b w:val="0"/>
                <w:bCs/>
                <w:color w:val="auto"/>
              </w:rPr>
              <w:t>建设项目有与无组织排放源共存的排放同种有害物质的排气筒，且其排放量小于</w:t>
            </w:r>
            <w:r>
              <w:rPr>
                <w:rFonts w:hint="eastAsia" w:ascii="Times New Roman" w:hAnsi="Times New Roman"/>
                <w:b w:val="0"/>
                <w:bCs/>
                <w:color w:val="auto"/>
                <w:lang w:eastAsia="zh-CN"/>
              </w:rPr>
              <w:t>《合成树脂工业污染物排放标准》（GB 31572-2015，含2024年修改单）、《大气污染物综合排放标准》（DB32/4041-2021）</w:t>
            </w:r>
            <w:r>
              <w:rPr>
                <w:rFonts w:hint="eastAsia" w:ascii="Times New Roman" w:hAnsi="Times New Roman"/>
                <w:b w:val="0"/>
                <w:bCs/>
                <w:color w:val="auto"/>
              </w:rPr>
              <w:t>中标准规定的允许排放量的1/3，故建设项目按</w:t>
            </w:r>
            <w:r>
              <w:rPr>
                <w:rFonts w:hint="default" w:ascii="Times New Roman" w:hAnsi="Times New Roman" w:cs="Times New Roman"/>
                <w:b w:val="0"/>
                <w:bCs/>
                <w:color w:val="auto"/>
              </w:rPr>
              <w:t>Ⅱ</w:t>
            </w:r>
            <w:r>
              <w:rPr>
                <w:rFonts w:hint="eastAsia" w:ascii="Times New Roman" w:hAnsi="Times New Roman"/>
                <w:b w:val="0"/>
                <w:bCs/>
                <w:color w:val="auto"/>
              </w:rPr>
              <w:t>类进行取值；同时项目所在地近5年平均风速为2.7m/s，建设项目卫生防护距离计算系数取值见下表。</w:t>
            </w:r>
          </w:p>
          <w:p w14:paraId="2D2B2A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color w:val="auto"/>
                <w:sz w:val="21"/>
                <w:szCs w:val="21"/>
              </w:rPr>
            </w:pPr>
          </w:p>
          <w:p w14:paraId="50CA49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color w:val="auto"/>
                <w:sz w:val="21"/>
                <w:szCs w:val="21"/>
              </w:rPr>
            </w:pPr>
          </w:p>
          <w:p w14:paraId="42AE1D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color w:val="auto"/>
                <w:sz w:val="21"/>
                <w:szCs w:val="21"/>
              </w:rPr>
            </w:pPr>
          </w:p>
          <w:p w14:paraId="746A8E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auto"/>
                <w:sz w:val="21"/>
                <w:szCs w:val="21"/>
              </w:rPr>
            </w:pPr>
            <w:r>
              <w:rPr>
                <w:rFonts w:hint="eastAsia"/>
                <w:b/>
                <w:color w:val="auto"/>
                <w:sz w:val="21"/>
                <w:szCs w:val="21"/>
              </w:rPr>
              <w:t>表4-</w:t>
            </w:r>
            <w:r>
              <w:rPr>
                <w:rFonts w:hint="eastAsia"/>
                <w:b/>
                <w:color w:val="auto"/>
                <w:sz w:val="21"/>
                <w:szCs w:val="21"/>
                <w:lang w:val="en-US" w:eastAsia="zh-CN"/>
              </w:rPr>
              <w:t xml:space="preserve">7  </w:t>
            </w:r>
            <w:r>
              <w:rPr>
                <w:rFonts w:hint="eastAsia"/>
                <w:b/>
                <w:color w:val="auto"/>
                <w:sz w:val="21"/>
                <w:szCs w:val="21"/>
              </w:rPr>
              <w:t>卫生防护距离计算系数</w:t>
            </w:r>
          </w:p>
          <w:tbl>
            <w:tblPr>
              <w:tblStyle w:val="21"/>
              <w:tblW w:w="774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9"/>
              <w:gridCol w:w="885"/>
              <w:gridCol w:w="690"/>
              <w:gridCol w:w="675"/>
              <w:gridCol w:w="675"/>
              <w:gridCol w:w="705"/>
              <w:gridCol w:w="645"/>
              <w:gridCol w:w="660"/>
              <w:gridCol w:w="660"/>
              <w:gridCol w:w="630"/>
              <w:gridCol w:w="604"/>
            </w:tblGrid>
            <w:tr w14:paraId="3136AB1D">
              <w:tc>
                <w:tcPr>
                  <w:tcW w:w="919" w:type="dxa"/>
                  <w:vMerge w:val="restart"/>
                  <w:noWrap w:val="0"/>
                  <w:vAlign w:val="center"/>
                </w:tcPr>
                <w:p w14:paraId="07A201E5">
                  <w:pPr>
                    <w:spacing w:line="280" w:lineRule="exact"/>
                    <w:jc w:val="center"/>
                    <w:rPr>
                      <w:color w:val="auto"/>
                    </w:rPr>
                  </w:pPr>
                  <w:r>
                    <w:rPr>
                      <w:rFonts w:hint="eastAsia"/>
                      <w:color w:val="auto"/>
                    </w:rPr>
                    <w:t>卫生防护距离初值计算系数</w:t>
                  </w:r>
                </w:p>
              </w:tc>
              <w:tc>
                <w:tcPr>
                  <w:tcW w:w="885" w:type="dxa"/>
                  <w:vMerge w:val="restart"/>
                  <w:noWrap w:val="0"/>
                  <w:vAlign w:val="center"/>
                </w:tcPr>
                <w:p w14:paraId="2E898F0B">
                  <w:pPr>
                    <w:spacing w:line="280" w:lineRule="exact"/>
                    <w:jc w:val="center"/>
                    <w:rPr>
                      <w:color w:val="auto"/>
                    </w:rPr>
                  </w:pPr>
                  <w:r>
                    <w:rPr>
                      <w:rFonts w:hint="eastAsia"/>
                      <w:color w:val="auto"/>
                    </w:rPr>
                    <w:t>工业企业所在地区近5年平均风速</w:t>
                  </w:r>
                </w:p>
              </w:tc>
              <w:tc>
                <w:tcPr>
                  <w:tcW w:w="5944" w:type="dxa"/>
                  <w:gridSpan w:val="9"/>
                  <w:noWrap w:val="0"/>
                  <w:vAlign w:val="center"/>
                </w:tcPr>
                <w:p w14:paraId="05CDBD15">
                  <w:pPr>
                    <w:spacing w:line="280" w:lineRule="exact"/>
                    <w:jc w:val="center"/>
                    <w:rPr>
                      <w:color w:val="auto"/>
                    </w:rPr>
                  </w:pPr>
                  <w:r>
                    <w:rPr>
                      <w:rFonts w:hint="eastAsia"/>
                      <w:color w:val="auto"/>
                    </w:rPr>
                    <w:t>卫生防护距离L/m</w:t>
                  </w:r>
                </w:p>
              </w:tc>
            </w:tr>
            <w:tr w14:paraId="2CADF91D">
              <w:tc>
                <w:tcPr>
                  <w:tcW w:w="919" w:type="dxa"/>
                  <w:vMerge w:val="continue"/>
                  <w:noWrap w:val="0"/>
                  <w:vAlign w:val="center"/>
                </w:tcPr>
                <w:p w14:paraId="67DB18A1">
                  <w:pPr>
                    <w:spacing w:line="280" w:lineRule="exact"/>
                    <w:jc w:val="center"/>
                    <w:rPr>
                      <w:color w:val="auto"/>
                    </w:rPr>
                  </w:pPr>
                </w:p>
              </w:tc>
              <w:tc>
                <w:tcPr>
                  <w:tcW w:w="885" w:type="dxa"/>
                  <w:vMerge w:val="continue"/>
                  <w:noWrap w:val="0"/>
                  <w:vAlign w:val="center"/>
                </w:tcPr>
                <w:p w14:paraId="54BC2B4C">
                  <w:pPr>
                    <w:spacing w:line="280" w:lineRule="exact"/>
                    <w:jc w:val="center"/>
                    <w:rPr>
                      <w:color w:val="auto"/>
                    </w:rPr>
                  </w:pPr>
                </w:p>
              </w:tc>
              <w:tc>
                <w:tcPr>
                  <w:tcW w:w="2040" w:type="dxa"/>
                  <w:gridSpan w:val="3"/>
                  <w:noWrap w:val="0"/>
                  <w:vAlign w:val="center"/>
                </w:tcPr>
                <w:p w14:paraId="774D67CA">
                  <w:pPr>
                    <w:spacing w:line="280" w:lineRule="exact"/>
                    <w:jc w:val="center"/>
                    <w:rPr>
                      <w:color w:val="auto"/>
                    </w:rPr>
                  </w:pPr>
                  <w:r>
                    <w:rPr>
                      <w:rFonts w:hint="eastAsia"/>
                      <w:color w:val="auto"/>
                    </w:rPr>
                    <w:t>L≤1000</w:t>
                  </w:r>
                </w:p>
              </w:tc>
              <w:tc>
                <w:tcPr>
                  <w:tcW w:w="2010" w:type="dxa"/>
                  <w:gridSpan w:val="3"/>
                  <w:noWrap w:val="0"/>
                  <w:vAlign w:val="center"/>
                </w:tcPr>
                <w:p w14:paraId="1D317EA2">
                  <w:pPr>
                    <w:spacing w:line="280" w:lineRule="exact"/>
                    <w:jc w:val="center"/>
                    <w:rPr>
                      <w:color w:val="auto"/>
                    </w:rPr>
                  </w:pPr>
                  <w:r>
                    <w:rPr>
                      <w:rFonts w:hint="eastAsia"/>
                      <w:color w:val="auto"/>
                    </w:rPr>
                    <w:t>1000</w:t>
                  </w:r>
                  <w:r>
                    <w:rPr>
                      <w:rFonts w:hint="eastAsia"/>
                      <w:color w:val="auto"/>
                      <w:lang w:eastAsia="zh-CN"/>
                    </w:rPr>
                    <w:t>&lt;</w:t>
                  </w:r>
                  <w:r>
                    <w:rPr>
                      <w:rFonts w:hint="eastAsia"/>
                      <w:color w:val="auto"/>
                    </w:rPr>
                    <w:t>L≤2000</w:t>
                  </w:r>
                </w:p>
              </w:tc>
              <w:tc>
                <w:tcPr>
                  <w:tcW w:w="1894" w:type="dxa"/>
                  <w:gridSpan w:val="3"/>
                  <w:noWrap w:val="0"/>
                  <w:vAlign w:val="center"/>
                </w:tcPr>
                <w:p w14:paraId="4A63395B">
                  <w:pPr>
                    <w:spacing w:line="280" w:lineRule="exact"/>
                    <w:jc w:val="center"/>
                    <w:rPr>
                      <w:color w:val="auto"/>
                    </w:rPr>
                  </w:pPr>
                  <w:r>
                    <w:rPr>
                      <w:rFonts w:hint="eastAsia"/>
                      <w:color w:val="auto"/>
                    </w:rPr>
                    <w:t>L</w:t>
                  </w:r>
                  <w:r>
                    <w:rPr>
                      <w:rFonts w:hint="eastAsia"/>
                      <w:color w:val="auto"/>
                      <w:lang w:eastAsia="zh-CN"/>
                    </w:rPr>
                    <w:t>&gt;</w:t>
                  </w:r>
                  <w:r>
                    <w:rPr>
                      <w:rFonts w:hint="eastAsia"/>
                      <w:color w:val="auto"/>
                    </w:rPr>
                    <w:t>2000</w:t>
                  </w:r>
                </w:p>
              </w:tc>
            </w:tr>
            <w:tr w14:paraId="0F8DAD3A">
              <w:tc>
                <w:tcPr>
                  <w:tcW w:w="919" w:type="dxa"/>
                  <w:vMerge w:val="continue"/>
                  <w:noWrap w:val="0"/>
                  <w:vAlign w:val="center"/>
                </w:tcPr>
                <w:p w14:paraId="0A4C0FD5">
                  <w:pPr>
                    <w:spacing w:line="280" w:lineRule="exact"/>
                    <w:jc w:val="center"/>
                    <w:rPr>
                      <w:color w:val="auto"/>
                    </w:rPr>
                  </w:pPr>
                </w:p>
              </w:tc>
              <w:tc>
                <w:tcPr>
                  <w:tcW w:w="885" w:type="dxa"/>
                  <w:vMerge w:val="continue"/>
                  <w:noWrap w:val="0"/>
                  <w:vAlign w:val="center"/>
                </w:tcPr>
                <w:p w14:paraId="061506AF">
                  <w:pPr>
                    <w:spacing w:line="280" w:lineRule="exact"/>
                    <w:jc w:val="center"/>
                    <w:rPr>
                      <w:color w:val="auto"/>
                    </w:rPr>
                  </w:pPr>
                </w:p>
              </w:tc>
              <w:tc>
                <w:tcPr>
                  <w:tcW w:w="5944" w:type="dxa"/>
                  <w:gridSpan w:val="9"/>
                  <w:noWrap w:val="0"/>
                  <w:vAlign w:val="center"/>
                </w:tcPr>
                <w:p w14:paraId="76A1AD6A">
                  <w:pPr>
                    <w:spacing w:line="280" w:lineRule="exact"/>
                    <w:jc w:val="center"/>
                    <w:rPr>
                      <w:color w:val="auto"/>
                    </w:rPr>
                  </w:pPr>
                  <w:r>
                    <w:rPr>
                      <w:rFonts w:hint="eastAsia"/>
                      <w:color w:val="auto"/>
                    </w:rPr>
                    <w:t>工业企业大气污染源构成类别</w:t>
                  </w:r>
                </w:p>
              </w:tc>
            </w:tr>
            <w:tr w14:paraId="57E81EFE">
              <w:tc>
                <w:tcPr>
                  <w:tcW w:w="919" w:type="dxa"/>
                  <w:vMerge w:val="continue"/>
                  <w:noWrap w:val="0"/>
                  <w:vAlign w:val="center"/>
                </w:tcPr>
                <w:p w14:paraId="687256C9">
                  <w:pPr>
                    <w:spacing w:line="280" w:lineRule="exact"/>
                    <w:jc w:val="center"/>
                    <w:rPr>
                      <w:color w:val="auto"/>
                    </w:rPr>
                  </w:pPr>
                </w:p>
              </w:tc>
              <w:tc>
                <w:tcPr>
                  <w:tcW w:w="885" w:type="dxa"/>
                  <w:vMerge w:val="continue"/>
                  <w:noWrap w:val="0"/>
                  <w:vAlign w:val="center"/>
                </w:tcPr>
                <w:p w14:paraId="73A9F5D8">
                  <w:pPr>
                    <w:spacing w:line="280" w:lineRule="exact"/>
                    <w:jc w:val="center"/>
                    <w:rPr>
                      <w:color w:val="auto"/>
                    </w:rPr>
                  </w:pPr>
                </w:p>
              </w:tc>
              <w:tc>
                <w:tcPr>
                  <w:tcW w:w="690" w:type="dxa"/>
                  <w:noWrap w:val="0"/>
                  <w:vAlign w:val="center"/>
                </w:tcPr>
                <w:p w14:paraId="530187B9">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Ⅰ</w:t>
                  </w:r>
                </w:p>
              </w:tc>
              <w:tc>
                <w:tcPr>
                  <w:tcW w:w="675" w:type="dxa"/>
                  <w:noWrap w:val="0"/>
                  <w:vAlign w:val="center"/>
                </w:tcPr>
                <w:p w14:paraId="282A3722">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Ⅱ</w:t>
                  </w:r>
                </w:p>
              </w:tc>
              <w:tc>
                <w:tcPr>
                  <w:tcW w:w="675" w:type="dxa"/>
                  <w:noWrap w:val="0"/>
                  <w:vAlign w:val="center"/>
                </w:tcPr>
                <w:p w14:paraId="3B1AD8DF">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Ⅲ</w:t>
                  </w:r>
                </w:p>
              </w:tc>
              <w:tc>
                <w:tcPr>
                  <w:tcW w:w="705" w:type="dxa"/>
                  <w:noWrap w:val="0"/>
                  <w:vAlign w:val="center"/>
                </w:tcPr>
                <w:p w14:paraId="277A5F50">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Ⅰ</w:t>
                  </w:r>
                </w:p>
              </w:tc>
              <w:tc>
                <w:tcPr>
                  <w:tcW w:w="645" w:type="dxa"/>
                  <w:noWrap w:val="0"/>
                  <w:vAlign w:val="center"/>
                </w:tcPr>
                <w:p w14:paraId="05FBAA1F">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Ⅱ</w:t>
                  </w:r>
                </w:p>
              </w:tc>
              <w:tc>
                <w:tcPr>
                  <w:tcW w:w="660" w:type="dxa"/>
                  <w:noWrap w:val="0"/>
                  <w:vAlign w:val="center"/>
                </w:tcPr>
                <w:p w14:paraId="4B58CB98">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Ⅲ</w:t>
                  </w:r>
                </w:p>
              </w:tc>
              <w:tc>
                <w:tcPr>
                  <w:tcW w:w="660" w:type="dxa"/>
                  <w:noWrap w:val="0"/>
                  <w:vAlign w:val="center"/>
                </w:tcPr>
                <w:p w14:paraId="4F5969DE">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Ⅰ</w:t>
                  </w:r>
                </w:p>
              </w:tc>
              <w:tc>
                <w:tcPr>
                  <w:tcW w:w="630" w:type="dxa"/>
                  <w:noWrap w:val="0"/>
                  <w:vAlign w:val="center"/>
                </w:tcPr>
                <w:p w14:paraId="02474099">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Ⅱ</w:t>
                  </w:r>
                </w:p>
              </w:tc>
              <w:tc>
                <w:tcPr>
                  <w:tcW w:w="604" w:type="dxa"/>
                  <w:noWrap w:val="0"/>
                  <w:vAlign w:val="center"/>
                </w:tcPr>
                <w:p w14:paraId="17E61488">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Ⅲ</w:t>
                  </w:r>
                </w:p>
              </w:tc>
            </w:tr>
            <w:tr w14:paraId="1A89FC4C">
              <w:tc>
                <w:tcPr>
                  <w:tcW w:w="919" w:type="dxa"/>
                  <w:vMerge w:val="restart"/>
                  <w:noWrap w:val="0"/>
                  <w:vAlign w:val="center"/>
                </w:tcPr>
                <w:p w14:paraId="58CCE63A">
                  <w:pPr>
                    <w:spacing w:line="280" w:lineRule="exact"/>
                    <w:jc w:val="center"/>
                    <w:rPr>
                      <w:color w:val="auto"/>
                    </w:rPr>
                  </w:pPr>
                  <w:r>
                    <w:rPr>
                      <w:rFonts w:hint="eastAsia"/>
                      <w:color w:val="auto"/>
                    </w:rPr>
                    <w:t>A</w:t>
                  </w:r>
                </w:p>
              </w:tc>
              <w:tc>
                <w:tcPr>
                  <w:tcW w:w="885" w:type="dxa"/>
                  <w:noWrap w:val="0"/>
                  <w:vAlign w:val="center"/>
                </w:tcPr>
                <w:p w14:paraId="2C5F862C">
                  <w:pPr>
                    <w:spacing w:line="280" w:lineRule="exact"/>
                    <w:jc w:val="center"/>
                    <w:rPr>
                      <w:color w:val="auto"/>
                    </w:rPr>
                  </w:pPr>
                  <w:r>
                    <w:rPr>
                      <w:rFonts w:hint="eastAsia"/>
                      <w:color w:val="auto"/>
                      <w:lang w:eastAsia="zh-CN"/>
                    </w:rPr>
                    <w:t>&lt;</w:t>
                  </w:r>
                  <w:r>
                    <w:rPr>
                      <w:rFonts w:hint="eastAsia"/>
                      <w:color w:val="auto"/>
                    </w:rPr>
                    <w:t>2</w:t>
                  </w:r>
                </w:p>
              </w:tc>
              <w:tc>
                <w:tcPr>
                  <w:tcW w:w="690" w:type="dxa"/>
                  <w:noWrap w:val="0"/>
                  <w:vAlign w:val="center"/>
                </w:tcPr>
                <w:p w14:paraId="0CABCC5A">
                  <w:pPr>
                    <w:spacing w:line="280" w:lineRule="exact"/>
                    <w:jc w:val="center"/>
                    <w:rPr>
                      <w:color w:val="auto"/>
                    </w:rPr>
                  </w:pPr>
                  <w:r>
                    <w:rPr>
                      <w:rFonts w:hint="eastAsia"/>
                      <w:color w:val="auto"/>
                    </w:rPr>
                    <w:t>400</w:t>
                  </w:r>
                </w:p>
              </w:tc>
              <w:tc>
                <w:tcPr>
                  <w:tcW w:w="675" w:type="dxa"/>
                  <w:noWrap w:val="0"/>
                  <w:vAlign w:val="center"/>
                </w:tcPr>
                <w:p w14:paraId="2511884E">
                  <w:pPr>
                    <w:spacing w:line="280" w:lineRule="exact"/>
                    <w:jc w:val="center"/>
                    <w:rPr>
                      <w:color w:val="auto"/>
                    </w:rPr>
                  </w:pPr>
                  <w:r>
                    <w:rPr>
                      <w:rFonts w:hint="eastAsia"/>
                      <w:color w:val="auto"/>
                    </w:rPr>
                    <w:t>400</w:t>
                  </w:r>
                </w:p>
              </w:tc>
              <w:tc>
                <w:tcPr>
                  <w:tcW w:w="675" w:type="dxa"/>
                  <w:noWrap w:val="0"/>
                  <w:vAlign w:val="center"/>
                </w:tcPr>
                <w:p w14:paraId="4C7D3578">
                  <w:pPr>
                    <w:spacing w:line="280" w:lineRule="exact"/>
                    <w:jc w:val="center"/>
                    <w:rPr>
                      <w:color w:val="auto"/>
                    </w:rPr>
                  </w:pPr>
                  <w:r>
                    <w:rPr>
                      <w:rFonts w:hint="eastAsia"/>
                      <w:color w:val="auto"/>
                    </w:rPr>
                    <w:t>400</w:t>
                  </w:r>
                </w:p>
              </w:tc>
              <w:tc>
                <w:tcPr>
                  <w:tcW w:w="705" w:type="dxa"/>
                  <w:noWrap w:val="0"/>
                  <w:vAlign w:val="center"/>
                </w:tcPr>
                <w:p w14:paraId="01462285">
                  <w:pPr>
                    <w:spacing w:line="280" w:lineRule="exact"/>
                    <w:jc w:val="center"/>
                    <w:rPr>
                      <w:color w:val="auto"/>
                    </w:rPr>
                  </w:pPr>
                  <w:r>
                    <w:rPr>
                      <w:rFonts w:hint="eastAsia"/>
                      <w:color w:val="auto"/>
                    </w:rPr>
                    <w:t>400</w:t>
                  </w:r>
                </w:p>
              </w:tc>
              <w:tc>
                <w:tcPr>
                  <w:tcW w:w="645" w:type="dxa"/>
                  <w:noWrap w:val="0"/>
                  <w:vAlign w:val="center"/>
                </w:tcPr>
                <w:p w14:paraId="2F7F81AF">
                  <w:pPr>
                    <w:spacing w:line="280" w:lineRule="exact"/>
                    <w:jc w:val="center"/>
                    <w:rPr>
                      <w:color w:val="auto"/>
                    </w:rPr>
                  </w:pPr>
                  <w:r>
                    <w:rPr>
                      <w:rFonts w:hint="eastAsia"/>
                      <w:color w:val="auto"/>
                    </w:rPr>
                    <w:t>400</w:t>
                  </w:r>
                </w:p>
              </w:tc>
              <w:tc>
                <w:tcPr>
                  <w:tcW w:w="660" w:type="dxa"/>
                  <w:noWrap w:val="0"/>
                  <w:vAlign w:val="center"/>
                </w:tcPr>
                <w:p w14:paraId="709CCB68">
                  <w:pPr>
                    <w:spacing w:line="280" w:lineRule="exact"/>
                    <w:jc w:val="center"/>
                    <w:rPr>
                      <w:color w:val="auto"/>
                    </w:rPr>
                  </w:pPr>
                  <w:r>
                    <w:rPr>
                      <w:rFonts w:hint="eastAsia"/>
                      <w:color w:val="auto"/>
                    </w:rPr>
                    <w:t>400</w:t>
                  </w:r>
                </w:p>
              </w:tc>
              <w:tc>
                <w:tcPr>
                  <w:tcW w:w="660" w:type="dxa"/>
                  <w:noWrap w:val="0"/>
                  <w:vAlign w:val="center"/>
                </w:tcPr>
                <w:p w14:paraId="0CE87E8A">
                  <w:pPr>
                    <w:spacing w:line="280" w:lineRule="exact"/>
                    <w:jc w:val="center"/>
                    <w:rPr>
                      <w:color w:val="auto"/>
                    </w:rPr>
                  </w:pPr>
                  <w:r>
                    <w:rPr>
                      <w:rFonts w:hint="eastAsia"/>
                      <w:color w:val="auto"/>
                    </w:rPr>
                    <w:t>80</w:t>
                  </w:r>
                </w:p>
              </w:tc>
              <w:tc>
                <w:tcPr>
                  <w:tcW w:w="630" w:type="dxa"/>
                  <w:noWrap w:val="0"/>
                  <w:vAlign w:val="center"/>
                </w:tcPr>
                <w:p w14:paraId="7C4A09BE">
                  <w:pPr>
                    <w:spacing w:line="280" w:lineRule="exact"/>
                    <w:jc w:val="center"/>
                    <w:rPr>
                      <w:color w:val="auto"/>
                    </w:rPr>
                  </w:pPr>
                  <w:r>
                    <w:rPr>
                      <w:rFonts w:hint="eastAsia"/>
                      <w:color w:val="auto"/>
                    </w:rPr>
                    <w:t>80</w:t>
                  </w:r>
                </w:p>
              </w:tc>
              <w:tc>
                <w:tcPr>
                  <w:tcW w:w="604" w:type="dxa"/>
                  <w:noWrap w:val="0"/>
                  <w:vAlign w:val="center"/>
                </w:tcPr>
                <w:p w14:paraId="06517FB5">
                  <w:pPr>
                    <w:spacing w:line="280" w:lineRule="exact"/>
                    <w:jc w:val="center"/>
                    <w:rPr>
                      <w:color w:val="auto"/>
                    </w:rPr>
                  </w:pPr>
                  <w:r>
                    <w:rPr>
                      <w:rFonts w:hint="eastAsia"/>
                      <w:color w:val="auto"/>
                    </w:rPr>
                    <w:t>80</w:t>
                  </w:r>
                </w:p>
              </w:tc>
            </w:tr>
            <w:tr w14:paraId="17B49B42">
              <w:tc>
                <w:tcPr>
                  <w:tcW w:w="919" w:type="dxa"/>
                  <w:vMerge w:val="continue"/>
                  <w:noWrap w:val="0"/>
                  <w:vAlign w:val="center"/>
                </w:tcPr>
                <w:p w14:paraId="6DE7C924">
                  <w:pPr>
                    <w:spacing w:line="280" w:lineRule="exact"/>
                    <w:jc w:val="center"/>
                    <w:rPr>
                      <w:color w:val="auto"/>
                    </w:rPr>
                  </w:pPr>
                </w:p>
              </w:tc>
              <w:tc>
                <w:tcPr>
                  <w:tcW w:w="885" w:type="dxa"/>
                  <w:noWrap w:val="0"/>
                  <w:vAlign w:val="center"/>
                </w:tcPr>
                <w:p w14:paraId="7705D578">
                  <w:pPr>
                    <w:spacing w:line="280" w:lineRule="exact"/>
                    <w:jc w:val="center"/>
                    <w:rPr>
                      <w:color w:val="auto"/>
                    </w:rPr>
                  </w:pPr>
                  <w:r>
                    <w:rPr>
                      <w:rFonts w:hint="eastAsia"/>
                      <w:color w:val="auto"/>
                    </w:rPr>
                    <w:t>2-4</w:t>
                  </w:r>
                </w:p>
              </w:tc>
              <w:tc>
                <w:tcPr>
                  <w:tcW w:w="690" w:type="dxa"/>
                  <w:noWrap w:val="0"/>
                  <w:vAlign w:val="center"/>
                </w:tcPr>
                <w:p w14:paraId="46734A34">
                  <w:pPr>
                    <w:spacing w:line="280" w:lineRule="exact"/>
                    <w:jc w:val="center"/>
                    <w:rPr>
                      <w:color w:val="auto"/>
                    </w:rPr>
                  </w:pPr>
                  <w:r>
                    <w:rPr>
                      <w:rFonts w:hint="eastAsia"/>
                      <w:color w:val="auto"/>
                    </w:rPr>
                    <w:t>700</w:t>
                  </w:r>
                </w:p>
              </w:tc>
              <w:tc>
                <w:tcPr>
                  <w:tcW w:w="675" w:type="dxa"/>
                  <w:noWrap w:val="0"/>
                  <w:vAlign w:val="center"/>
                </w:tcPr>
                <w:p w14:paraId="777318F8">
                  <w:pPr>
                    <w:spacing w:line="280" w:lineRule="exact"/>
                    <w:jc w:val="center"/>
                    <w:rPr>
                      <w:color w:val="auto"/>
                    </w:rPr>
                  </w:pPr>
                  <w:r>
                    <w:rPr>
                      <w:rFonts w:hint="eastAsia"/>
                      <w:color w:val="auto"/>
                    </w:rPr>
                    <w:t>470*</w:t>
                  </w:r>
                </w:p>
              </w:tc>
              <w:tc>
                <w:tcPr>
                  <w:tcW w:w="675" w:type="dxa"/>
                  <w:noWrap w:val="0"/>
                  <w:vAlign w:val="center"/>
                </w:tcPr>
                <w:p w14:paraId="2DEFFBA7">
                  <w:pPr>
                    <w:spacing w:line="280" w:lineRule="exact"/>
                    <w:jc w:val="center"/>
                    <w:rPr>
                      <w:color w:val="auto"/>
                    </w:rPr>
                  </w:pPr>
                  <w:r>
                    <w:rPr>
                      <w:rFonts w:hint="eastAsia"/>
                      <w:color w:val="auto"/>
                    </w:rPr>
                    <w:t>350</w:t>
                  </w:r>
                </w:p>
              </w:tc>
              <w:tc>
                <w:tcPr>
                  <w:tcW w:w="705" w:type="dxa"/>
                  <w:noWrap w:val="0"/>
                  <w:vAlign w:val="center"/>
                </w:tcPr>
                <w:p w14:paraId="7B39CDD9">
                  <w:pPr>
                    <w:spacing w:line="280" w:lineRule="exact"/>
                    <w:jc w:val="center"/>
                    <w:rPr>
                      <w:color w:val="auto"/>
                    </w:rPr>
                  </w:pPr>
                  <w:r>
                    <w:rPr>
                      <w:rFonts w:hint="eastAsia"/>
                      <w:color w:val="auto"/>
                    </w:rPr>
                    <w:t>700</w:t>
                  </w:r>
                </w:p>
              </w:tc>
              <w:tc>
                <w:tcPr>
                  <w:tcW w:w="645" w:type="dxa"/>
                  <w:noWrap w:val="0"/>
                  <w:vAlign w:val="center"/>
                </w:tcPr>
                <w:p w14:paraId="1CB3C213">
                  <w:pPr>
                    <w:spacing w:line="280" w:lineRule="exact"/>
                    <w:jc w:val="center"/>
                    <w:rPr>
                      <w:color w:val="auto"/>
                    </w:rPr>
                  </w:pPr>
                  <w:r>
                    <w:rPr>
                      <w:rFonts w:hint="eastAsia"/>
                      <w:color w:val="auto"/>
                    </w:rPr>
                    <w:t>470</w:t>
                  </w:r>
                </w:p>
              </w:tc>
              <w:tc>
                <w:tcPr>
                  <w:tcW w:w="660" w:type="dxa"/>
                  <w:noWrap w:val="0"/>
                  <w:vAlign w:val="center"/>
                </w:tcPr>
                <w:p w14:paraId="76251E57">
                  <w:pPr>
                    <w:spacing w:line="280" w:lineRule="exact"/>
                    <w:jc w:val="center"/>
                    <w:rPr>
                      <w:color w:val="auto"/>
                    </w:rPr>
                  </w:pPr>
                  <w:r>
                    <w:rPr>
                      <w:rFonts w:hint="eastAsia"/>
                      <w:color w:val="auto"/>
                    </w:rPr>
                    <w:t>350</w:t>
                  </w:r>
                </w:p>
              </w:tc>
              <w:tc>
                <w:tcPr>
                  <w:tcW w:w="660" w:type="dxa"/>
                  <w:noWrap w:val="0"/>
                  <w:vAlign w:val="center"/>
                </w:tcPr>
                <w:p w14:paraId="0FDB034F">
                  <w:pPr>
                    <w:spacing w:line="280" w:lineRule="exact"/>
                    <w:jc w:val="center"/>
                    <w:rPr>
                      <w:color w:val="auto"/>
                    </w:rPr>
                  </w:pPr>
                  <w:r>
                    <w:rPr>
                      <w:rFonts w:hint="eastAsia"/>
                      <w:color w:val="auto"/>
                    </w:rPr>
                    <w:t>380</w:t>
                  </w:r>
                </w:p>
              </w:tc>
              <w:tc>
                <w:tcPr>
                  <w:tcW w:w="630" w:type="dxa"/>
                  <w:noWrap w:val="0"/>
                  <w:vAlign w:val="center"/>
                </w:tcPr>
                <w:p w14:paraId="061335B1">
                  <w:pPr>
                    <w:spacing w:line="280" w:lineRule="exact"/>
                    <w:jc w:val="center"/>
                    <w:rPr>
                      <w:color w:val="auto"/>
                    </w:rPr>
                  </w:pPr>
                  <w:r>
                    <w:rPr>
                      <w:rFonts w:hint="eastAsia"/>
                      <w:color w:val="auto"/>
                    </w:rPr>
                    <w:t>250</w:t>
                  </w:r>
                </w:p>
              </w:tc>
              <w:tc>
                <w:tcPr>
                  <w:tcW w:w="604" w:type="dxa"/>
                  <w:noWrap w:val="0"/>
                  <w:vAlign w:val="center"/>
                </w:tcPr>
                <w:p w14:paraId="7F0F9715">
                  <w:pPr>
                    <w:spacing w:line="280" w:lineRule="exact"/>
                    <w:jc w:val="center"/>
                    <w:rPr>
                      <w:color w:val="auto"/>
                    </w:rPr>
                  </w:pPr>
                  <w:r>
                    <w:rPr>
                      <w:rFonts w:hint="eastAsia"/>
                      <w:color w:val="auto"/>
                    </w:rPr>
                    <w:t>190</w:t>
                  </w:r>
                </w:p>
              </w:tc>
            </w:tr>
            <w:tr w14:paraId="4A20F6A9">
              <w:tc>
                <w:tcPr>
                  <w:tcW w:w="919" w:type="dxa"/>
                  <w:vMerge w:val="continue"/>
                  <w:noWrap w:val="0"/>
                  <w:vAlign w:val="center"/>
                </w:tcPr>
                <w:p w14:paraId="6F918915">
                  <w:pPr>
                    <w:spacing w:line="280" w:lineRule="exact"/>
                    <w:jc w:val="center"/>
                    <w:rPr>
                      <w:color w:val="auto"/>
                    </w:rPr>
                  </w:pPr>
                </w:p>
              </w:tc>
              <w:tc>
                <w:tcPr>
                  <w:tcW w:w="885" w:type="dxa"/>
                  <w:noWrap w:val="0"/>
                  <w:vAlign w:val="center"/>
                </w:tcPr>
                <w:p w14:paraId="73D01B2F">
                  <w:pPr>
                    <w:spacing w:line="280" w:lineRule="exact"/>
                    <w:jc w:val="center"/>
                    <w:rPr>
                      <w:color w:val="auto"/>
                    </w:rPr>
                  </w:pPr>
                  <w:r>
                    <w:rPr>
                      <w:rFonts w:hint="eastAsia"/>
                      <w:color w:val="auto"/>
                      <w:lang w:eastAsia="zh-CN"/>
                    </w:rPr>
                    <w:t>&gt;</w:t>
                  </w:r>
                  <w:r>
                    <w:rPr>
                      <w:rFonts w:hint="eastAsia"/>
                      <w:color w:val="auto"/>
                    </w:rPr>
                    <w:t>4</w:t>
                  </w:r>
                </w:p>
              </w:tc>
              <w:tc>
                <w:tcPr>
                  <w:tcW w:w="690" w:type="dxa"/>
                  <w:noWrap w:val="0"/>
                  <w:vAlign w:val="center"/>
                </w:tcPr>
                <w:p w14:paraId="185E6A0E">
                  <w:pPr>
                    <w:spacing w:line="280" w:lineRule="exact"/>
                    <w:jc w:val="center"/>
                    <w:rPr>
                      <w:color w:val="auto"/>
                    </w:rPr>
                  </w:pPr>
                  <w:r>
                    <w:rPr>
                      <w:rFonts w:hint="eastAsia"/>
                      <w:color w:val="auto"/>
                    </w:rPr>
                    <w:t>530</w:t>
                  </w:r>
                </w:p>
              </w:tc>
              <w:tc>
                <w:tcPr>
                  <w:tcW w:w="675" w:type="dxa"/>
                  <w:noWrap w:val="0"/>
                  <w:vAlign w:val="center"/>
                </w:tcPr>
                <w:p w14:paraId="397158C1">
                  <w:pPr>
                    <w:spacing w:line="280" w:lineRule="exact"/>
                    <w:jc w:val="center"/>
                    <w:rPr>
                      <w:color w:val="auto"/>
                    </w:rPr>
                  </w:pPr>
                  <w:r>
                    <w:rPr>
                      <w:rFonts w:hint="eastAsia"/>
                      <w:color w:val="auto"/>
                    </w:rPr>
                    <w:t>350</w:t>
                  </w:r>
                </w:p>
              </w:tc>
              <w:tc>
                <w:tcPr>
                  <w:tcW w:w="675" w:type="dxa"/>
                  <w:noWrap w:val="0"/>
                  <w:vAlign w:val="center"/>
                </w:tcPr>
                <w:p w14:paraId="046D7AA5">
                  <w:pPr>
                    <w:spacing w:line="280" w:lineRule="exact"/>
                    <w:jc w:val="center"/>
                    <w:rPr>
                      <w:color w:val="auto"/>
                    </w:rPr>
                  </w:pPr>
                  <w:r>
                    <w:rPr>
                      <w:rFonts w:hint="eastAsia"/>
                      <w:color w:val="auto"/>
                    </w:rPr>
                    <w:t>260</w:t>
                  </w:r>
                </w:p>
              </w:tc>
              <w:tc>
                <w:tcPr>
                  <w:tcW w:w="705" w:type="dxa"/>
                  <w:noWrap w:val="0"/>
                  <w:vAlign w:val="center"/>
                </w:tcPr>
                <w:p w14:paraId="684EE5B1">
                  <w:pPr>
                    <w:spacing w:line="280" w:lineRule="exact"/>
                    <w:jc w:val="center"/>
                    <w:rPr>
                      <w:color w:val="auto"/>
                    </w:rPr>
                  </w:pPr>
                  <w:r>
                    <w:rPr>
                      <w:rFonts w:hint="eastAsia"/>
                      <w:color w:val="auto"/>
                    </w:rPr>
                    <w:t>530</w:t>
                  </w:r>
                </w:p>
              </w:tc>
              <w:tc>
                <w:tcPr>
                  <w:tcW w:w="645" w:type="dxa"/>
                  <w:noWrap w:val="0"/>
                  <w:vAlign w:val="center"/>
                </w:tcPr>
                <w:p w14:paraId="0D65428D">
                  <w:pPr>
                    <w:spacing w:line="280" w:lineRule="exact"/>
                    <w:jc w:val="center"/>
                    <w:rPr>
                      <w:color w:val="auto"/>
                    </w:rPr>
                  </w:pPr>
                  <w:r>
                    <w:rPr>
                      <w:rFonts w:hint="eastAsia"/>
                      <w:color w:val="auto"/>
                    </w:rPr>
                    <w:t>350</w:t>
                  </w:r>
                </w:p>
              </w:tc>
              <w:tc>
                <w:tcPr>
                  <w:tcW w:w="660" w:type="dxa"/>
                  <w:noWrap w:val="0"/>
                  <w:vAlign w:val="center"/>
                </w:tcPr>
                <w:p w14:paraId="48E49DE7">
                  <w:pPr>
                    <w:spacing w:line="280" w:lineRule="exact"/>
                    <w:jc w:val="center"/>
                    <w:rPr>
                      <w:color w:val="auto"/>
                    </w:rPr>
                  </w:pPr>
                  <w:r>
                    <w:rPr>
                      <w:rFonts w:hint="eastAsia"/>
                      <w:color w:val="auto"/>
                    </w:rPr>
                    <w:t>260</w:t>
                  </w:r>
                </w:p>
              </w:tc>
              <w:tc>
                <w:tcPr>
                  <w:tcW w:w="660" w:type="dxa"/>
                  <w:noWrap w:val="0"/>
                  <w:vAlign w:val="center"/>
                </w:tcPr>
                <w:p w14:paraId="225E2853">
                  <w:pPr>
                    <w:spacing w:line="280" w:lineRule="exact"/>
                    <w:jc w:val="center"/>
                    <w:rPr>
                      <w:color w:val="auto"/>
                    </w:rPr>
                  </w:pPr>
                  <w:r>
                    <w:rPr>
                      <w:rFonts w:hint="eastAsia"/>
                      <w:color w:val="auto"/>
                    </w:rPr>
                    <w:t>290</w:t>
                  </w:r>
                </w:p>
              </w:tc>
              <w:tc>
                <w:tcPr>
                  <w:tcW w:w="630" w:type="dxa"/>
                  <w:noWrap w:val="0"/>
                  <w:vAlign w:val="center"/>
                </w:tcPr>
                <w:p w14:paraId="6637982F">
                  <w:pPr>
                    <w:spacing w:line="280" w:lineRule="exact"/>
                    <w:jc w:val="center"/>
                    <w:rPr>
                      <w:color w:val="auto"/>
                    </w:rPr>
                  </w:pPr>
                  <w:r>
                    <w:rPr>
                      <w:rFonts w:hint="eastAsia"/>
                      <w:color w:val="auto"/>
                    </w:rPr>
                    <w:t>190</w:t>
                  </w:r>
                </w:p>
              </w:tc>
              <w:tc>
                <w:tcPr>
                  <w:tcW w:w="604" w:type="dxa"/>
                  <w:noWrap w:val="0"/>
                  <w:vAlign w:val="center"/>
                </w:tcPr>
                <w:p w14:paraId="3682FBE0">
                  <w:pPr>
                    <w:spacing w:line="280" w:lineRule="exact"/>
                    <w:jc w:val="center"/>
                    <w:rPr>
                      <w:color w:val="auto"/>
                    </w:rPr>
                  </w:pPr>
                  <w:r>
                    <w:rPr>
                      <w:rFonts w:hint="eastAsia"/>
                      <w:color w:val="auto"/>
                    </w:rPr>
                    <w:t>110</w:t>
                  </w:r>
                </w:p>
              </w:tc>
            </w:tr>
            <w:tr w14:paraId="407477B2">
              <w:tc>
                <w:tcPr>
                  <w:tcW w:w="919" w:type="dxa"/>
                  <w:vMerge w:val="restart"/>
                  <w:noWrap w:val="0"/>
                  <w:vAlign w:val="center"/>
                </w:tcPr>
                <w:p w14:paraId="67D53631">
                  <w:pPr>
                    <w:spacing w:line="280" w:lineRule="exact"/>
                    <w:jc w:val="center"/>
                    <w:rPr>
                      <w:rFonts w:hint="eastAsia"/>
                      <w:color w:val="auto"/>
                    </w:rPr>
                  </w:pPr>
                  <w:r>
                    <w:rPr>
                      <w:rFonts w:hint="eastAsia"/>
                      <w:color w:val="auto"/>
                    </w:rPr>
                    <w:t>B</w:t>
                  </w:r>
                </w:p>
              </w:tc>
              <w:tc>
                <w:tcPr>
                  <w:tcW w:w="885" w:type="dxa"/>
                  <w:noWrap w:val="0"/>
                  <w:vAlign w:val="center"/>
                </w:tcPr>
                <w:p w14:paraId="2EF76A17">
                  <w:pPr>
                    <w:spacing w:line="280" w:lineRule="exact"/>
                    <w:jc w:val="center"/>
                    <w:rPr>
                      <w:color w:val="auto"/>
                    </w:rPr>
                  </w:pPr>
                  <w:r>
                    <w:rPr>
                      <w:rFonts w:hint="eastAsia"/>
                      <w:color w:val="auto"/>
                      <w:lang w:eastAsia="zh-CN"/>
                    </w:rPr>
                    <w:t>&lt;</w:t>
                  </w:r>
                  <w:r>
                    <w:rPr>
                      <w:rFonts w:hint="eastAsia"/>
                      <w:color w:val="auto"/>
                    </w:rPr>
                    <w:t>2</w:t>
                  </w:r>
                </w:p>
              </w:tc>
              <w:tc>
                <w:tcPr>
                  <w:tcW w:w="2040" w:type="dxa"/>
                  <w:gridSpan w:val="3"/>
                  <w:noWrap w:val="0"/>
                  <w:vAlign w:val="center"/>
                </w:tcPr>
                <w:p w14:paraId="04DFED1E">
                  <w:pPr>
                    <w:spacing w:line="280" w:lineRule="exact"/>
                    <w:jc w:val="center"/>
                    <w:rPr>
                      <w:color w:val="auto"/>
                    </w:rPr>
                  </w:pPr>
                  <w:r>
                    <w:rPr>
                      <w:rFonts w:hint="eastAsia"/>
                      <w:color w:val="auto"/>
                    </w:rPr>
                    <w:t>0.01</w:t>
                  </w:r>
                </w:p>
              </w:tc>
              <w:tc>
                <w:tcPr>
                  <w:tcW w:w="2010" w:type="dxa"/>
                  <w:gridSpan w:val="3"/>
                  <w:noWrap w:val="0"/>
                  <w:vAlign w:val="center"/>
                </w:tcPr>
                <w:p w14:paraId="44624E79">
                  <w:pPr>
                    <w:spacing w:line="280" w:lineRule="exact"/>
                    <w:jc w:val="center"/>
                    <w:rPr>
                      <w:color w:val="auto"/>
                    </w:rPr>
                  </w:pPr>
                  <w:r>
                    <w:rPr>
                      <w:rFonts w:hint="eastAsia"/>
                      <w:color w:val="auto"/>
                    </w:rPr>
                    <w:t>0.015</w:t>
                  </w:r>
                </w:p>
              </w:tc>
              <w:tc>
                <w:tcPr>
                  <w:tcW w:w="1894" w:type="dxa"/>
                  <w:gridSpan w:val="3"/>
                  <w:noWrap w:val="0"/>
                  <w:vAlign w:val="center"/>
                </w:tcPr>
                <w:p w14:paraId="41BCF1D9">
                  <w:pPr>
                    <w:spacing w:line="280" w:lineRule="exact"/>
                    <w:jc w:val="center"/>
                    <w:rPr>
                      <w:color w:val="auto"/>
                    </w:rPr>
                  </w:pPr>
                  <w:r>
                    <w:rPr>
                      <w:rFonts w:hint="eastAsia"/>
                      <w:color w:val="auto"/>
                    </w:rPr>
                    <w:t>0.015</w:t>
                  </w:r>
                </w:p>
              </w:tc>
            </w:tr>
            <w:tr w14:paraId="735FECD2">
              <w:tc>
                <w:tcPr>
                  <w:tcW w:w="919" w:type="dxa"/>
                  <w:vMerge w:val="continue"/>
                  <w:noWrap w:val="0"/>
                  <w:vAlign w:val="center"/>
                </w:tcPr>
                <w:p w14:paraId="6514C37C">
                  <w:pPr>
                    <w:spacing w:line="280" w:lineRule="exact"/>
                    <w:jc w:val="center"/>
                    <w:rPr>
                      <w:color w:val="auto"/>
                    </w:rPr>
                  </w:pPr>
                </w:p>
              </w:tc>
              <w:tc>
                <w:tcPr>
                  <w:tcW w:w="885" w:type="dxa"/>
                  <w:noWrap w:val="0"/>
                  <w:vAlign w:val="center"/>
                </w:tcPr>
                <w:p w14:paraId="367A1373">
                  <w:pPr>
                    <w:spacing w:line="280" w:lineRule="exact"/>
                    <w:jc w:val="center"/>
                    <w:rPr>
                      <w:color w:val="auto"/>
                    </w:rPr>
                  </w:pPr>
                  <w:r>
                    <w:rPr>
                      <w:rFonts w:hint="eastAsia"/>
                      <w:color w:val="auto"/>
                      <w:lang w:eastAsia="zh-CN"/>
                    </w:rPr>
                    <w:t>&gt;</w:t>
                  </w:r>
                  <w:r>
                    <w:rPr>
                      <w:rFonts w:hint="eastAsia"/>
                      <w:color w:val="auto"/>
                    </w:rPr>
                    <w:t>2</w:t>
                  </w:r>
                </w:p>
              </w:tc>
              <w:tc>
                <w:tcPr>
                  <w:tcW w:w="2040" w:type="dxa"/>
                  <w:gridSpan w:val="3"/>
                  <w:noWrap w:val="0"/>
                  <w:vAlign w:val="center"/>
                </w:tcPr>
                <w:p w14:paraId="1C950B2F">
                  <w:pPr>
                    <w:spacing w:line="280" w:lineRule="exact"/>
                    <w:jc w:val="center"/>
                    <w:rPr>
                      <w:color w:val="auto"/>
                    </w:rPr>
                  </w:pPr>
                  <w:r>
                    <w:rPr>
                      <w:rFonts w:hint="eastAsia"/>
                      <w:color w:val="auto"/>
                    </w:rPr>
                    <w:t>0.021*</w:t>
                  </w:r>
                </w:p>
              </w:tc>
              <w:tc>
                <w:tcPr>
                  <w:tcW w:w="2010" w:type="dxa"/>
                  <w:gridSpan w:val="3"/>
                  <w:noWrap w:val="0"/>
                  <w:vAlign w:val="center"/>
                </w:tcPr>
                <w:p w14:paraId="6EA7CEF4">
                  <w:pPr>
                    <w:spacing w:line="280" w:lineRule="exact"/>
                    <w:jc w:val="center"/>
                    <w:rPr>
                      <w:color w:val="auto"/>
                    </w:rPr>
                  </w:pPr>
                  <w:r>
                    <w:rPr>
                      <w:rFonts w:hint="eastAsia"/>
                      <w:color w:val="auto"/>
                    </w:rPr>
                    <w:t>0.036</w:t>
                  </w:r>
                </w:p>
              </w:tc>
              <w:tc>
                <w:tcPr>
                  <w:tcW w:w="1894" w:type="dxa"/>
                  <w:gridSpan w:val="3"/>
                  <w:noWrap w:val="0"/>
                  <w:vAlign w:val="center"/>
                </w:tcPr>
                <w:p w14:paraId="5A351C81">
                  <w:pPr>
                    <w:spacing w:line="280" w:lineRule="exact"/>
                    <w:jc w:val="center"/>
                    <w:rPr>
                      <w:color w:val="auto"/>
                    </w:rPr>
                  </w:pPr>
                  <w:r>
                    <w:rPr>
                      <w:rFonts w:hint="eastAsia"/>
                      <w:color w:val="auto"/>
                    </w:rPr>
                    <w:t>0.036</w:t>
                  </w:r>
                </w:p>
              </w:tc>
            </w:tr>
            <w:tr w14:paraId="6EF987FE">
              <w:tc>
                <w:tcPr>
                  <w:tcW w:w="919" w:type="dxa"/>
                  <w:vMerge w:val="restart"/>
                  <w:noWrap w:val="0"/>
                  <w:vAlign w:val="center"/>
                </w:tcPr>
                <w:p w14:paraId="3A4DDCCC">
                  <w:pPr>
                    <w:spacing w:line="280" w:lineRule="exact"/>
                    <w:jc w:val="center"/>
                    <w:rPr>
                      <w:rFonts w:hint="eastAsia"/>
                      <w:color w:val="auto"/>
                    </w:rPr>
                  </w:pPr>
                  <w:r>
                    <w:rPr>
                      <w:rFonts w:hint="eastAsia"/>
                      <w:color w:val="auto"/>
                    </w:rPr>
                    <w:t>C</w:t>
                  </w:r>
                </w:p>
              </w:tc>
              <w:tc>
                <w:tcPr>
                  <w:tcW w:w="885" w:type="dxa"/>
                  <w:noWrap w:val="0"/>
                  <w:vAlign w:val="center"/>
                </w:tcPr>
                <w:p w14:paraId="4F51A141">
                  <w:pPr>
                    <w:spacing w:line="280" w:lineRule="exact"/>
                    <w:jc w:val="center"/>
                    <w:rPr>
                      <w:color w:val="auto"/>
                    </w:rPr>
                  </w:pPr>
                  <w:r>
                    <w:rPr>
                      <w:rFonts w:hint="eastAsia"/>
                      <w:color w:val="auto"/>
                      <w:lang w:eastAsia="zh-CN"/>
                    </w:rPr>
                    <w:t>&lt;</w:t>
                  </w:r>
                  <w:r>
                    <w:rPr>
                      <w:rFonts w:hint="eastAsia"/>
                      <w:color w:val="auto"/>
                    </w:rPr>
                    <w:t>2</w:t>
                  </w:r>
                </w:p>
              </w:tc>
              <w:tc>
                <w:tcPr>
                  <w:tcW w:w="2040" w:type="dxa"/>
                  <w:gridSpan w:val="3"/>
                  <w:noWrap w:val="0"/>
                  <w:vAlign w:val="center"/>
                </w:tcPr>
                <w:p w14:paraId="4D22C409">
                  <w:pPr>
                    <w:spacing w:line="280" w:lineRule="exact"/>
                    <w:jc w:val="center"/>
                    <w:rPr>
                      <w:color w:val="auto"/>
                    </w:rPr>
                  </w:pPr>
                  <w:r>
                    <w:rPr>
                      <w:rFonts w:hint="eastAsia"/>
                      <w:color w:val="auto"/>
                    </w:rPr>
                    <w:t>1.85</w:t>
                  </w:r>
                </w:p>
              </w:tc>
              <w:tc>
                <w:tcPr>
                  <w:tcW w:w="2010" w:type="dxa"/>
                  <w:gridSpan w:val="3"/>
                  <w:noWrap w:val="0"/>
                  <w:vAlign w:val="center"/>
                </w:tcPr>
                <w:p w14:paraId="010AA30B">
                  <w:pPr>
                    <w:spacing w:line="280" w:lineRule="exact"/>
                    <w:jc w:val="center"/>
                    <w:rPr>
                      <w:color w:val="auto"/>
                    </w:rPr>
                  </w:pPr>
                  <w:r>
                    <w:rPr>
                      <w:rFonts w:hint="eastAsia"/>
                      <w:color w:val="auto"/>
                    </w:rPr>
                    <w:t>1.79</w:t>
                  </w:r>
                </w:p>
              </w:tc>
              <w:tc>
                <w:tcPr>
                  <w:tcW w:w="1894" w:type="dxa"/>
                  <w:gridSpan w:val="3"/>
                  <w:noWrap w:val="0"/>
                  <w:vAlign w:val="center"/>
                </w:tcPr>
                <w:p w14:paraId="09FDA6CB">
                  <w:pPr>
                    <w:spacing w:line="280" w:lineRule="exact"/>
                    <w:jc w:val="center"/>
                    <w:rPr>
                      <w:color w:val="auto"/>
                    </w:rPr>
                  </w:pPr>
                  <w:r>
                    <w:rPr>
                      <w:rFonts w:hint="eastAsia"/>
                      <w:color w:val="auto"/>
                    </w:rPr>
                    <w:t>1.79</w:t>
                  </w:r>
                </w:p>
              </w:tc>
            </w:tr>
            <w:tr w14:paraId="45887C8D">
              <w:tc>
                <w:tcPr>
                  <w:tcW w:w="919" w:type="dxa"/>
                  <w:vMerge w:val="continue"/>
                  <w:noWrap w:val="0"/>
                  <w:vAlign w:val="center"/>
                </w:tcPr>
                <w:p w14:paraId="43B77362">
                  <w:pPr>
                    <w:spacing w:line="280" w:lineRule="exact"/>
                    <w:jc w:val="center"/>
                    <w:rPr>
                      <w:color w:val="auto"/>
                    </w:rPr>
                  </w:pPr>
                </w:p>
              </w:tc>
              <w:tc>
                <w:tcPr>
                  <w:tcW w:w="885" w:type="dxa"/>
                  <w:noWrap w:val="0"/>
                  <w:vAlign w:val="center"/>
                </w:tcPr>
                <w:p w14:paraId="09D42689">
                  <w:pPr>
                    <w:spacing w:line="280" w:lineRule="exact"/>
                    <w:jc w:val="center"/>
                    <w:rPr>
                      <w:color w:val="auto"/>
                    </w:rPr>
                  </w:pPr>
                  <w:r>
                    <w:rPr>
                      <w:rFonts w:hint="eastAsia"/>
                      <w:color w:val="auto"/>
                      <w:lang w:eastAsia="zh-CN"/>
                    </w:rPr>
                    <w:t>&gt;</w:t>
                  </w:r>
                  <w:r>
                    <w:rPr>
                      <w:rFonts w:hint="eastAsia"/>
                      <w:color w:val="auto"/>
                    </w:rPr>
                    <w:t>2</w:t>
                  </w:r>
                </w:p>
              </w:tc>
              <w:tc>
                <w:tcPr>
                  <w:tcW w:w="2040" w:type="dxa"/>
                  <w:gridSpan w:val="3"/>
                  <w:noWrap w:val="0"/>
                  <w:vAlign w:val="center"/>
                </w:tcPr>
                <w:p w14:paraId="0F85A204">
                  <w:pPr>
                    <w:spacing w:line="280" w:lineRule="exact"/>
                    <w:jc w:val="center"/>
                    <w:rPr>
                      <w:color w:val="auto"/>
                    </w:rPr>
                  </w:pPr>
                  <w:r>
                    <w:rPr>
                      <w:rFonts w:hint="eastAsia"/>
                      <w:color w:val="auto"/>
                    </w:rPr>
                    <w:t>1.85*</w:t>
                  </w:r>
                </w:p>
              </w:tc>
              <w:tc>
                <w:tcPr>
                  <w:tcW w:w="2010" w:type="dxa"/>
                  <w:gridSpan w:val="3"/>
                  <w:noWrap w:val="0"/>
                  <w:vAlign w:val="center"/>
                </w:tcPr>
                <w:p w14:paraId="206A98F6">
                  <w:pPr>
                    <w:spacing w:line="280" w:lineRule="exact"/>
                    <w:jc w:val="center"/>
                    <w:rPr>
                      <w:color w:val="auto"/>
                    </w:rPr>
                  </w:pPr>
                  <w:r>
                    <w:rPr>
                      <w:rFonts w:hint="eastAsia"/>
                      <w:color w:val="auto"/>
                    </w:rPr>
                    <w:t>1.77</w:t>
                  </w:r>
                </w:p>
              </w:tc>
              <w:tc>
                <w:tcPr>
                  <w:tcW w:w="1894" w:type="dxa"/>
                  <w:gridSpan w:val="3"/>
                  <w:noWrap w:val="0"/>
                  <w:vAlign w:val="center"/>
                </w:tcPr>
                <w:p w14:paraId="79DB3402">
                  <w:pPr>
                    <w:spacing w:line="280" w:lineRule="exact"/>
                    <w:jc w:val="center"/>
                    <w:rPr>
                      <w:color w:val="auto"/>
                    </w:rPr>
                  </w:pPr>
                  <w:r>
                    <w:rPr>
                      <w:rFonts w:hint="eastAsia"/>
                      <w:color w:val="auto"/>
                    </w:rPr>
                    <w:t>1.77</w:t>
                  </w:r>
                </w:p>
              </w:tc>
            </w:tr>
            <w:tr w14:paraId="6E767944">
              <w:tc>
                <w:tcPr>
                  <w:tcW w:w="919" w:type="dxa"/>
                  <w:vMerge w:val="restart"/>
                  <w:noWrap w:val="0"/>
                  <w:vAlign w:val="center"/>
                </w:tcPr>
                <w:p w14:paraId="53694F6E">
                  <w:pPr>
                    <w:spacing w:line="280" w:lineRule="exact"/>
                    <w:jc w:val="center"/>
                    <w:rPr>
                      <w:rFonts w:hint="eastAsia"/>
                      <w:color w:val="auto"/>
                    </w:rPr>
                  </w:pPr>
                  <w:r>
                    <w:rPr>
                      <w:rFonts w:hint="eastAsia"/>
                      <w:color w:val="auto"/>
                    </w:rPr>
                    <w:t>D</w:t>
                  </w:r>
                </w:p>
              </w:tc>
              <w:tc>
                <w:tcPr>
                  <w:tcW w:w="885" w:type="dxa"/>
                  <w:noWrap w:val="0"/>
                  <w:vAlign w:val="center"/>
                </w:tcPr>
                <w:p w14:paraId="6CBAEFA5">
                  <w:pPr>
                    <w:spacing w:line="280" w:lineRule="exact"/>
                    <w:jc w:val="center"/>
                    <w:rPr>
                      <w:color w:val="auto"/>
                    </w:rPr>
                  </w:pPr>
                  <w:r>
                    <w:rPr>
                      <w:rFonts w:hint="eastAsia"/>
                      <w:color w:val="auto"/>
                      <w:lang w:eastAsia="zh-CN"/>
                    </w:rPr>
                    <w:t>&lt;</w:t>
                  </w:r>
                  <w:r>
                    <w:rPr>
                      <w:rFonts w:hint="eastAsia"/>
                      <w:color w:val="auto"/>
                    </w:rPr>
                    <w:t>2</w:t>
                  </w:r>
                </w:p>
              </w:tc>
              <w:tc>
                <w:tcPr>
                  <w:tcW w:w="2040" w:type="dxa"/>
                  <w:gridSpan w:val="3"/>
                  <w:noWrap w:val="0"/>
                  <w:vAlign w:val="center"/>
                </w:tcPr>
                <w:p w14:paraId="4508720D">
                  <w:pPr>
                    <w:spacing w:line="280" w:lineRule="exact"/>
                    <w:jc w:val="center"/>
                    <w:rPr>
                      <w:color w:val="auto"/>
                    </w:rPr>
                  </w:pPr>
                  <w:r>
                    <w:rPr>
                      <w:rFonts w:hint="eastAsia"/>
                      <w:color w:val="auto"/>
                    </w:rPr>
                    <w:t>0.78</w:t>
                  </w:r>
                </w:p>
              </w:tc>
              <w:tc>
                <w:tcPr>
                  <w:tcW w:w="2010" w:type="dxa"/>
                  <w:gridSpan w:val="3"/>
                  <w:noWrap w:val="0"/>
                  <w:vAlign w:val="center"/>
                </w:tcPr>
                <w:p w14:paraId="7152983D">
                  <w:pPr>
                    <w:spacing w:line="280" w:lineRule="exact"/>
                    <w:jc w:val="center"/>
                    <w:rPr>
                      <w:color w:val="auto"/>
                    </w:rPr>
                  </w:pPr>
                  <w:r>
                    <w:rPr>
                      <w:rFonts w:hint="eastAsia"/>
                      <w:color w:val="auto"/>
                    </w:rPr>
                    <w:t>0.78</w:t>
                  </w:r>
                </w:p>
              </w:tc>
              <w:tc>
                <w:tcPr>
                  <w:tcW w:w="1894" w:type="dxa"/>
                  <w:gridSpan w:val="3"/>
                  <w:noWrap w:val="0"/>
                  <w:vAlign w:val="center"/>
                </w:tcPr>
                <w:p w14:paraId="0D66DA85">
                  <w:pPr>
                    <w:spacing w:line="280" w:lineRule="exact"/>
                    <w:jc w:val="center"/>
                    <w:rPr>
                      <w:color w:val="auto"/>
                    </w:rPr>
                  </w:pPr>
                  <w:r>
                    <w:rPr>
                      <w:rFonts w:hint="eastAsia"/>
                      <w:color w:val="auto"/>
                    </w:rPr>
                    <w:t>0.57</w:t>
                  </w:r>
                </w:p>
              </w:tc>
            </w:tr>
            <w:tr w14:paraId="5CDAC251">
              <w:tc>
                <w:tcPr>
                  <w:tcW w:w="919" w:type="dxa"/>
                  <w:vMerge w:val="continue"/>
                  <w:noWrap w:val="0"/>
                  <w:vAlign w:val="center"/>
                </w:tcPr>
                <w:p w14:paraId="34732032">
                  <w:pPr>
                    <w:spacing w:line="280" w:lineRule="exact"/>
                    <w:jc w:val="center"/>
                    <w:rPr>
                      <w:color w:val="auto"/>
                    </w:rPr>
                  </w:pPr>
                </w:p>
              </w:tc>
              <w:tc>
                <w:tcPr>
                  <w:tcW w:w="885" w:type="dxa"/>
                  <w:noWrap w:val="0"/>
                  <w:vAlign w:val="center"/>
                </w:tcPr>
                <w:p w14:paraId="2914E912">
                  <w:pPr>
                    <w:spacing w:line="280" w:lineRule="exact"/>
                    <w:jc w:val="center"/>
                    <w:rPr>
                      <w:color w:val="auto"/>
                    </w:rPr>
                  </w:pPr>
                  <w:r>
                    <w:rPr>
                      <w:rFonts w:hint="eastAsia"/>
                      <w:color w:val="auto"/>
                      <w:lang w:eastAsia="zh-CN"/>
                    </w:rPr>
                    <w:t>&gt;</w:t>
                  </w:r>
                  <w:r>
                    <w:rPr>
                      <w:rFonts w:hint="eastAsia"/>
                      <w:color w:val="auto"/>
                    </w:rPr>
                    <w:t>2</w:t>
                  </w:r>
                </w:p>
              </w:tc>
              <w:tc>
                <w:tcPr>
                  <w:tcW w:w="2040" w:type="dxa"/>
                  <w:gridSpan w:val="3"/>
                  <w:noWrap w:val="0"/>
                  <w:vAlign w:val="center"/>
                </w:tcPr>
                <w:p w14:paraId="6513A19C">
                  <w:pPr>
                    <w:spacing w:line="280" w:lineRule="exact"/>
                    <w:jc w:val="center"/>
                    <w:rPr>
                      <w:color w:val="auto"/>
                    </w:rPr>
                  </w:pPr>
                  <w:r>
                    <w:rPr>
                      <w:rFonts w:hint="eastAsia"/>
                      <w:color w:val="auto"/>
                    </w:rPr>
                    <w:t>0.84*</w:t>
                  </w:r>
                </w:p>
              </w:tc>
              <w:tc>
                <w:tcPr>
                  <w:tcW w:w="2010" w:type="dxa"/>
                  <w:gridSpan w:val="3"/>
                  <w:noWrap w:val="0"/>
                  <w:vAlign w:val="center"/>
                </w:tcPr>
                <w:p w14:paraId="5D471D9F">
                  <w:pPr>
                    <w:spacing w:line="280" w:lineRule="exact"/>
                    <w:jc w:val="center"/>
                    <w:rPr>
                      <w:color w:val="auto"/>
                    </w:rPr>
                  </w:pPr>
                  <w:r>
                    <w:rPr>
                      <w:rFonts w:hint="eastAsia"/>
                      <w:color w:val="auto"/>
                    </w:rPr>
                    <w:t>0.84</w:t>
                  </w:r>
                </w:p>
              </w:tc>
              <w:tc>
                <w:tcPr>
                  <w:tcW w:w="1894" w:type="dxa"/>
                  <w:gridSpan w:val="3"/>
                  <w:noWrap w:val="0"/>
                  <w:vAlign w:val="center"/>
                </w:tcPr>
                <w:p w14:paraId="62E28A60">
                  <w:pPr>
                    <w:spacing w:line="280" w:lineRule="exact"/>
                    <w:jc w:val="center"/>
                    <w:rPr>
                      <w:color w:val="auto"/>
                    </w:rPr>
                  </w:pPr>
                  <w:r>
                    <w:rPr>
                      <w:rFonts w:hint="eastAsia"/>
                      <w:color w:val="auto"/>
                    </w:rPr>
                    <w:t>0.76</w:t>
                  </w:r>
                </w:p>
              </w:tc>
            </w:tr>
            <w:tr w14:paraId="2AF50C4F">
              <w:tc>
                <w:tcPr>
                  <w:tcW w:w="7748" w:type="dxa"/>
                  <w:gridSpan w:val="11"/>
                  <w:noWrap w:val="0"/>
                  <w:vAlign w:val="center"/>
                </w:tcPr>
                <w:p w14:paraId="6F5BB8AA">
                  <w:pPr>
                    <w:spacing w:line="280" w:lineRule="exact"/>
                    <w:rPr>
                      <w:rFonts w:hint="default" w:ascii="Times New Roman" w:hAnsi="Times New Roman" w:cs="Times New Roman"/>
                      <w:color w:val="auto"/>
                    </w:rPr>
                  </w:pPr>
                  <w:r>
                    <w:rPr>
                      <w:rFonts w:hint="default" w:ascii="Times New Roman" w:hAnsi="Times New Roman" w:cs="Times New Roman"/>
                      <w:color w:val="auto"/>
                    </w:rPr>
                    <w:t>注：Ⅰ类：与无组织排放源共存的排放同种有害气体的排气筒的排放量，大于或等于标准规定的允许排放量的1/3者。</w:t>
                  </w:r>
                </w:p>
                <w:p w14:paraId="12E5EADB">
                  <w:pPr>
                    <w:pStyle w:val="17"/>
                    <w:spacing w:line="280" w:lineRule="exact"/>
                    <w:rPr>
                      <w:rFonts w:hint="default" w:ascii="Times New Roman" w:hAnsi="Times New Roman" w:cs="Times New Roman"/>
                      <w:b w:val="0"/>
                      <w:bCs/>
                      <w:color w:val="auto"/>
                      <w:sz w:val="21"/>
                    </w:rPr>
                  </w:pPr>
                  <w:r>
                    <w:rPr>
                      <w:rFonts w:hint="default" w:ascii="Times New Roman" w:hAnsi="Times New Roman" w:cs="Times New Roman"/>
                      <w:b w:val="0"/>
                      <w:bCs/>
                      <w:color w:val="auto"/>
                      <w:sz w:val="21"/>
                    </w:rPr>
                    <w:t>Ⅱ类：与无组织排放源共存的排放同种有害气体的排气筒的排放量，小于标准规定的允许排放量的1/3，或虽无排放同种大气污染物之排气筒共存，但无组织排放的有害物质的容许浓度指标是按急性反应指标确定者。</w:t>
                  </w:r>
                </w:p>
                <w:p w14:paraId="43CC7E41">
                  <w:pPr>
                    <w:pStyle w:val="16"/>
                    <w:spacing w:line="280" w:lineRule="exact"/>
                    <w:ind w:left="0" w:leftChars="0" w:firstLine="420" w:firstLineChars="200"/>
                    <w:rPr>
                      <w:color w:val="auto"/>
                      <w:sz w:val="21"/>
                    </w:rPr>
                  </w:pPr>
                  <w:r>
                    <w:rPr>
                      <w:rFonts w:hint="default" w:ascii="Times New Roman" w:hAnsi="Times New Roman" w:cs="Times New Roman"/>
                      <w:bCs/>
                      <w:color w:val="auto"/>
                      <w:sz w:val="21"/>
                    </w:rPr>
                    <w:t>Ⅲ类：无排放同种有害物质的排气筒与无组织排放源共存，但无组织排放的有害物质的容许排放是按慢性反应指标确定者。</w:t>
                  </w:r>
                </w:p>
              </w:tc>
            </w:tr>
          </w:tbl>
          <w:p w14:paraId="1E00E784">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sz w:val="18"/>
                <w:szCs w:val="18"/>
              </w:rPr>
            </w:pPr>
            <w:r>
              <w:rPr>
                <w:rFonts w:hint="eastAsia"/>
                <w:color w:val="auto"/>
                <w:sz w:val="18"/>
                <w:szCs w:val="18"/>
              </w:rPr>
              <w:t>注：*表示本项目取值</w:t>
            </w:r>
          </w:p>
          <w:p w14:paraId="5C6631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
                <w:color w:val="auto"/>
                <w:sz w:val="24"/>
              </w:rPr>
            </w:pPr>
            <w:r>
              <w:rPr>
                <w:color w:val="auto"/>
                <w:sz w:val="24"/>
              </w:rPr>
              <w:t>根据本项目无组织排放的情况，由公式计算确定无组织排放污染物需要设置的卫生防护距离见</w:t>
            </w:r>
            <w:r>
              <w:rPr>
                <w:rFonts w:hint="eastAsia"/>
                <w:color w:val="auto"/>
                <w:sz w:val="24"/>
                <w:lang w:val="en-US" w:eastAsia="zh-CN"/>
              </w:rPr>
              <w:t>下表</w:t>
            </w:r>
            <w:r>
              <w:rPr>
                <w:color w:val="auto"/>
                <w:sz w:val="24"/>
              </w:rPr>
              <w:t>。</w:t>
            </w:r>
          </w:p>
          <w:p w14:paraId="0C3DF4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auto"/>
                <w:sz w:val="24"/>
              </w:rPr>
            </w:pPr>
            <w:r>
              <w:rPr>
                <w:b/>
                <w:color w:val="auto"/>
                <w:sz w:val="21"/>
                <w:szCs w:val="21"/>
              </w:rPr>
              <w:t>表</w:t>
            </w:r>
            <w:r>
              <w:rPr>
                <w:rFonts w:hint="eastAsia"/>
                <w:b/>
                <w:color w:val="auto"/>
                <w:sz w:val="21"/>
                <w:szCs w:val="21"/>
              </w:rPr>
              <w:t>4-</w:t>
            </w:r>
            <w:r>
              <w:rPr>
                <w:rFonts w:hint="eastAsia"/>
                <w:b/>
                <w:color w:val="auto"/>
                <w:sz w:val="21"/>
                <w:szCs w:val="21"/>
                <w:lang w:val="en-US" w:eastAsia="zh-CN"/>
              </w:rPr>
              <w:t xml:space="preserve">8  </w:t>
            </w:r>
            <w:r>
              <w:rPr>
                <w:b/>
                <w:color w:val="auto"/>
                <w:sz w:val="21"/>
                <w:szCs w:val="21"/>
              </w:rPr>
              <w:t>卫生防护距离计算参数及计算结果</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97"/>
              <w:gridCol w:w="1346"/>
              <w:gridCol w:w="1133"/>
              <w:gridCol w:w="1316"/>
              <w:gridCol w:w="1196"/>
              <w:gridCol w:w="1455"/>
            </w:tblGrid>
            <w:tr w14:paraId="2BCE50CF">
              <w:trPr>
                <w:trHeight w:val="397" w:hRule="atLeast"/>
                <w:jc w:val="center"/>
              </w:trPr>
              <w:tc>
                <w:tcPr>
                  <w:tcW w:w="942" w:type="pct"/>
                  <w:noWrap w:val="0"/>
                  <w:vAlign w:val="center"/>
                </w:tcPr>
                <w:p w14:paraId="4B97E4E8">
                  <w:pPr>
                    <w:jc w:val="center"/>
                    <w:rPr>
                      <w:color w:val="auto"/>
                      <w:szCs w:val="21"/>
                    </w:rPr>
                  </w:pPr>
                  <w:r>
                    <w:rPr>
                      <w:color w:val="auto"/>
                      <w:szCs w:val="21"/>
                    </w:rPr>
                    <w:t>污染源位置</w:t>
                  </w:r>
                </w:p>
              </w:tc>
              <w:tc>
                <w:tcPr>
                  <w:tcW w:w="847" w:type="pct"/>
                  <w:noWrap w:val="0"/>
                  <w:vAlign w:val="center"/>
                </w:tcPr>
                <w:p w14:paraId="0E7B637C">
                  <w:pPr>
                    <w:jc w:val="center"/>
                    <w:rPr>
                      <w:color w:val="auto"/>
                      <w:szCs w:val="21"/>
                    </w:rPr>
                  </w:pPr>
                  <w:r>
                    <w:rPr>
                      <w:color w:val="auto"/>
                      <w:szCs w:val="21"/>
                    </w:rPr>
                    <w:t>污染物名称</w:t>
                  </w:r>
                </w:p>
              </w:tc>
              <w:tc>
                <w:tcPr>
                  <w:tcW w:w="713" w:type="pct"/>
                  <w:noWrap w:val="0"/>
                  <w:vAlign w:val="center"/>
                </w:tcPr>
                <w:p w14:paraId="3AB4F0B2">
                  <w:pPr>
                    <w:jc w:val="center"/>
                    <w:rPr>
                      <w:color w:val="auto"/>
                      <w:szCs w:val="21"/>
                    </w:rPr>
                  </w:pPr>
                  <w:r>
                    <w:rPr>
                      <w:rFonts w:hint="eastAsia"/>
                      <w:color w:val="auto"/>
                      <w:szCs w:val="21"/>
                    </w:rPr>
                    <w:t>排放</w:t>
                  </w:r>
                  <w:r>
                    <w:rPr>
                      <w:color w:val="auto"/>
                      <w:szCs w:val="21"/>
                    </w:rPr>
                    <w:t>速率</w:t>
                  </w:r>
                </w:p>
                <w:p w14:paraId="1FAA67D0">
                  <w:pPr>
                    <w:jc w:val="center"/>
                    <w:rPr>
                      <w:color w:val="auto"/>
                      <w:szCs w:val="21"/>
                    </w:rPr>
                  </w:pPr>
                  <w:r>
                    <w:rPr>
                      <w:rFonts w:hint="eastAsia"/>
                      <w:color w:val="auto"/>
                      <w:szCs w:val="21"/>
                      <w:lang w:eastAsia="zh-CN"/>
                    </w:rPr>
                    <w:t>(</w:t>
                  </w:r>
                  <w:r>
                    <w:rPr>
                      <w:color w:val="auto"/>
                      <w:szCs w:val="21"/>
                    </w:rPr>
                    <w:t>kg/h</w:t>
                  </w:r>
                  <w:r>
                    <w:rPr>
                      <w:rFonts w:hint="eastAsia"/>
                      <w:color w:val="auto"/>
                      <w:szCs w:val="21"/>
                      <w:lang w:eastAsia="zh-CN"/>
                    </w:rPr>
                    <w:t>)</w:t>
                  </w:r>
                </w:p>
              </w:tc>
              <w:tc>
                <w:tcPr>
                  <w:tcW w:w="828" w:type="pct"/>
                  <w:noWrap w:val="0"/>
                  <w:vAlign w:val="center"/>
                </w:tcPr>
                <w:p w14:paraId="146DE404">
                  <w:pPr>
                    <w:jc w:val="center"/>
                    <w:rPr>
                      <w:color w:val="auto"/>
                      <w:szCs w:val="21"/>
                    </w:rPr>
                  </w:pPr>
                  <w:r>
                    <w:rPr>
                      <w:color w:val="auto"/>
                      <w:szCs w:val="21"/>
                    </w:rPr>
                    <w:t>标准限值（mg/m</w:t>
                  </w:r>
                  <w:r>
                    <w:rPr>
                      <w:color w:val="auto"/>
                      <w:szCs w:val="21"/>
                      <w:vertAlign w:val="superscript"/>
                    </w:rPr>
                    <w:t>3</w:t>
                  </w:r>
                  <w:r>
                    <w:rPr>
                      <w:color w:val="auto"/>
                      <w:szCs w:val="21"/>
                    </w:rPr>
                    <w:t>）</w:t>
                  </w:r>
                </w:p>
              </w:tc>
              <w:tc>
                <w:tcPr>
                  <w:tcW w:w="752" w:type="pct"/>
                  <w:noWrap w:val="0"/>
                  <w:vAlign w:val="center"/>
                </w:tcPr>
                <w:p w14:paraId="17DD8FB9">
                  <w:pPr>
                    <w:jc w:val="center"/>
                    <w:rPr>
                      <w:color w:val="auto"/>
                      <w:szCs w:val="21"/>
                    </w:rPr>
                  </w:pPr>
                  <w:r>
                    <w:rPr>
                      <w:color w:val="auto"/>
                      <w:szCs w:val="21"/>
                    </w:rPr>
                    <w:t>计算结果（m）</w:t>
                  </w:r>
                </w:p>
              </w:tc>
              <w:tc>
                <w:tcPr>
                  <w:tcW w:w="915" w:type="pct"/>
                  <w:noWrap w:val="0"/>
                  <w:vAlign w:val="center"/>
                </w:tcPr>
                <w:p w14:paraId="25664E13">
                  <w:pPr>
                    <w:jc w:val="center"/>
                    <w:rPr>
                      <w:color w:val="auto"/>
                      <w:szCs w:val="21"/>
                    </w:rPr>
                  </w:pPr>
                  <w:r>
                    <w:rPr>
                      <w:color w:val="auto"/>
                      <w:szCs w:val="21"/>
                    </w:rPr>
                    <w:t>卫生防护距离（m）</w:t>
                  </w:r>
                </w:p>
              </w:tc>
            </w:tr>
            <w:tr w14:paraId="7F67B063">
              <w:trPr>
                <w:trHeight w:val="505" w:hRule="atLeast"/>
                <w:jc w:val="center"/>
              </w:trPr>
              <w:tc>
                <w:tcPr>
                  <w:tcW w:w="942" w:type="pct"/>
                  <w:noWrap w:val="0"/>
                  <w:vAlign w:val="center"/>
                </w:tcPr>
                <w:p w14:paraId="03D85727">
                  <w:pPr>
                    <w:jc w:val="center"/>
                    <w:rPr>
                      <w:rFonts w:hint="eastAsia"/>
                      <w:color w:val="auto"/>
                      <w:szCs w:val="21"/>
                      <w:lang w:val="en-US" w:eastAsia="zh-CN"/>
                    </w:rPr>
                  </w:pPr>
                </w:p>
                <w:p w14:paraId="2037B2CE">
                  <w:pPr>
                    <w:jc w:val="center"/>
                    <w:rPr>
                      <w:color w:val="auto"/>
                      <w:kern w:val="2"/>
                      <w:sz w:val="21"/>
                      <w:szCs w:val="21"/>
                      <w:lang w:val="en-US" w:eastAsia="zh-CN" w:bidi="ar-SA"/>
                    </w:rPr>
                  </w:pPr>
                  <w:r>
                    <w:rPr>
                      <w:rFonts w:hint="eastAsia"/>
                      <w:color w:val="auto"/>
                      <w:szCs w:val="21"/>
                      <w:lang w:val="en-US" w:eastAsia="zh-CN"/>
                    </w:rPr>
                    <w:t>生产厂房</w:t>
                  </w:r>
                </w:p>
                <w:p w14:paraId="3681E262">
                  <w:pPr>
                    <w:jc w:val="center"/>
                    <w:rPr>
                      <w:rFonts w:hint="default" w:eastAsia="宋体"/>
                      <w:color w:val="auto"/>
                      <w:szCs w:val="21"/>
                      <w:lang w:val="en-US" w:eastAsia="zh-CN"/>
                    </w:rPr>
                  </w:pPr>
                </w:p>
              </w:tc>
              <w:tc>
                <w:tcPr>
                  <w:tcW w:w="847" w:type="pct"/>
                  <w:noWrap w:val="0"/>
                  <w:vAlign w:val="center"/>
                </w:tcPr>
                <w:p w14:paraId="3EFFC0CF">
                  <w:pPr>
                    <w:jc w:val="center"/>
                    <w:rPr>
                      <w:rFonts w:hint="default" w:eastAsia="宋体"/>
                      <w:color w:val="auto"/>
                      <w:kern w:val="2"/>
                      <w:sz w:val="21"/>
                      <w:szCs w:val="21"/>
                      <w:lang w:val="en-US" w:eastAsia="zh-CN" w:bidi="ar-SA"/>
                    </w:rPr>
                  </w:pPr>
                  <w:r>
                    <w:rPr>
                      <w:rFonts w:hint="eastAsia"/>
                      <w:color w:val="auto"/>
                      <w:szCs w:val="21"/>
                      <w:lang w:val="en-US" w:eastAsia="zh-CN"/>
                    </w:rPr>
                    <w:t>非甲烷总烃</w:t>
                  </w:r>
                </w:p>
              </w:tc>
              <w:tc>
                <w:tcPr>
                  <w:tcW w:w="1133" w:type="dxa"/>
                  <w:noWrap w:val="0"/>
                  <w:vAlign w:val="center"/>
                </w:tcPr>
                <w:p w14:paraId="2DA9CEA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b w:val="0"/>
                      <w:bCs/>
                      <w:i w:val="0"/>
                      <w:iCs w:val="0"/>
                      <w:color w:val="auto"/>
                      <w:kern w:val="0"/>
                      <w:sz w:val="21"/>
                      <w:szCs w:val="21"/>
                      <w:u w:val="none"/>
                      <w:lang w:val="en-US" w:eastAsia="zh-CN" w:bidi="ar"/>
                    </w:rPr>
                    <w:t>0.045</w:t>
                  </w:r>
                </w:p>
              </w:tc>
              <w:tc>
                <w:tcPr>
                  <w:tcW w:w="828" w:type="pct"/>
                  <w:noWrap w:val="0"/>
                  <w:vAlign w:val="center"/>
                </w:tcPr>
                <w:p w14:paraId="7D898359">
                  <w:pPr>
                    <w:tabs>
                      <w:tab w:val="left" w:pos="4680"/>
                    </w:tabs>
                    <w:adjustRightInd w:val="0"/>
                    <w:snapToGrid w:val="0"/>
                    <w:ind w:right="-48" w:rightChars="0"/>
                    <w:jc w:val="center"/>
                    <w:rPr>
                      <w:rFonts w:hint="eastAsia" w:eastAsia="宋体" w:cs="宋体"/>
                      <w:color w:val="auto"/>
                      <w:kern w:val="2"/>
                      <w:sz w:val="21"/>
                      <w:szCs w:val="21"/>
                      <w:lang w:val="en-US" w:eastAsia="zh-CN" w:bidi="ar-SA"/>
                    </w:rPr>
                  </w:pPr>
                  <w:r>
                    <w:rPr>
                      <w:rFonts w:hint="eastAsia" w:cs="宋体"/>
                      <w:color w:val="auto"/>
                      <w:szCs w:val="21"/>
                      <w:lang w:val="en-US" w:eastAsia="zh-CN"/>
                    </w:rPr>
                    <w:t>2</w:t>
                  </w:r>
                </w:p>
              </w:tc>
              <w:tc>
                <w:tcPr>
                  <w:tcW w:w="752" w:type="pct"/>
                  <w:noWrap w:val="0"/>
                  <w:vAlign w:val="center"/>
                </w:tcPr>
                <w:p w14:paraId="52047E23">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4.87</w:t>
                  </w:r>
                </w:p>
              </w:tc>
              <w:tc>
                <w:tcPr>
                  <w:tcW w:w="915" w:type="pct"/>
                  <w:noWrap w:val="0"/>
                  <w:vAlign w:val="center"/>
                </w:tcPr>
                <w:p w14:paraId="088DD1FB">
                  <w:pPr>
                    <w:jc w:val="center"/>
                    <w:rPr>
                      <w:rFonts w:hint="eastAsia"/>
                      <w:color w:val="auto"/>
                      <w:kern w:val="2"/>
                      <w:sz w:val="21"/>
                      <w:szCs w:val="21"/>
                      <w:lang w:val="en-US" w:eastAsia="zh-CN" w:bidi="ar-SA"/>
                    </w:rPr>
                  </w:pPr>
                  <w:r>
                    <w:rPr>
                      <w:rFonts w:hint="eastAsia"/>
                      <w:color w:val="auto"/>
                      <w:szCs w:val="21"/>
                      <w:lang w:val="en-US" w:eastAsia="zh-CN"/>
                    </w:rPr>
                    <w:t>50</w:t>
                  </w:r>
                </w:p>
              </w:tc>
            </w:tr>
            <w:tr w14:paraId="3B135BC8">
              <w:trPr>
                <w:trHeight w:val="397" w:hRule="atLeast"/>
                <w:jc w:val="center"/>
              </w:trPr>
              <w:tc>
                <w:tcPr>
                  <w:tcW w:w="942" w:type="pct"/>
                  <w:vMerge w:val="restart"/>
                  <w:noWrap w:val="0"/>
                  <w:vAlign w:val="center"/>
                </w:tcPr>
                <w:p w14:paraId="18C71C8D">
                  <w:pPr>
                    <w:jc w:val="center"/>
                    <w:rPr>
                      <w:rFonts w:hint="default" w:eastAsia="宋体"/>
                      <w:color w:val="auto"/>
                      <w:szCs w:val="21"/>
                      <w:lang w:val="en-US" w:eastAsia="zh-CN"/>
                    </w:rPr>
                  </w:pPr>
                  <w:r>
                    <w:rPr>
                      <w:rFonts w:hint="eastAsia"/>
                      <w:color w:val="auto"/>
                      <w:szCs w:val="21"/>
                      <w:lang w:val="en-US" w:eastAsia="zh-CN"/>
                    </w:rPr>
                    <w:t>污水处理站</w:t>
                  </w:r>
                </w:p>
              </w:tc>
              <w:tc>
                <w:tcPr>
                  <w:tcW w:w="847" w:type="pct"/>
                  <w:noWrap w:val="0"/>
                  <w:vAlign w:val="center"/>
                </w:tcPr>
                <w:p w14:paraId="782E2665">
                  <w:pPr>
                    <w:jc w:val="center"/>
                    <w:rPr>
                      <w:rFonts w:hint="default"/>
                      <w:color w:val="auto"/>
                      <w:szCs w:val="21"/>
                      <w:lang w:val="en-US" w:eastAsia="zh-CN"/>
                    </w:rPr>
                  </w:pPr>
                  <w:r>
                    <w:rPr>
                      <w:rFonts w:hint="eastAsia"/>
                      <w:color w:val="auto"/>
                      <w:szCs w:val="21"/>
                      <w:lang w:val="en-US" w:eastAsia="zh-CN"/>
                    </w:rPr>
                    <w:t>NH</w:t>
                  </w:r>
                  <w:r>
                    <w:rPr>
                      <w:rFonts w:hint="eastAsia"/>
                      <w:color w:val="auto"/>
                      <w:szCs w:val="21"/>
                      <w:vertAlign w:val="subscript"/>
                      <w:lang w:val="en-US" w:eastAsia="zh-CN"/>
                    </w:rPr>
                    <w:t>3</w:t>
                  </w:r>
                </w:p>
              </w:tc>
              <w:tc>
                <w:tcPr>
                  <w:tcW w:w="1133" w:type="dxa"/>
                  <w:noWrap w:val="0"/>
                  <w:vAlign w:val="center"/>
                </w:tcPr>
                <w:p w14:paraId="5C5159A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0.005</w:t>
                  </w:r>
                </w:p>
              </w:tc>
              <w:tc>
                <w:tcPr>
                  <w:tcW w:w="1316" w:type="dxa"/>
                  <w:noWrap w:val="0"/>
                  <w:vAlign w:val="center"/>
                </w:tcPr>
                <w:p w14:paraId="32784CDD">
                  <w:pPr>
                    <w:tabs>
                      <w:tab w:val="left" w:pos="4680"/>
                    </w:tabs>
                    <w:adjustRightInd w:val="0"/>
                    <w:snapToGrid w:val="0"/>
                    <w:ind w:right="-48" w:rightChars="0"/>
                    <w:jc w:val="center"/>
                    <w:rPr>
                      <w:rFonts w:hint="eastAsia" w:cs="宋体"/>
                      <w:color w:val="auto"/>
                      <w:szCs w:val="21"/>
                      <w:lang w:val="en-US" w:eastAsia="zh-CN"/>
                    </w:rPr>
                  </w:pPr>
                  <w:r>
                    <w:rPr>
                      <w:rFonts w:hint="eastAsia" w:cs="宋体"/>
                      <w:color w:val="auto"/>
                      <w:szCs w:val="21"/>
                      <w:lang w:val="en-US" w:eastAsia="zh-CN"/>
                    </w:rPr>
                    <w:t>1.0</w:t>
                  </w:r>
                </w:p>
              </w:tc>
              <w:tc>
                <w:tcPr>
                  <w:tcW w:w="752" w:type="pct"/>
                  <w:noWrap w:val="0"/>
                  <w:vAlign w:val="center"/>
                </w:tcPr>
                <w:p w14:paraId="0E895025">
                  <w:pPr>
                    <w:jc w:val="center"/>
                    <w:rPr>
                      <w:rFonts w:hint="default"/>
                      <w:color w:val="auto"/>
                      <w:kern w:val="2"/>
                      <w:sz w:val="21"/>
                      <w:szCs w:val="21"/>
                      <w:lang w:val="en-US" w:eastAsia="zh-CN" w:bidi="ar-SA"/>
                    </w:rPr>
                  </w:pPr>
                  <w:r>
                    <w:rPr>
                      <w:rFonts w:hint="eastAsia"/>
                      <w:color w:val="auto"/>
                      <w:kern w:val="2"/>
                      <w:sz w:val="21"/>
                      <w:szCs w:val="21"/>
                      <w:lang w:val="en-US" w:eastAsia="zh-CN" w:bidi="ar-SA"/>
                    </w:rPr>
                    <w:t>0.25</w:t>
                  </w:r>
                </w:p>
              </w:tc>
              <w:tc>
                <w:tcPr>
                  <w:tcW w:w="915" w:type="pct"/>
                  <w:noWrap w:val="0"/>
                  <w:vAlign w:val="center"/>
                </w:tcPr>
                <w:p w14:paraId="12FB375F">
                  <w:pPr>
                    <w:jc w:val="center"/>
                    <w:rPr>
                      <w:rFonts w:hint="default"/>
                      <w:color w:val="auto"/>
                      <w:szCs w:val="21"/>
                      <w:lang w:val="en-US" w:eastAsia="zh-CN"/>
                    </w:rPr>
                  </w:pPr>
                  <w:r>
                    <w:rPr>
                      <w:rFonts w:hint="eastAsia"/>
                      <w:color w:val="auto"/>
                      <w:szCs w:val="21"/>
                      <w:lang w:val="en-US" w:eastAsia="zh-CN"/>
                    </w:rPr>
                    <w:t>50</w:t>
                  </w:r>
                </w:p>
              </w:tc>
            </w:tr>
            <w:tr w14:paraId="71192D9B">
              <w:trPr>
                <w:trHeight w:val="397" w:hRule="atLeast"/>
                <w:jc w:val="center"/>
              </w:trPr>
              <w:tc>
                <w:tcPr>
                  <w:tcW w:w="942" w:type="pct"/>
                  <w:vMerge w:val="continue"/>
                  <w:noWrap w:val="0"/>
                  <w:vAlign w:val="center"/>
                </w:tcPr>
                <w:p w14:paraId="0BFBA098">
                  <w:pPr>
                    <w:jc w:val="center"/>
                    <w:rPr>
                      <w:rFonts w:hint="default" w:eastAsia="宋体"/>
                      <w:color w:val="auto"/>
                      <w:szCs w:val="21"/>
                      <w:lang w:val="en-US" w:eastAsia="zh-CN"/>
                    </w:rPr>
                  </w:pPr>
                </w:p>
              </w:tc>
              <w:tc>
                <w:tcPr>
                  <w:tcW w:w="847" w:type="pct"/>
                  <w:noWrap w:val="0"/>
                  <w:vAlign w:val="center"/>
                </w:tcPr>
                <w:p w14:paraId="2D990299">
                  <w:pPr>
                    <w:jc w:val="center"/>
                    <w:rPr>
                      <w:rFonts w:hint="default"/>
                      <w:color w:val="auto"/>
                      <w:szCs w:val="21"/>
                      <w:lang w:val="en-US" w:eastAsia="zh-CN"/>
                    </w:rPr>
                  </w:pPr>
                  <w:r>
                    <w:rPr>
                      <w:rFonts w:hint="eastAsia"/>
                      <w:color w:val="auto"/>
                      <w:szCs w:val="21"/>
                      <w:lang w:val="en-US" w:eastAsia="zh-CN"/>
                    </w:rPr>
                    <w:t>H</w:t>
                  </w:r>
                  <w:r>
                    <w:rPr>
                      <w:rFonts w:hint="eastAsia"/>
                      <w:color w:val="auto"/>
                      <w:szCs w:val="21"/>
                      <w:vertAlign w:val="subscript"/>
                      <w:lang w:val="en-US" w:eastAsia="zh-CN"/>
                    </w:rPr>
                    <w:t>2</w:t>
                  </w:r>
                  <w:r>
                    <w:rPr>
                      <w:rFonts w:hint="eastAsia"/>
                      <w:color w:val="auto"/>
                      <w:szCs w:val="21"/>
                      <w:lang w:val="en-US" w:eastAsia="zh-CN"/>
                    </w:rPr>
                    <w:t>S</w:t>
                  </w:r>
                </w:p>
              </w:tc>
              <w:tc>
                <w:tcPr>
                  <w:tcW w:w="1133" w:type="dxa"/>
                  <w:noWrap w:val="0"/>
                  <w:vAlign w:val="center"/>
                </w:tcPr>
                <w:p w14:paraId="0D63D52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0.0002</w:t>
                  </w:r>
                </w:p>
              </w:tc>
              <w:tc>
                <w:tcPr>
                  <w:tcW w:w="1316" w:type="dxa"/>
                  <w:noWrap w:val="0"/>
                  <w:vAlign w:val="center"/>
                </w:tcPr>
                <w:p w14:paraId="2FF5F414">
                  <w:pPr>
                    <w:tabs>
                      <w:tab w:val="left" w:pos="4680"/>
                    </w:tabs>
                    <w:adjustRightInd w:val="0"/>
                    <w:snapToGrid w:val="0"/>
                    <w:ind w:right="-48" w:rightChars="0"/>
                    <w:jc w:val="center"/>
                    <w:rPr>
                      <w:rFonts w:hint="eastAsia" w:cs="宋体"/>
                      <w:color w:val="auto"/>
                      <w:szCs w:val="21"/>
                      <w:lang w:val="en-US" w:eastAsia="zh-CN"/>
                    </w:rPr>
                  </w:pPr>
                  <w:r>
                    <w:rPr>
                      <w:rFonts w:hint="eastAsia" w:cs="宋体"/>
                      <w:color w:val="auto"/>
                      <w:szCs w:val="21"/>
                      <w:lang w:val="en-US" w:eastAsia="zh-CN"/>
                    </w:rPr>
                    <w:t>0.05</w:t>
                  </w:r>
                </w:p>
              </w:tc>
              <w:tc>
                <w:tcPr>
                  <w:tcW w:w="752" w:type="pct"/>
                  <w:noWrap w:val="0"/>
                  <w:vAlign w:val="center"/>
                </w:tcPr>
                <w:p w14:paraId="4B4EAAAD">
                  <w:pPr>
                    <w:jc w:val="center"/>
                    <w:rPr>
                      <w:rFonts w:hint="default"/>
                      <w:color w:val="auto"/>
                      <w:kern w:val="2"/>
                      <w:sz w:val="21"/>
                      <w:szCs w:val="21"/>
                      <w:lang w:val="en-US" w:eastAsia="zh-CN" w:bidi="ar-SA"/>
                    </w:rPr>
                  </w:pPr>
                  <w:r>
                    <w:rPr>
                      <w:rFonts w:hint="eastAsia"/>
                      <w:color w:val="auto"/>
                      <w:kern w:val="2"/>
                      <w:sz w:val="21"/>
                      <w:szCs w:val="21"/>
                      <w:lang w:val="en-US" w:eastAsia="zh-CN" w:bidi="ar-SA"/>
                    </w:rPr>
                    <w:t>0.18</w:t>
                  </w:r>
                </w:p>
              </w:tc>
              <w:tc>
                <w:tcPr>
                  <w:tcW w:w="915" w:type="pct"/>
                  <w:noWrap w:val="0"/>
                  <w:vAlign w:val="center"/>
                </w:tcPr>
                <w:p w14:paraId="27239BB9">
                  <w:pPr>
                    <w:jc w:val="center"/>
                    <w:rPr>
                      <w:rFonts w:hint="default"/>
                      <w:color w:val="auto"/>
                      <w:szCs w:val="21"/>
                      <w:lang w:val="en-US" w:eastAsia="zh-CN"/>
                    </w:rPr>
                  </w:pPr>
                  <w:r>
                    <w:rPr>
                      <w:rFonts w:hint="eastAsia"/>
                      <w:color w:val="auto"/>
                      <w:szCs w:val="21"/>
                      <w:lang w:val="en-US" w:eastAsia="zh-CN"/>
                    </w:rPr>
                    <w:t>50</w:t>
                  </w:r>
                </w:p>
              </w:tc>
            </w:tr>
          </w:tbl>
          <w:p w14:paraId="3E858A93">
            <w:pPr>
              <w:pStyle w:val="17"/>
              <w:keepNext w:val="0"/>
              <w:keepLines w:val="0"/>
              <w:pageBreakBefore w:val="0"/>
              <w:widowControl w:val="0"/>
              <w:kinsoku/>
              <w:wordWrap/>
              <w:overflowPunct/>
              <w:topLinePunct w:val="0"/>
              <w:autoSpaceDE w:val="0"/>
              <w:autoSpaceDN w:val="0"/>
              <w:bidi w:val="0"/>
              <w:adjustRightInd w:val="0"/>
              <w:snapToGrid/>
              <w:spacing w:line="360" w:lineRule="auto"/>
              <w:ind w:firstLine="456" w:firstLineChars="200"/>
              <w:textAlignment w:val="auto"/>
              <w:rPr>
                <w:rFonts w:ascii="Times New Roman" w:hAnsi="Times New Roman" w:cs="Times New Roman"/>
                <w:b w:val="0"/>
                <w:bCs/>
                <w:color w:val="auto"/>
                <w:sz w:val="24"/>
              </w:rPr>
            </w:pPr>
            <w:r>
              <w:rPr>
                <w:rFonts w:hint="eastAsia" w:ascii="Times New Roman" w:hAnsi="Times New Roman"/>
                <w:b w:val="0"/>
                <w:bCs/>
                <w:color w:val="auto"/>
                <w:spacing w:val="-6"/>
                <w:sz w:val="24"/>
                <w:lang w:val="en-US" w:eastAsia="zh-CN"/>
              </w:rPr>
              <w:t>根据计算结果</w:t>
            </w:r>
            <w:r>
              <w:rPr>
                <w:rFonts w:ascii="Times New Roman" w:hAnsi="Times New Roman"/>
                <w:b w:val="0"/>
                <w:bCs/>
                <w:color w:val="auto"/>
                <w:spacing w:val="-6"/>
                <w:sz w:val="24"/>
              </w:rPr>
              <w:t>，</w:t>
            </w:r>
            <w:r>
              <w:rPr>
                <w:rFonts w:ascii="Times New Roman" w:hAnsi="Times New Roman" w:cs="Times New Roman"/>
                <w:b w:val="0"/>
                <w:bCs/>
                <w:color w:val="auto"/>
                <w:sz w:val="24"/>
              </w:rPr>
              <w:t>本项目</w:t>
            </w:r>
            <w:r>
              <w:rPr>
                <w:rFonts w:hint="eastAsia" w:ascii="Times New Roman" w:hAnsi="Times New Roman" w:cs="Times New Roman"/>
                <w:b w:val="0"/>
                <w:bCs/>
                <w:color w:val="auto"/>
                <w:sz w:val="24"/>
                <w:lang w:val="en-US" w:eastAsia="zh-CN"/>
              </w:rPr>
              <w:t>以</w:t>
            </w:r>
            <w:r>
              <w:rPr>
                <w:rFonts w:hint="eastAsia" w:ascii="Times New Roman" w:hAnsi="Times New Roman"/>
                <w:b w:val="0"/>
                <w:bCs/>
                <w:color w:val="auto"/>
                <w:spacing w:val="-6"/>
                <w:sz w:val="24"/>
                <w:lang w:val="en-US" w:eastAsia="zh-CN"/>
              </w:rPr>
              <w:t>生产</w:t>
            </w:r>
            <w:r>
              <w:rPr>
                <w:rFonts w:hint="eastAsia" w:ascii="Times New Roman" w:hAnsi="Times New Roman" w:cs="Times New Roman"/>
                <w:b w:val="0"/>
                <w:bCs/>
                <w:color w:val="auto"/>
                <w:sz w:val="24"/>
                <w:lang w:val="en-US" w:eastAsia="zh-CN"/>
              </w:rPr>
              <w:t>厂房边界</w:t>
            </w:r>
            <w:r>
              <w:rPr>
                <w:rFonts w:hint="eastAsia" w:ascii="Times New Roman" w:hAnsi="Times New Roman" w:cs="Times New Roman"/>
                <w:b w:val="0"/>
                <w:bCs/>
                <w:color w:val="auto"/>
                <w:sz w:val="24"/>
              </w:rPr>
              <w:t>为起点</w:t>
            </w:r>
            <w:r>
              <w:rPr>
                <w:rFonts w:ascii="Times New Roman" w:hAnsi="Times New Roman" w:cs="Times New Roman"/>
                <w:b w:val="0"/>
                <w:bCs/>
                <w:color w:val="auto"/>
                <w:sz w:val="24"/>
              </w:rPr>
              <w:t>设置</w:t>
            </w:r>
            <w:r>
              <w:rPr>
                <w:rFonts w:hint="eastAsia" w:ascii="Times New Roman" w:hAnsi="Times New Roman" w:cs="Times New Roman"/>
                <w:b w:val="0"/>
                <w:bCs/>
                <w:color w:val="auto"/>
                <w:sz w:val="24"/>
                <w:lang w:val="en-US" w:eastAsia="zh-CN"/>
              </w:rPr>
              <w:t>50</w:t>
            </w:r>
            <w:r>
              <w:rPr>
                <w:rFonts w:hint="eastAsia" w:ascii="Times New Roman" w:hAnsi="Times New Roman" w:cs="Times New Roman"/>
                <w:b w:val="0"/>
                <w:bCs/>
                <w:color w:val="auto"/>
                <w:sz w:val="24"/>
              </w:rPr>
              <w:t>m的</w:t>
            </w:r>
            <w:r>
              <w:rPr>
                <w:rFonts w:ascii="Times New Roman" w:hAnsi="Times New Roman" w:cs="Times New Roman"/>
                <w:b w:val="0"/>
                <w:bCs/>
                <w:color w:val="auto"/>
                <w:sz w:val="24"/>
              </w:rPr>
              <w:t>卫生防护距离</w:t>
            </w:r>
            <w:r>
              <w:rPr>
                <w:rFonts w:hint="eastAsia" w:ascii="Times New Roman" w:hAnsi="Times New Roman" w:cs="Times New Roman"/>
                <w:b w:val="0"/>
                <w:bCs/>
                <w:color w:val="auto"/>
                <w:sz w:val="24"/>
                <w:lang w:eastAsia="zh-CN"/>
              </w:rPr>
              <w:t>、</w:t>
            </w:r>
            <w:r>
              <w:rPr>
                <w:rFonts w:hint="eastAsia" w:ascii="Times New Roman" w:hAnsi="Times New Roman" w:cs="Times New Roman"/>
                <w:b w:val="0"/>
                <w:bCs/>
                <w:color w:val="auto"/>
                <w:sz w:val="24"/>
                <w:lang w:val="en-US" w:eastAsia="zh-CN"/>
              </w:rPr>
              <w:t>以污水处理站边界为起点设置100m卫生防护距离</w:t>
            </w:r>
            <w:r>
              <w:rPr>
                <w:rFonts w:hint="eastAsia" w:ascii="Times New Roman" w:hAnsi="Times New Roman" w:cs="Times New Roman"/>
                <w:b w:val="0"/>
                <w:bCs/>
                <w:color w:val="auto"/>
                <w:sz w:val="24"/>
                <w:lang w:eastAsia="zh-CN"/>
              </w:rPr>
              <w:t>，</w:t>
            </w:r>
            <w:r>
              <w:rPr>
                <w:rFonts w:ascii="Times New Roman" w:hAnsi="Times New Roman" w:cs="Times New Roman"/>
                <w:b w:val="0"/>
                <w:bCs/>
                <w:color w:val="auto"/>
                <w:kern w:val="0"/>
                <w:sz w:val="24"/>
              </w:rPr>
              <w:t>根据实地</w:t>
            </w:r>
            <w:r>
              <w:rPr>
                <w:rFonts w:hint="eastAsia" w:ascii="Times New Roman" w:hAnsi="Times New Roman" w:cs="Times New Roman"/>
                <w:b w:val="0"/>
                <w:bCs/>
                <w:color w:val="auto"/>
                <w:kern w:val="0"/>
                <w:sz w:val="24"/>
              </w:rPr>
              <w:t>勘察</w:t>
            </w:r>
            <w:r>
              <w:rPr>
                <w:rFonts w:ascii="Times New Roman" w:hAnsi="Times New Roman" w:cs="Times New Roman"/>
                <w:b w:val="0"/>
                <w:bCs/>
                <w:color w:val="auto"/>
                <w:kern w:val="0"/>
                <w:sz w:val="24"/>
              </w:rPr>
              <w:t>，</w:t>
            </w:r>
            <w:r>
              <w:rPr>
                <w:rFonts w:hint="eastAsia" w:ascii="Times New Roman" w:hAnsi="Times New Roman" w:cs="Times New Roman"/>
                <w:b w:val="0"/>
                <w:bCs/>
                <w:color w:val="auto"/>
                <w:kern w:val="0"/>
                <w:sz w:val="24"/>
              </w:rPr>
              <w:t>本项目卫生防护距离范围内</w:t>
            </w:r>
            <w:r>
              <w:rPr>
                <w:rFonts w:ascii="Times New Roman" w:hAnsi="Times New Roman" w:cs="Times New Roman"/>
                <w:b w:val="0"/>
                <w:bCs/>
                <w:color w:val="auto"/>
                <w:kern w:val="0"/>
                <w:sz w:val="24"/>
              </w:rPr>
              <w:t>目前无居民、学校、医院等</w:t>
            </w:r>
            <w:r>
              <w:rPr>
                <w:rFonts w:hint="eastAsia" w:ascii="Times New Roman" w:hAnsi="Times New Roman" w:cs="Times New Roman"/>
                <w:b w:val="0"/>
                <w:bCs/>
                <w:color w:val="auto"/>
                <w:kern w:val="0"/>
                <w:sz w:val="24"/>
              </w:rPr>
              <w:t>环境</w:t>
            </w:r>
            <w:r>
              <w:rPr>
                <w:rFonts w:ascii="Times New Roman" w:hAnsi="Times New Roman" w:cs="Times New Roman"/>
                <w:b w:val="0"/>
                <w:bCs/>
                <w:color w:val="auto"/>
                <w:kern w:val="0"/>
                <w:sz w:val="24"/>
              </w:rPr>
              <w:t>保护</w:t>
            </w:r>
            <w:r>
              <w:rPr>
                <w:rFonts w:hint="eastAsia" w:ascii="Times New Roman" w:hAnsi="Times New Roman" w:cs="Times New Roman"/>
                <w:b w:val="0"/>
                <w:bCs/>
                <w:color w:val="auto"/>
                <w:kern w:val="0"/>
                <w:sz w:val="24"/>
              </w:rPr>
              <w:t>敏感</w:t>
            </w:r>
            <w:r>
              <w:rPr>
                <w:rFonts w:ascii="Times New Roman" w:hAnsi="Times New Roman" w:cs="Times New Roman"/>
                <w:b w:val="0"/>
                <w:bCs/>
                <w:color w:val="auto"/>
                <w:kern w:val="0"/>
                <w:sz w:val="24"/>
              </w:rPr>
              <w:t>目标，今后该范围内不得规划新建住宅、学校、医院等环境保护敏感目标。本项目卫生防护包络线图详见附图</w:t>
            </w:r>
            <w:r>
              <w:rPr>
                <w:rFonts w:hint="eastAsia" w:ascii="Times New Roman" w:hAnsi="Times New Roman" w:cs="Times New Roman"/>
                <w:b w:val="0"/>
                <w:bCs/>
                <w:color w:val="auto"/>
                <w:kern w:val="0"/>
                <w:sz w:val="24"/>
                <w:lang w:val="en-US" w:eastAsia="zh-CN"/>
              </w:rPr>
              <w:t>6</w:t>
            </w:r>
            <w:r>
              <w:rPr>
                <w:rFonts w:ascii="Times New Roman" w:hAnsi="Times New Roman" w:cs="Times New Roman"/>
                <w:b w:val="0"/>
                <w:bCs/>
                <w:color w:val="auto"/>
                <w:kern w:val="0"/>
                <w:sz w:val="24"/>
              </w:rPr>
              <w:t>。</w:t>
            </w:r>
          </w:p>
          <w:p w14:paraId="2A9563B3">
            <w:pPr>
              <w:pStyle w:val="17"/>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ascii="Times New Roman" w:hAnsi="Times New Roman" w:cs="Times New Roman"/>
                <w:b w:val="0"/>
                <w:bCs/>
                <w:color w:val="auto"/>
              </w:rPr>
            </w:pPr>
            <w:r>
              <w:rPr>
                <w:rFonts w:hint="eastAsia" w:ascii="Times New Roman" w:hAnsi="Times New Roman" w:cs="Times New Roman"/>
                <w:b w:val="0"/>
                <w:bCs/>
                <w:color w:val="auto"/>
                <w:lang w:val="en-US" w:eastAsia="zh-CN"/>
              </w:rPr>
              <w:t>5.</w:t>
            </w:r>
            <w:r>
              <w:rPr>
                <w:rFonts w:ascii="Times New Roman" w:hAnsi="Times New Roman" w:cs="Times New Roman"/>
                <w:b w:val="0"/>
                <w:bCs/>
                <w:color w:val="auto"/>
              </w:rPr>
              <w:t>废气污染源监测要求</w:t>
            </w:r>
          </w:p>
          <w:p w14:paraId="5669343B">
            <w:pPr>
              <w:pStyle w:val="16"/>
              <w:keepNext w:val="0"/>
              <w:keepLines w:val="0"/>
              <w:pageBreakBefore w:val="0"/>
              <w:widowControl w:val="0"/>
              <w:kinsoku/>
              <w:wordWrap/>
              <w:overflowPunct/>
              <w:topLinePunct w:val="0"/>
              <w:bidi w:val="0"/>
              <w:snapToGrid/>
              <w:spacing w:after="0" w:line="360" w:lineRule="auto"/>
              <w:ind w:left="0" w:leftChars="0" w:firstLine="480"/>
              <w:textAlignment w:val="auto"/>
              <w:rPr>
                <w:color w:val="auto"/>
                <w:szCs w:val="24"/>
              </w:rPr>
            </w:pPr>
            <w:r>
              <w:rPr>
                <w:rFonts w:hint="eastAsia"/>
                <w:color w:val="auto"/>
                <w:szCs w:val="24"/>
              </w:rPr>
              <w:t>根据《排污单位自行监测技术指南总则》（HJ819-2017）</w:t>
            </w:r>
            <w:r>
              <w:rPr>
                <w:rFonts w:hint="eastAsia"/>
                <w:color w:val="auto"/>
                <w:szCs w:val="24"/>
                <w:lang w:eastAsia="zh-CN"/>
              </w:rPr>
              <w:t>、</w:t>
            </w:r>
            <w:r>
              <w:rPr>
                <w:rFonts w:hint="eastAsia" w:ascii="Times New Roman" w:hAnsi="Times New Roman" w:cs="Times New Roman"/>
                <w:color w:val="auto"/>
              </w:rPr>
              <w:t>《排污单位自行监测技术指南 橡胶和塑料制品》（HJ1207-2021）、《排污单位自行监测技术指南 酒、饮料制造》（HJ1085</w:t>
            </w:r>
            <w:r>
              <w:rPr>
                <w:rFonts w:hint="eastAsia" w:cs="Times New Roman"/>
                <w:color w:val="auto"/>
                <w:lang w:eastAsia="zh-CN"/>
              </w:rPr>
              <w:t>-</w:t>
            </w:r>
            <w:r>
              <w:rPr>
                <w:rFonts w:hint="eastAsia" w:ascii="Times New Roman" w:hAnsi="Times New Roman" w:cs="Times New Roman"/>
                <w:color w:val="auto"/>
              </w:rPr>
              <w:t>2020）</w:t>
            </w:r>
            <w:r>
              <w:rPr>
                <w:rFonts w:hint="eastAsia"/>
                <w:color w:val="auto"/>
              </w:rPr>
              <w:t>中相关规定</w:t>
            </w:r>
            <w:r>
              <w:rPr>
                <w:color w:val="auto"/>
                <w:szCs w:val="24"/>
              </w:rPr>
              <w:t>，本项目营运期废气应进行常规自行监测，废气污染因子监测要求如下表。</w:t>
            </w:r>
          </w:p>
          <w:p w14:paraId="4A389B86">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b/>
                <w:bCs/>
                <w:color w:val="auto"/>
                <w:sz w:val="21"/>
                <w:szCs w:val="21"/>
              </w:rPr>
            </w:pPr>
            <w:r>
              <w:rPr>
                <w:rFonts w:hint="eastAsia"/>
                <w:b/>
                <w:bCs/>
                <w:color w:val="auto"/>
                <w:sz w:val="21"/>
                <w:szCs w:val="21"/>
              </w:rPr>
              <w:t>表4-</w:t>
            </w:r>
            <w:r>
              <w:rPr>
                <w:rFonts w:hint="eastAsia"/>
                <w:b/>
                <w:bCs/>
                <w:color w:val="auto"/>
                <w:sz w:val="21"/>
                <w:szCs w:val="21"/>
                <w:lang w:val="en-US" w:eastAsia="zh-CN"/>
              </w:rPr>
              <w:t xml:space="preserve">9  </w:t>
            </w:r>
            <w:r>
              <w:rPr>
                <w:rFonts w:hint="eastAsia"/>
                <w:b/>
                <w:bCs/>
                <w:color w:val="auto"/>
                <w:sz w:val="21"/>
                <w:szCs w:val="21"/>
              </w:rPr>
              <w:t>本项目废气监测要求一览表</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28"/>
              <w:gridCol w:w="1501"/>
              <w:gridCol w:w="1558"/>
              <w:gridCol w:w="1529"/>
              <w:gridCol w:w="2427"/>
            </w:tblGrid>
            <w:tr w14:paraId="0DB3F2B8">
              <w:trPr>
                <w:trHeight w:val="454" w:hRule="atLeast"/>
                <w:jc w:val="center"/>
              </w:trPr>
              <w:tc>
                <w:tcPr>
                  <w:tcW w:w="584" w:type="pct"/>
                  <w:noWrap w:val="0"/>
                  <w:vAlign w:val="center"/>
                </w:tcPr>
                <w:p w14:paraId="50A80EBE">
                  <w:pPr>
                    <w:pStyle w:val="16"/>
                    <w:spacing w:after="0"/>
                    <w:ind w:left="0" w:leftChars="0" w:firstLine="0" w:firstLineChars="0"/>
                    <w:jc w:val="center"/>
                    <w:rPr>
                      <w:color w:val="auto"/>
                      <w:sz w:val="21"/>
                      <w:szCs w:val="21"/>
                    </w:rPr>
                  </w:pPr>
                  <w:r>
                    <w:rPr>
                      <w:rFonts w:hint="eastAsia"/>
                      <w:color w:val="auto"/>
                      <w:sz w:val="21"/>
                      <w:szCs w:val="21"/>
                    </w:rPr>
                    <w:t>序号</w:t>
                  </w:r>
                </w:p>
              </w:tc>
              <w:tc>
                <w:tcPr>
                  <w:tcW w:w="944" w:type="pct"/>
                  <w:noWrap w:val="0"/>
                  <w:vAlign w:val="center"/>
                </w:tcPr>
                <w:p w14:paraId="68CC7129">
                  <w:pPr>
                    <w:pStyle w:val="16"/>
                    <w:spacing w:after="0"/>
                    <w:ind w:left="0" w:leftChars="0" w:firstLine="0" w:firstLineChars="0"/>
                    <w:jc w:val="center"/>
                    <w:rPr>
                      <w:color w:val="auto"/>
                      <w:sz w:val="21"/>
                      <w:szCs w:val="21"/>
                    </w:rPr>
                  </w:pPr>
                  <w:r>
                    <w:rPr>
                      <w:rFonts w:hint="eastAsia"/>
                      <w:color w:val="auto"/>
                      <w:sz w:val="21"/>
                      <w:szCs w:val="21"/>
                    </w:rPr>
                    <w:t>监测点位</w:t>
                  </w:r>
                </w:p>
              </w:tc>
              <w:tc>
                <w:tcPr>
                  <w:tcW w:w="980" w:type="pct"/>
                  <w:noWrap w:val="0"/>
                  <w:vAlign w:val="center"/>
                </w:tcPr>
                <w:p w14:paraId="0A410173">
                  <w:pPr>
                    <w:pStyle w:val="16"/>
                    <w:spacing w:after="0"/>
                    <w:ind w:left="0" w:leftChars="0" w:firstLine="0" w:firstLineChars="0"/>
                    <w:jc w:val="center"/>
                    <w:rPr>
                      <w:color w:val="auto"/>
                      <w:sz w:val="21"/>
                      <w:szCs w:val="21"/>
                    </w:rPr>
                  </w:pPr>
                  <w:r>
                    <w:rPr>
                      <w:rFonts w:hint="eastAsia"/>
                      <w:color w:val="auto"/>
                      <w:sz w:val="21"/>
                      <w:szCs w:val="21"/>
                    </w:rPr>
                    <w:t>监测因子</w:t>
                  </w:r>
                </w:p>
              </w:tc>
              <w:tc>
                <w:tcPr>
                  <w:tcW w:w="962" w:type="pct"/>
                  <w:noWrap w:val="0"/>
                  <w:vAlign w:val="center"/>
                </w:tcPr>
                <w:p w14:paraId="265B26D9">
                  <w:pPr>
                    <w:pStyle w:val="16"/>
                    <w:spacing w:after="0"/>
                    <w:ind w:left="0" w:leftChars="0" w:firstLine="0" w:firstLineChars="0"/>
                    <w:jc w:val="center"/>
                    <w:rPr>
                      <w:color w:val="auto"/>
                      <w:sz w:val="21"/>
                      <w:szCs w:val="21"/>
                    </w:rPr>
                  </w:pPr>
                  <w:r>
                    <w:rPr>
                      <w:rFonts w:hint="eastAsia"/>
                      <w:color w:val="auto"/>
                      <w:sz w:val="21"/>
                      <w:szCs w:val="21"/>
                    </w:rPr>
                    <w:t>监测频次</w:t>
                  </w:r>
                </w:p>
              </w:tc>
              <w:tc>
                <w:tcPr>
                  <w:tcW w:w="1527" w:type="pct"/>
                  <w:noWrap w:val="0"/>
                  <w:vAlign w:val="center"/>
                </w:tcPr>
                <w:p w14:paraId="15C95258">
                  <w:pPr>
                    <w:pStyle w:val="16"/>
                    <w:spacing w:after="0"/>
                    <w:ind w:left="0" w:leftChars="0" w:firstLine="0" w:firstLineChars="0"/>
                    <w:jc w:val="center"/>
                    <w:rPr>
                      <w:color w:val="auto"/>
                      <w:sz w:val="21"/>
                      <w:szCs w:val="21"/>
                    </w:rPr>
                  </w:pPr>
                  <w:r>
                    <w:rPr>
                      <w:rFonts w:hint="eastAsia"/>
                      <w:color w:val="auto"/>
                      <w:sz w:val="21"/>
                      <w:szCs w:val="21"/>
                    </w:rPr>
                    <w:t>执行标准</w:t>
                  </w:r>
                </w:p>
              </w:tc>
            </w:tr>
            <w:tr w14:paraId="52667C1B">
              <w:trPr>
                <w:trHeight w:val="454" w:hRule="atLeast"/>
                <w:jc w:val="center"/>
              </w:trPr>
              <w:tc>
                <w:tcPr>
                  <w:tcW w:w="584" w:type="pct"/>
                  <w:noWrap w:val="0"/>
                  <w:vAlign w:val="center"/>
                </w:tcPr>
                <w:p w14:paraId="22F2E506">
                  <w:pPr>
                    <w:pStyle w:val="16"/>
                    <w:numPr>
                      <w:ilvl w:val="0"/>
                      <w:numId w:val="22"/>
                    </w:numPr>
                    <w:spacing w:after="0"/>
                    <w:ind w:left="0" w:leftChars="0" w:firstLine="0" w:firstLineChars="0"/>
                    <w:jc w:val="center"/>
                    <w:rPr>
                      <w:color w:val="auto"/>
                      <w:sz w:val="21"/>
                      <w:szCs w:val="21"/>
                    </w:rPr>
                  </w:pPr>
                </w:p>
              </w:tc>
              <w:tc>
                <w:tcPr>
                  <w:tcW w:w="944" w:type="pct"/>
                  <w:noWrap w:val="0"/>
                  <w:vAlign w:val="center"/>
                </w:tcPr>
                <w:p w14:paraId="71B8A028">
                  <w:pPr>
                    <w:pStyle w:val="16"/>
                    <w:spacing w:after="0"/>
                    <w:ind w:left="0" w:leftChars="0" w:firstLine="0" w:firstLineChars="0"/>
                    <w:jc w:val="center"/>
                    <w:rPr>
                      <w:color w:val="auto"/>
                      <w:sz w:val="21"/>
                      <w:szCs w:val="21"/>
                    </w:rPr>
                  </w:pPr>
                  <w:r>
                    <w:rPr>
                      <w:rFonts w:hint="eastAsia"/>
                      <w:color w:val="auto"/>
                      <w:sz w:val="21"/>
                      <w:szCs w:val="21"/>
                    </w:rPr>
                    <w:t>DA001</w:t>
                  </w:r>
                </w:p>
              </w:tc>
              <w:tc>
                <w:tcPr>
                  <w:tcW w:w="980" w:type="pct"/>
                  <w:noWrap w:val="0"/>
                  <w:vAlign w:val="center"/>
                </w:tcPr>
                <w:p w14:paraId="216C7D9A">
                  <w:pPr>
                    <w:pStyle w:val="16"/>
                    <w:spacing w:after="0"/>
                    <w:ind w:left="0" w:leftChars="0" w:firstLine="0" w:firstLineChars="0"/>
                    <w:jc w:val="center"/>
                    <w:rPr>
                      <w:rFonts w:hint="default"/>
                      <w:color w:val="auto"/>
                      <w:sz w:val="21"/>
                      <w:szCs w:val="21"/>
                      <w:lang w:val="en-US" w:eastAsia="zh-CN"/>
                    </w:rPr>
                  </w:pPr>
                  <w:r>
                    <w:rPr>
                      <w:rFonts w:hint="eastAsia"/>
                      <w:color w:val="auto"/>
                      <w:sz w:val="21"/>
                      <w:szCs w:val="21"/>
                      <w:lang w:val="en-US" w:eastAsia="zh-CN"/>
                    </w:rPr>
                    <w:t>非甲烷总烃</w:t>
                  </w:r>
                </w:p>
              </w:tc>
              <w:tc>
                <w:tcPr>
                  <w:tcW w:w="962" w:type="pct"/>
                  <w:noWrap w:val="0"/>
                  <w:vAlign w:val="center"/>
                </w:tcPr>
                <w:p w14:paraId="68935A37">
                  <w:pPr>
                    <w:pStyle w:val="16"/>
                    <w:spacing w:after="0"/>
                    <w:ind w:left="0" w:leftChars="0" w:firstLine="0" w:firstLineChars="0"/>
                    <w:jc w:val="center"/>
                    <w:rPr>
                      <w:color w:val="auto"/>
                      <w:sz w:val="21"/>
                      <w:szCs w:val="21"/>
                    </w:rPr>
                  </w:pPr>
                  <w:r>
                    <w:rPr>
                      <w:rFonts w:hint="eastAsia"/>
                      <w:color w:val="auto"/>
                      <w:sz w:val="21"/>
                      <w:szCs w:val="21"/>
                    </w:rPr>
                    <w:t>1次/</w:t>
                  </w:r>
                  <w:r>
                    <w:rPr>
                      <w:rFonts w:hint="eastAsia"/>
                      <w:color w:val="auto"/>
                      <w:sz w:val="21"/>
                      <w:szCs w:val="21"/>
                      <w:lang w:val="en-US" w:eastAsia="zh-CN"/>
                    </w:rPr>
                    <w:t>半</w:t>
                  </w:r>
                  <w:r>
                    <w:rPr>
                      <w:rFonts w:hint="eastAsia"/>
                      <w:color w:val="auto"/>
                      <w:sz w:val="21"/>
                      <w:szCs w:val="21"/>
                    </w:rPr>
                    <w:t>年</w:t>
                  </w:r>
                </w:p>
              </w:tc>
              <w:tc>
                <w:tcPr>
                  <w:tcW w:w="1527" w:type="pct"/>
                  <w:noWrap w:val="0"/>
                  <w:vAlign w:val="center"/>
                </w:tcPr>
                <w:p w14:paraId="13547609">
                  <w:pPr>
                    <w:pStyle w:val="16"/>
                    <w:spacing w:after="0"/>
                    <w:ind w:left="0" w:leftChars="0" w:firstLine="0" w:firstLineChars="0"/>
                    <w:jc w:val="center"/>
                    <w:rPr>
                      <w:rFonts w:hint="eastAsia"/>
                      <w:color w:val="auto"/>
                      <w:sz w:val="21"/>
                      <w:szCs w:val="21"/>
                    </w:rPr>
                  </w:pPr>
                  <w:r>
                    <w:rPr>
                      <w:rFonts w:hint="eastAsia"/>
                      <w:color w:val="auto"/>
                      <w:sz w:val="21"/>
                      <w:szCs w:val="21"/>
                    </w:rPr>
                    <w:t>《大气污染物综合排放标准》（DB32/4041-2021）表1限值要求</w:t>
                  </w:r>
                </w:p>
              </w:tc>
            </w:tr>
            <w:tr w14:paraId="4F240426">
              <w:trPr>
                <w:trHeight w:val="454" w:hRule="atLeast"/>
                <w:jc w:val="center"/>
              </w:trPr>
              <w:tc>
                <w:tcPr>
                  <w:tcW w:w="584" w:type="pct"/>
                  <w:noWrap w:val="0"/>
                  <w:vAlign w:val="center"/>
                </w:tcPr>
                <w:p w14:paraId="42484125">
                  <w:pPr>
                    <w:pStyle w:val="16"/>
                    <w:numPr>
                      <w:ilvl w:val="0"/>
                      <w:numId w:val="22"/>
                    </w:numPr>
                    <w:spacing w:after="0"/>
                    <w:ind w:left="0" w:leftChars="0" w:firstLine="0" w:firstLineChars="0"/>
                    <w:jc w:val="center"/>
                    <w:rPr>
                      <w:rFonts w:hint="eastAsia" w:eastAsia="宋体"/>
                      <w:color w:val="auto"/>
                      <w:sz w:val="21"/>
                      <w:szCs w:val="21"/>
                      <w:lang w:val="en-US" w:eastAsia="zh-CN"/>
                    </w:rPr>
                  </w:pPr>
                </w:p>
              </w:tc>
              <w:tc>
                <w:tcPr>
                  <w:tcW w:w="944" w:type="pct"/>
                  <w:noWrap w:val="0"/>
                  <w:vAlign w:val="center"/>
                </w:tcPr>
                <w:p w14:paraId="7889BB32">
                  <w:pPr>
                    <w:pStyle w:val="16"/>
                    <w:spacing w:after="0"/>
                    <w:ind w:left="0" w:leftChars="0" w:firstLine="0" w:firstLineChars="0"/>
                    <w:jc w:val="center"/>
                    <w:rPr>
                      <w:rFonts w:hint="default" w:eastAsia="宋体"/>
                      <w:color w:val="auto"/>
                      <w:sz w:val="21"/>
                      <w:szCs w:val="21"/>
                      <w:lang w:val="en-US" w:eastAsia="zh-CN"/>
                    </w:rPr>
                  </w:pPr>
                  <w:r>
                    <w:rPr>
                      <w:rFonts w:hint="eastAsia"/>
                      <w:color w:val="auto"/>
                      <w:sz w:val="21"/>
                      <w:szCs w:val="21"/>
                      <w:lang w:val="en-US" w:eastAsia="zh-CN"/>
                    </w:rPr>
                    <w:t>DA002</w:t>
                  </w:r>
                </w:p>
              </w:tc>
              <w:tc>
                <w:tcPr>
                  <w:tcW w:w="980" w:type="pct"/>
                  <w:noWrap w:val="0"/>
                  <w:vAlign w:val="center"/>
                </w:tcPr>
                <w:p w14:paraId="5A03D913">
                  <w:pPr>
                    <w:pStyle w:val="16"/>
                    <w:spacing w:after="0"/>
                    <w:ind w:left="0" w:leftChars="0" w:firstLine="0" w:firstLineChars="0"/>
                    <w:jc w:val="center"/>
                    <w:rPr>
                      <w:rFonts w:hint="default"/>
                      <w:color w:val="auto"/>
                      <w:sz w:val="21"/>
                      <w:szCs w:val="21"/>
                      <w:lang w:val="en-US" w:eastAsia="zh-CN"/>
                    </w:rPr>
                  </w:pPr>
                  <w:r>
                    <w:rPr>
                      <w:rFonts w:hint="eastAsia"/>
                      <w:color w:val="auto"/>
                      <w:sz w:val="21"/>
                      <w:szCs w:val="21"/>
                      <w:lang w:val="en-US" w:eastAsia="zh-CN"/>
                    </w:rPr>
                    <w:t>非甲烷总烃</w:t>
                  </w:r>
                </w:p>
              </w:tc>
              <w:tc>
                <w:tcPr>
                  <w:tcW w:w="1529" w:type="dxa"/>
                  <w:noWrap w:val="0"/>
                  <w:vAlign w:val="center"/>
                </w:tcPr>
                <w:p w14:paraId="1E7D73A6">
                  <w:pPr>
                    <w:pStyle w:val="16"/>
                    <w:keepNext w:val="0"/>
                    <w:keepLines w:val="0"/>
                    <w:suppressLineNumbers w:val="0"/>
                    <w:spacing w:before="0" w:beforeAutospacing="0" w:after="0"/>
                    <w:ind w:left="0" w:leftChars="0" w:right="0" w:rightChars="0" w:firstLine="0" w:firstLineChars="0"/>
                    <w:jc w:val="center"/>
                    <w:rPr>
                      <w:rFonts w:hint="eastAsia"/>
                      <w:color w:val="auto"/>
                      <w:sz w:val="21"/>
                      <w:szCs w:val="21"/>
                    </w:rPr>
                  </w:pPr>
                  <w:r>
                    <w:rPr>
                      <w:color w:val="auto"/>
                      <w:sz w:val="21"/>
                      <w:szCs w:val="21"/>
                    </w:rPr>
                    <w:t>1次/半年</w:t>
                  </w:r>
                </w:p>
              </w:tc>
              <w:tc>
                <w:tcPr>
                  <w:tcW w:w="2427" w:type="dxa"/>
                  <w:noWrap w:val="0"/>
                  <w:vAlign w:val="center"/>
                </w:tcPr>
                <w:p w14:paraId="64313A05">
                  <w:pPr>
                    <w:pStyle w:val="16"/>
                    <w:spacing w:after="0"/>
                    <w:ind w:left="0" w:leftChars="0" w:firstLine="0" w:firstLineChars="0"/>
                    <w:jc w:val="center"/>
                    <w:rPr>
                      <w:rFonts w:hint="eastAsia"/>
                      <w:color w:val="auto"/>
                      <w:sz w:val="21"/>
                      <w:szCs w:val="21"/>
                    </w:rPr>
                  </w:pPr>
                  <w:r>
                    <w:rPr>
                      <w:rFonts w:hint="eastAsia"/>
                      <w:color w:val="auto"/>
                      <w:sz w:val="21"/>
                      <w:szCs w:val="21"/>
                    </w:rPr>
                    <w:t>《合成树脂工业污染物排放标准》（GB 31572-2015，含2024年修改单）</w:t>
                  </w:r>
                  <w:r>
                    <w:rPr>
                      <w:rFonts w:hint="eastAsia"/>
                      <w:color w:val="auto"/>
                      <w:sz w:val="21"/>
                      <w:szCs w:val="21"/>
                      <w:lang w:val="en-US" w:eastAsia="zh-CN"/>
                    </w:rPr>
                    <w:t>表5限值要求</w:t>
                  </w:r>
                </w:p>
              </w:tc>
            </w:tr>
            <w:tr w14:paraId="4DF2987D">
              <w:trPr>
                <w:trHeight w:val="454" w:hRule="atLeast"/>
                <w:jc w:val="center"/>
              </w:trPr>
              <w:tc>
                <w:tcPr>
                  <w:tcW w:w="584" w:type="pct"/>
                  <w:vMerge w:val="restart"/>
                  <w:noWrap w:val="0"/>
                  <w:vAlign w:val="center"/>
                </w:tcPr>
                <w:p w14:paraId="2DC58EDF">
                  <w:pPr>
                    <w:pStyle w:val="16"/>
                    <w:numPr>
                      <w:ilvl w:val="0"/>
                      <w:numId w:val="22"/>
                    </w:numPr>
                    <w:spacing w:after="0"/>
                    <w:ind w:left="0" w:leftChars="0" w:firstLine="0" w:firstLineChars="0"/>
                    <w:jc w:val="center"/>
                    <w:rPr>
                      <w:rFonts w:hint="eastAsia" w:eastAsia="宋体"/>
                      <w:color w:val="auto"/>
                      <w:kern w:val="0"/>
                      <w:sz w:val="21"/>
                      <w:szCs w:val="21"/>
                      <w:lang w:val="en-US" w:eastAsia="zh-CN" w:bidi="ar-SA"/>
                    </w:rPr>
                  </w:pPr>
                </w:p>
              </w:tc>
              <w:tc>
                <w:tcPr>
                  <w:tcW w:w="944" w:type="pct"/>
                  <w:vMerge w:val="restart"/>
                  <w:noWrap w:val="0"/>
                  <w:vAlign w:val="center"/>
                </w:tcPr>
                <w:p w14:paraId="6AF899C9">
                  <w:pPr>
                    <w:pStyle w:val="16"/>
                    <w:spacing w:after="0"/>
                    <w:ind w:left="0" w:leftChars="0" w:firstLine="0" w:firstLineChars="0"/>
                    <w:jc w:val="center"/>
                    <w:rPr>
                      <w:rFonts w:hint="default"/>
                      <w:color w:val="auto"/>
                      <w:sz w:val="21"/>
                      <w:szCs w:val="21"/>
                      <w:lang w:val="en-US"/>
                    </w:rPr>
                  </w:pPr>
                  <w:r>
                    <w:rPr>
                      <w:rFonts w:hint="eastAsia"/>
                      <w:color w:val="auto"/>
                      <w:sz w:val="21"/>
                      <w:szCs w:val="21"/>
                    </w:rPr>
                    <w:t>厂界</w:t>
                  </w:r>
                </w:p>
              </w:tc>
              <w:tc>
                <w:tcPr>
                  <w:tcW w:w="980" w:type="pct"/>
                  <w:noWrap w:val="0"/>
                  <w:vAlign w:val="center"/>
                </w:tcPr>
                <w:p w14:paraId="457BF29F">
                  <w:pPr>
                    <w:pStyle w:val="16"/>
                    <w:spacing w:after="0"/>
                    <w:ind w:left="0" w:leftChars="0"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非甲烷总烃</w:t>
                  </w:r>
                </w:p>
              </w:tc>
              <w:tc>
                <w:tcPr>
                  <w:tcW w:w="1529" w:type="dxa"/>
                  <w:noWrap w:val="0"/>
                  <w:vAlign w:val="center"/>
                </w:tcPr>
                <w:p w14:paraId="6FBD8FC6">
                  <w:pPr>
                    <w:pStyle w:val="36"/>
                    <w:keepNext w:val="0"/>
                    <w:keepLines w:val="0"/>
                    <w:suppressLineNumbers w:val="0"/>
                    <w:bidi w:val="0"/>
                    <w:spacing w:before="0" w:beforeAutospacing="0" w:after="0" w:afterAutospacing="0"/>
                    <w:ind w:left="0" w:leftChars="0" w:right="0" w:rightChars="0"/>
                    <w:rPr>
                      <w:rFonts w:hint="eastAsia"/>
                      <w:color w:val="auto"/>
                      <w:kern w:val="0"/>
                      <w:sz w:val="21"/>
                      <w:szCs w:val="21"/>
                      <w:lang w:val="en-US" w:eastAsia="zh-CN" w:bidi="ar-SA"/>
                    </w:rPr>
                  </w:pPr>
                  <w:r>
                    <w:rPr>
                      <w:rFonts w:hint="eastAsia"/>
                      <w:color w:val="auto"/>
                    </w:rPr>
                    <w:t>1次/</w:t>
                  </w:r>
                  <w:r>
                    <w:rPr>
                      <w:rFonts w:hint="eastAsia"/>
                      <w:color w:val="auto"/>
                      <w:lang w:val="en-US" w:eastAsia="zh-CN"/>
                    </w:rPr>
                    <w:t>半</w:t>
                  </w:r>
                  <w:r>
                    <w:rPr>
                      <w:rFonts w:hint="eastAsia"/>
                      <w:color w:val="auto"/>
                    </w:rPr>
                    <w:t>年</w:t>
                  </w:r>
                </w:p>
              </w:tc>
              <w:tc>
                <w:tcPr>
                  <w:tcW w:w="2427" w:type="dxa"/>
                  <w:noWrap w:val="0"/>
                  <w:vAlign w:val="center"/>
                </w:tcPr>
                <w:p w14:paraId="3524F433">
                  <w:pPr>
                    <w:pStyle w:val="16"/>
                    <w:spacing w:after="0"/>
                    <w:ind w:left="0" w:leftChars="0" w:firstLine="0" w:firstLineChars="0"/>
                    <w:jc w:val="center"/>
                    <w:rPr>
                      <w:rFonts w:hint="eastAsia"/>
                      <w:color w:val="auto"/>
                      <w:sz w:val="21"/>
                      <w:szCs w:val="21"/>
                    </w:rPr>
                  </w:pPr>
                  <w:r>
                    <w:rPr>
                      <w:rFonts w:hint="eastAsia"/>
                      <w:color w:val="auto"/>
                      <w:sz w:val="21"/>
                      <w:szCs w:val="21"/>
                    </w:rPr>
                    <w:t>《大气污染物综合排放标准》（DB32/4041-2021）</w:t>
                  </w:r>
                  <w:r>
                    <w:rPr>
                      <w:rFonts w:hint="eastAsia"/>
                      <w:color w:val="auto"/>
                      <w:sz w:val="21"/>
                      <w:szCs w:val="21"/>
                      <w:lang w:val="en-US" w:eastAsia="zh-CN"/>
                    </w:rPr>
                    <w:t>表3限值要求</w:t>
                  </w:r>
                </w:p>
              </w:tc>
            </w:tr>
            <w:tr w14:paraId="215277E5">
              <w:trPr>
                <w:trHeight w:val="454" w:hRule="atLeast"/>
                <w:jc w:val="center"/>
              </w:trPr>
              <w:tc>
                <w:tcPr>
                  <w:tcW w:w="584" w:type="pct"/>
                  <w:vMerge w:val="continue"/>
                  <w:noWrap w:val="0"/>
                  <w:vAlign w:val="center"/>
                </w:tcPr>
                <w:p w14:paraId="69B8A029">
                  <w:pPr>
                    <w:pStyle w:val="16"/>
                    <w:spacing w:after="0"/>
                    <w:ind w:left="0" w:leftChars="0" w:firstLine="0" w:firstLineChars="0"/>
                    <w:jc w:val="center"/>
                    <w:rPr>
                      <w:rFonts w:hint="eastAsia"/>
                      <w:color w:val="auto"/>
                      <w:sz w:val="21"/>
                      <w:szCs w:val="21"/>
                      <w:lang w:val="en-US" w:eastAsia="zh-CN"/>
                    </w:rPr>
                  </w:pPr>
                </w:p>
              </w:tc>
              <w:tc>
                <w:tcPr>
                  <w:tcW w:w="944" w:type="pct"/>
                  <w:vMerge w:val="continue"/>
                  <w:noWrap w:val="0"/>
                  <w:vAlign w:val="center"/>
                </w:tcPr>
                <w:p w14:paraId="36262461">
                  <w:pPr>
                    <w:pStyle w:val="16"/>
                    <w:spacing w:after="0"/>
                    <w:ind w:left="0" w:leftChars="0" w:firstLine="0" w:firstLineChars="0"/>
                    <w:jc w:val="center"/>
                    <w:rPr>
                      <w:rFonts w:hint="eastAsia"/>
                      <w:color w:val="auto"/>
                      <w:sz w:val="21"/>
                      <w:szCs w:val="21"/>
                    </w:rPr>
                  </w:pPr>
                </w:p>
              </w:tc>
              <w:tc>
                <w:tcPr>
                  <w:tcW w:w="980" w:type="pct"/>
                  <w:noWrap w:val="0"/>
                  <w:vAlign w:val="center"/>
                </w:tcPr>
                <w:p w14:paraId="3BBEBA8E">
                  <w:pPr>
                    <w:pStyle w:val="16"/>
                    <w:spacing w:after="0"/>
                    <w:ind w:left="0" w:leftChars="0" w:firstLine="0" w:firstLineChars="0"/>
                    <w:jc w:val="center"/>
                    <w:rPr>
                      <w:rFonts w:hint="default" w:eastAsia="宋体"/>
                      <w:color w:val="auto"/>
                      <w:sz w:val="21"/>
                      <w:szCs w:val="21"/>
                      <w:lang w:val="en-US" w:eastAsia="zh-CN"/>
                    </w:rPr>
                  </w:pPr>
                  <w:r>
                    <w:rPr>
                      <w:rFonts w:hint="eastAsia"/>
                      <w:color w:val="auto"/>
                      <w:sz w:val="21"/>
                      <w:szCs w:val="21"/>
                      <w:lang w:val="en-US" w:eastAsia="zh-CN"/>
                    </w:rPr>
                    <w:t>NH</w:t>
                  </w:r>
                  <w:r>
                    <w:rPr>
                      <w:rFonts w:hint="eastAsia"/>
                      <w:color w:val="auto"/>
                      <w:sz w:val="21"/>
                      <w:szCs w:val="21"/>
                      <w:vertAlign w:val="subscript"/>
                      <w:lang w:val="en-US" w:eastAsia="zh-CN"/>
                    </w:rPr>
                    <w:t>3</w:t>
                  </w:r>
                  <w:r>
                    <w:rPr>
                      <w:rFonts w:hint="eastAsia"/>
                      <w:color w:val="auto"/>
                      <w:sz w:val="21"/>
                      <w:szCs w:val="21"/>
                      <w:lang w:val="en-US" w:eastAsia="zh-CN"/>
                    </w:rPr>
                    <w:t>、H</w:t>
                  </w:r>
                  <w:r>
                    <w:rPr>
                      <w:rFonts w:hint="eastAsia"/>
                      <w:color w:val="auto"/>
                      <w:sz w:val="21"/>
                      <w:szCs w:val="21"/>
                      <w:vertAlign w:val="subscript"/>
                      <w:lang w:val="en-US" w:eastAsia="zh-CN"/>
                    </w:rPr>
                    <w:t>2</w:t>
                  </w:r>
                  <w:r>
                    <w:rPr>
                      <w:rFonts w:hint="eastAsia"/>
                      <w:color w:val="auto"/>
                      <w:sz w:val="21"/>
                      <w:szCs w:val="21"/>
                      <w:lang w:val="en-US" w:eastAsia="zh-CN"/>
                    </w:rPr>
                    <w:t>S、臭气浓度</w:t>
                  </w:r>
                </w:p>
              </w:tc>
              <w:tc>
                <w:tcPr>
                  <w:tcW w:w="1529" w:type="dxa"/>
                  <w:noWrap w:val="0"/>
                  <w:vAlign w:val="center"/>
                </w:tcPr>
                <w:p w14:paraId="5A878624">
                  <w:pPr>
                    <w:pStyle w:val="36"/>
                    <w:keepNext w:val="0"/>
                    <w:keepLines w:val="0"/>
                    <w:suppressLineNumbers w:val="0"/>
                    <w:bidi w:val="0"/>
                    <w:spacing w:before="0" w:beforeAutospacing="0" w:after="0" w:afterAutospacing="0"/>
                    <w:ind w:left="0" w:leftChars="0" w:right="0" w:rightChars="0"/>
                    <w:rPr>
                      <w:rFonts w:hint="eastAsia"/>
                      <w:color w:val="auto"/>
                      <w:sz w:val="21"/>
                      <w:szCs w:val="21"/>
                    </w:rPr>
                  </w:pPr>
                  <w:r>
                    <w:rPr>
                      <w:rFonts w:hint="eastAsia"/>
                      <w:color w:val="auto"/>
                    </w:rPr>
                    <w:t>1次/</w:t>
                  </w:r>
                  <w:r>
                    <w:rPr>
                      <w:rFonts w:hint="eastAsia"/>
                      <w:color w:val="auto"/>
                      <w:lang w:val="en-US" w:eastAsia="zh-CN"/>
                    </w:rPr>
                    <w:t>半</w:t>
                  </w:r>
                  <w:r>
                    <w:rPr>
                      <w:rFonts w:hint="eastAsia"/>
                      <w:color w:val="auto"/>
                    </w:rPr>
                    <w:t>年</w:t>
                  </w:r>
                </w:p>
              </w:tc>
              <w:tc>
                <w:tcPr>
                  <w:tcW w:w="2427" w:type="dxa"/>
                  <w:noWrap w:val="0"/>
                  <w:vAlign w:val="center"/>
                </w:tcPr>
                <w:p w14:paraId="276A0CD9">
                  <w:pPr>
                    <w:pStyle w:val="16"/>
                    <w:spacing w:after="0"/>
                    <w:ind w:left="0" w:leftChars="0" w:firstLine="0" w:firstLineChars="0"/>
                    <w:jc w:val="center"/>
                    <w:rPr>
                      <w:rFonts w:hint="eastAsia"/>
                      <w:color w:val="auto"/>
                      <w:sz w:val="21"/>
                      <w:szCs w:val="21"/>
                    </w:rPr>
                  </w:pPr>
                  <w:r>
                    <w:rPr>
                      <w:rFonts w:hint="eastAsia"/>
                      <w:color w:val="auto"/>
                      <w:sz w:val="21"/>
                      <w:szCs w:val="21"/>
                    </w:rPr>
                    <w:t>《恶臭污染物排放标准》（GB14554-93）表1中二级新改扩建标准</w:t>
                  </w:r>
                </w:p>
              </w:tc>
            </w:tr>
            <w:tr w14:paraId="1BB5D2C4">
              <w:trPr>
                <w:trHeight w:val="454" w:hRule="atLeast"/>
                <w:jc w:val="center"/>
              </w:trPr>
              <w:tc>
                <w:tcPr>
                  <w:tcW w:w="584" w:type="pct"/>
                  <w:noWrap w:val="0"/>
                  <w:vAlign w:val="center"/>
                </w:tcPr>
                <w:p w14:paraId="5245FA37">
                  <w:pPr>
                    <w:pStyle w:val="16"/>
                    <w:numPr>
                      <w:ilvl w:val="0"/>
                      <w:numId w:val="22"/>
                    </w:numPr>
                    <w:spacing w:after="0"/>
                    <w:ind w:left="0" w:leftChars="0" w:firstLine="0" w:firstLineChars="0"/>
                    <w:jc w:val="center"/>
                    <w:rPr>
                      <w:rFonts w:hint="eastAsia" w:eastAsia="宋体"/>
                      <w:color w:val="auto"/>
                      <w:kern w:val="0"/>
                      <w:sz w:val="21"/>
                      <w:szCs w:val="21"/>
                      <w:lang w:val="en-US" w:eastAsia="zh-CN" w:bidi="ar-SA"/>
                    </w:rPr>
                  </w:pPr>
                </w:p>
              </w:tc>
              <w:tc>
                <w:tcPr>
                  <w:tcW w:w="944" w:type="pct"/>
                  <w:noWrap w:val="0"/>
                  <w:vAlign w:val="center"/>
                </w:tcPr>
                <w:p w14:paraId="482509B4">
                  <w:pPr>
                    <w:pStyle w:val="16"/>
                    <w:spacing w:after="0"/>
                    <w:ind w:left="0" w:leftChars="0" w:firstLine="0" w:firstLineChars="0"/>
                    <w:jc w:val="center"/>
                    <w:rPr>
                      <w:color w:val="auto"/>
                      <w:sz w:val="21"/>
                      <w:szCs w:val="21"/>
                    </w:rPr>
                  </w:pPr>
                  <w:r>
                    <w:rPr>
                      <w:rFonts w:hint="eastAsia"/>
                      <w:color w:val="auto"/>
                      <w:sz w:val="21"/>
                      <w:szCs w:val="21"/>
                    </w:rPr>
                    <w:t>厂区内</w:t>
                  </w:r>
                </w:p>
              </w:tc>
              <w:tc>
                <w:tcPr>
                  <w:tcW w:w="980" w:type="pct"/>
                  <w:noWrap w:val="0"/>
                  <w:vAlign w:val="center"/>
                </w:tcPr>
                <w:p w14:paraId="7E2ABBE1">
                  <w:pPr>
                    <w:pStyle w:val="16"/>
                    <w:spacing w:after="0"/>
                    <w:ind w:left="0" w:leftChars="0" w:firstLine="0" w:firstLineChars="0"/>
                    <w:jc w:val="center"/>
                    <w:rPr>
                      <w:rFonts w:hint="eastAsia"/>
                      <w:color w:val="auto"/>
                      <w:sz w:val="21"/>
                      <w:szCs w:val="21"/>
                    </w:rPr>
                  </w:pPr>
                  <w:r>
                    <w:rPr>
                      <w:rFonts w:hint="eastAsia"/>
                      <w:color w:val="auto"/>
                      <w:sz w:val="21"/>
                      <w:szCs w:val="21"/>
                    </w:rPr>
                    <w:t>非甲烷总烃</w:t>
                  </w:r>
                </w:p>
              </w:tc>
              <w:tc>
                <w:tcPr>
                  <w:tcW w:w="962" w:type="pct"/>
                  <w:noWrap w:val="0"/>
                  <w:vAlign w:val="center"/>
                </w:tcPr>
                <w:p w14:paraId="568D73CE">
                  <w:pPr>
                    <w:pStyle w:val="16"/>
                    <w:spacing w:after="0"/>
                    <w:ind w:left="0" w:leftChars="0" w:firstLine="0" w:firstLineChars="0"/>
                    <w:jc w:val="center"/>
                    <w:rPr>
                      <w:rFonts w:hint="eastAsia"/>
                      <w:color w:val="auto"/>
                      <w:sz w:val="21"/>
                      <w:szCs w:val="21"/>
                    </w:rPr>
                  </w:pPr>
                  <w:r>
                    <w:rPr>
                      <w:rFonts w:hint="eastAsia"/>
                      <w:color w:val="auto"/>
                      <w:sz w:val="21"/>
                      <w:szCs w:val="21"/>
                    </w:rPr>
                    <w:t>1次/</w:t>
                  </w:r>
                  <w:r>
                    <w:rPr>
                      <w:rFonts w:hint="eastAsia"/>
                      <w:color w:val="auto"/>
                      <w:sz w:val="21"/>
                      <w:szCs w:val="21"/>
                      <w:lang w:val="en-US" w:eastAsia="zh-CN"/>
                    </w:rPr>
                    <w:t>年</w:t>
                  </w:r>
                </w:p>
              </w:tc>
              <w:tc>
                <w:tcPr>
                  <w:tcW w:w="1527" w:type="pct"/>
                  <w:noWrap w:val="0"/>
                  <w:vAlign w:val="center"/>
                </w:tcPr>
                <w:p w14:paraId="5CCE8068">
                  <w:pPr>
                    <w:pStyle w:val="16"/>
                    <w:spacing w:after="0"/>
                    <w:ind w:left="0" w:leftChars="0" w:firstLine="0" w:firstLineChars="0"/>
                    <w:jc w:val="center"/>
                    <w:rPr>
                      <w:rFonts w:hint="eastAsia"/>
                      <w:color w:val="auto"/>
                      <w:sz w:val="21"/>
                      <w:szCs w:val="21"/>
                    </w:rPr>
                  </w:pPr>
                  <w:r>
                    <w:rPr>
                      <w:rFonts w:hint="eastAsia"/>
                      <w:color w:val="auto"/>
                      <w:sz w:val="21"/>
                      <w:szCs w:val="21"/>
                    </w:rPr>
                    <w:t>《大气污染物综合排放标准》（DB32/4041-2021）</w:t>
                  </w:r>
                  <w:r>
                    <w:rPr>
                      <w:rFonts w:hint="eastAsia"/>
                      <w:color w:val="auto"/>
                      <w:sz w:val="21"/>
                      <w:szCs w:val="21"/>
                      <w:lang w:val="en-US" w:eastAsia="zh-CN"/>
                    </w:rPr>
                    <w:t>表2限值要求</w:t>
                  </w:r>
                </w:p>
              </w:tc>
            </w:tr>
          </w:tbl>
          <w:p w14:paraId="3FFF0FCD">
            <w:pPr>
              <w:pStyle w:val="17"/>
              <w:keepNext w:val="0"/>
              <w:keepLines w:val="0"/>
              <w:pageBreakBefore w:val="0"/>
              <w:widowControl w:val="0"/>
              <w:kinsoku/>
              <w:wordWrap/>
              <w:overflowPunct/>
              <w:topLinePunct w:val="0"/>
              <w:bidi w:val="0"/>
              <w:snapToGrid w:val="0"/>
              <w:spacing w:line="360" w:lineRule="auto"/>
              <w:ind w:firstLine="480" w:firstLineChars="200"/>
              <w:rPr>
                <w:rFonts w:ascii="Times New Roman" w:hAnsi="Times New Roman" w:eastAsia="宋体"/>
                <w:b w:val="0"/>
                <w:bCs/>
                <w:color w:val="auto"/>
                <w:sz w:val="24"/>
              </w:rPr>
            </w:pPr>
            <w:r>
              <w:rPr>
                <w:rFonts w:hint="eastAsia" w:ascii="Times New Roman" w:hAnsi="Times New Roman" w:cs="Times New Roman"/>
                <w:b w:val="0"/>
                <w:bCs/>
                <w:color w:val="auto"/>
                <w:sz w:val="24"/>
                <w:lang w:val="en-US" w:eastAsia="zh-CN"/>
              </w:rPr>
              <w:t>6.</w:t>
            </w:r>
            <w:r>
              <w:rPr>
                <w:rFonts w:hint="eastAsia" w:ascii="Times New Roman" w:hAnsi="Times New Roman" w:eastAsia="宋体" w:cs="Times New Roman"/>
                <w:b w:val="0"/>
                <w:bCs/>
                <w:color w:val="auto"/>
                <w:sz w:val="24"/>
              </w:rPr>
              <w:t>大气环境影响分析结论</w:t>
            </w:r>
          </w:p>
          <w:p w14:paraId="24304491">
            <w:pPr>
              <w:pStyle w:val="46"/>
              <w:keepNext w:val="0"/>
              <w:keepLines w:val="0"/>
              <w:pageBreakBefore w:val="0"/>
              <w:widowControl w:val="0"/>
              <w:kinsoku/>
              <w:wordWrap/>
              <w:overflowPunct/>
              <w:topLinePunct w:val="0"/>
              <w:bidi w:val="0"/>
              <w:adjustRightInd/>
              <w:snapToGrid w:val="0"/>
              <w:spacing w:line="360" w:lineRule="auto"/>
              <w:ind w:left="0" w:right="0" w:firstLineChars="200"/>
              <w:jc w:val="both"/>
              <w:rPr>
                <w:rFonts w:ascii="Times New Roman" w:hAnsi="Times New Roman"/>
                <w:color w:val="auto"/>
              </w:rPr>
            </w:pPr>
            <w:r>
              <w:rPr>
                <w:rFonts w:hint="eastAsia" w:ascii="Times New Roman" w:hAnsi="Times New Roman" w:eastAsia="宋体"/>
                <w:b w:val="0"/>
                <w:bCs/>
                <w:color w:val="auto"/>
                <w:sz w:val="24"/>
              </w:rPr>
              <w:t>综上所述，项目按照“应收尽收、分质收集”的原则，采用成熟稳定的治理措施处理，废气经处理后可达标排放，采取的废气防治措施可行。废气污染物收集后，经废气处理设施处理后高空排放，未被收集的无组织废气以及烘干废气排放量较小，经大气扩散后对大气环境影响较小，周围环境空气质量可维持现状</w:t>
            </w:r>
            <w:r>
              <w:rPr>
                <w:rFonts w:hint="eastAsia" w:ascii="Times New Roman" w:hAnsi="Times New Roman" w:eastAsia="宋体"/>
                <w:b w:val="0"/>
                <w:bCs/>
                <w:color w:val="auto"/>
                <w:sz w:val="24"/>
                <w:lang w:val="en-US" w:eastAsia="zh-CN"/>
              </w:rPr>
              <w:t>。</w:t>
            </w:r>
            <w:r>
              <w:rPr>
                <w:rFonts w:hint="eastAsia" w:ascii="Times New Roman" w:hAnsi="Times New Roman" w:eastAsia="宋体" w:cs="Times New Roman"/>
                <w:b w:val="0"/>
                <w:bCs/>
                <w:color w:val="auto"/>
                <w:sz w:val="24"/>
                <w:lang w:eastAsia="zh-CN"/>
              </w:rPr>
              <w:t>本项目以生产厂房边界为起点设置50m的卫生防护距离、</w:t>
            </w:r>
            <w:r>
              <w:rPr>
                <w:rFonts w:hint="eastAsia" w:ascii="Times New Roman" w:hAnsi="Times New Roman" w:eastAsia="宋体" w:cs="Times New Roman"/>
                <w:b w:val="0"/>
                <w:bCs/>
                <w:color w:val="auto"/>
                <w:sz w:val="24"/>
                <w:lang w:val="en-US" w:eastAsia="zh-CN"/>
              </w:rPr>
              <w:t>以污水处理站边界为起点设置100m的卫生防护距离</w:t>
            </w:r>
            <w:r>
              <w:rPr>
                <w:rFonts w:hint="eastAsia" w:ascii="Times New Roman" w:hAnsi="Times New Roman" w:eastAsia="宋体"/>
                <w:b w:val="0"/>
                <w:bCs/>
                <w:color w:val="auto"/>
                <w:sz w:val="24"/>
              </w:rPr>
              <w:t>，本项目卫生防护距离范围内目前无居民、学校、医院等环境保护敏感目标，满足卫生防护距离要求。项目选址符合卫生防护距离的设定要求，项目建成后，该范围内不得新建对环境空气质量要求较高的居民、学校等环境敏感目标。</w:t>
            </w:r>
          </w:p>
          <w:p w14:paraId="09283213">
            <w:pPr>
              <w:pStyle w:val="46"/>
              <w:keepNext w:val="0"/>
              <w:keepLines w:val="0"/>
              <w:pageBreakBefore w:val="0"/>
              <w:widowControl w:val="0"/>
              <w:kinsoku/>
              <w:wordWrap/>
              <w:overflowPunct/>
              <w:topLinePunct w:val="0"/>
              <w:autoSpaceDE/>
              <w:autoSpaceDN/>
              <w:bidi w:val="0"/>
              <w:adjustRightInd/>
              <w:snapToGrid w:val="0"/>
              <w:spacing w:line="360" w:lineRule="auto"/>
              <w:ind w:left="0" w:right="0" w:firstLineChars="200"/>
              <w:rPr>
                <w:b/>
                <w:color w:val="auto"/>
                <w:szCs w:val="24"/>
              </w:rPr>
            </w:pPr>
            <w:r>
              <w:rPr>
                <w:rFonts w:hint="eastAsia"/>
                <w:b/>
                <w:color w:val="auto"/>
                <w:szCs w:val="24"/>
              </w:rPr>
              <w:t>二</w:t>
            </w:r>
            <w:r>
              <w:rPr>
                <w:b/>
                <w:color w:val="auto"/>
                <w:szCs w:val="24"/>
              </w:rPr>
              <w:t>、废</w:t>
            </w:r>
            <w:r>
              <w:rPr>
                <w:rFonts w:hint="eastAsia"/>
                <w:b/>
                <w:color w:val="auto"/>
                <w:szCs w:val="24"/>
              </w:rPr>
              <w:t>水</w:t>
            </w:r>
          </w:p>
          <w:p w14:paraId="04359FBB">
            <w:pPr>
              <w:pStyle w:val="16"/>
              <w:keepNext w:val="0"/>
              <w:keepLines w:val="0"/>
              <w:pageBreakBefore w:val="0"/>
              <w:widowControl w:val="0"/>
              <w:kinsoku/>
              <w:wordWrap/>
              <w:overflowPunct/>
              <w:topLinePunct w:val="0"/>
              <w:autoSpaceDE/>
              <w:autoSpaceDN/>
              <w:bidi w:val="0"/>
              <w:adjustRightInd/>
              <w:spacing w:after="0" w:line="360" w:lineRule="auto"/>
              <w:ind w:left="0" w:leftChars="0" w:firstLine="480"/>
              <w:textAlignment w:val="auto"/>
              <w:rPr>
                <w:b w:val="0"/>
                <w:bCs w:val="0"/>
                <w:color w:val="auto"/>
              </w:rPr>
            </w:pPr>
            <w:r>
              <w:rPr>
                <w:rFonts w:hint="eastAsia"/>
                <w:b w:val="0"/>
                <w:bCs w:val="0"/>
                <w:color w:val="auto"/>
                <w:lang w:eastAsia="zh-CN"/>
              </w:rPr>
              <w:t>1.</w:t>
            </w:r>
            <w:r>
              <w:rPr>
                <w:rFonts w:hint="eastAsia"/>
                <w:b w:val="0"/>
                <w:bCs w:val="0"/>
                <w:color w:val="auto"/>
              </w:rPr>
              <w:t>废水污染源强分析</w:t>
            </w:r>
          </w:p>
          <w:p w14:paraId="3ACA08A9">
            <w:pPr>
              <w:pStyle w:val="9"/>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color w:val="auto"/>
                <w:sz w:val="24"/>
              </w:rPr>
            </w:pPr>
            <w:r>
              <w:rPr>
                <w:rFonts w:hint="eastAsia" w:ascii="Times New Roman" w:hAnsi="Times New Roman"/>
                <w:color w:val="auto"/>
                <w:sz w:val="24"/>
              </w:rPr>
              <w:t>根据水平衡章节计算结果：</w:t>
            </w:r>
          </w:p>
          <w:p w14:paraId="4836731E">
            <w:pPr>
              <w:pStyle w:val="17"/>
              <w:keepNext w:val="0"/>
              <w:keepLines w:val="0"/>
              <w:pageBreakBefore w:val="0"/>
              <w:widowControl w:val="0"/>
              <w:kinsoku/>
              <w:wordWrap/>
              <w:overflowPunct/>
              <w:topLinePunct w:val="0"/>
              <w:bidi w:val="0"/>
              <w:spacing w:line="360" w:lineRule="auto"/>
              <w:ind w:firstLine="480"/>
              <w:textAlignment w:val="auto"/>
              <w:rPr>
                <w:rFonts w:hint="eastAsia" w:ascii="Times New Roman" w:hAnsi="Times New Roman" w:eastAsia="宋体" w:cs="Times New Roman"/>
                <w:b w:val="0"/>
                <w:bCs/>
                <w:color w:val="auto"/>
                <w:lang w:eastAsia="zh-CN"/>
              </w:rPr>
            </w:pPr>
            <w:r>
              <w:rPr>
                <w:rFonts w:ascii="Times New Roman" w:hAnsi="Times New Roman" w:cs="Times New Roman"/>
                <w:b w:val="0"/>
                <w:bCs/>
                <w:color w:val="auto"/>
              </w:rPr>
              <w:t>（</w:t>
            </w:r>
            <w:r>
              <w:rPr>
                <w:rFonts w:hint="eastAsia" w:ascii="Times New Roman" w:hAnsi="Times New Roman" w:cs="Times New Roman"/>
                <w:b w:val="0"/>
                <w:bCs/>
                <w:color w:val="auto"/>
                <w:lang w:val="en-US" w:eastAsia="zh-CN"/>
              </w:rPr>
              <w:t>1</w:t>
            </w:r>
            <w:r>
              <w:rPr>
                <w:rFonts w:ascii="Times New Roman" w:hAnsi="Times New Roman" w:cs="Times New Roman"/>
                <w:b w:val="0"/>
                <w:bCs/>
                <w:color w:val="auto"/>
              </w:rPr>
              <w:t>）杀菌</w:t>
            </w:r>
            <w:r>
              <w:rPr>
                <w:rFonts w:hint="eastAsia" w:ascii="Times New Roman" w:hAnsi="Times New Roman" w:cs="Times New Roman"/>
                <w:b w:val="0"/>
                <w:bCs/>
                <w:color w:val="auto"/>
                <w:lang w:val="en-US" w:eastAsia="zh-CN"/>
              </w:rPr>
              <w:t>废水</w:t>
            </w:r>
          </w:p>
          <w:p w14:paraId="7DA74FF2">
            <w:pPr>
              <w:pStyle w:val="17"/>
              <w:keepNext w:val="0"/>
              <w:keepLines w:val="0"/>
              <w:pageBreakBefore w:val="0"/>
              <w:widowControl w:val="0"/>
              <w:kinsoku/>
              <w:wordWrap/>
              <w:overflowPunct/>
              <w:topLinePunct w:val="0"/>
              <w:bidi w:val="0"/>
              <w:spacing w:line="360" w:lineRule="auto"/>
              <w:ind w:firstLine="480"/>
              <w:jc w:val="both"/>
              <w:textAlignment w:val="auto"/>
              <w:rPr>
                <w:rFonts w:ascii="Times New Roman" w:hAnsi="Times New Roman" w:eastAsia="宋体" w:cs="Times New Roman"/>
                <w:b w:val="0"/>
                <w:bCs/>
                <w:color w:val="auto"/>
              </w:rPr>
            </w:pPr>
            <w:r>
              <w:rPr>
                <w:rFonts w:ascii="Times New Roman" w:hAnsi="Times New Roman" w:eastAsia="宋体" w:cs="Times New Roman"/>
                <w:b w:val="0"/>
                <w:bCs/>
                <w:color w:val="auto"/>
              </w:rPr>
              <w:t>杀菌废水排放量</w:t>
            </w:r>
            <w:r>
              <w:rPr>
                <w:rFonts w:hint="eastAsia" w:ascii="Times New Roman" w:hAnsi="Times New Roman" w:cs="Times New Roman"/>
                <w:b w:val="0"/>
                <w:bCs/>
                <w:color w:val="auto"/>
                <w:lang w:val="en-US" w:eastAsia="zh-CN"/>
              </w:rPr>
              <w:t>21384m</w:t>
            </w:r>
            <w:r>
              <w:rPr>
                <w:rFonts w:hint="eastAsia" w:ascii="Times New Roman" w:hAnsi="Times New Roman" w:cs="Times New Roman"/>
                <w:b w:val="0"/>
                <w:bCs/>
                <w:color w:val="auto"/>
                <w:vertAlign w:val="superscript"/>
                <w:lang w:val="en-US" w:eastAsia="zh-CN"/>
              </w:rPr>
              <w:t>3</w:t>
            </w:r>
            <w:r>
              <w:rPr>
                <w:rFonts w:hint="eastAsia" w:ascii="Times New Roman" w:hAnsi="Times New Roman" w:cs="Times New Roman"/>
                <w:b w:val="0"/>
                <w:bCs/>
                <w:color w:val="auto"/>
                <w:lang w:val="en-US" w:eastAsia="zh-CN"/>
              </w:rPr>
              <w:t>/a</w:t>
            </w:r>
            <w:r>
              <w:rPr>
                <w:rFonts w:hint="eastAsia" w:ascii="Times New Roman" w:hAnsi="Times New Roman" w:cs="Times New Roman"/>
                <w:b w:val="0"/>
                <w:bCs/>
                <w:color w:val="auto"/>
                <w:lang w:eastAsia="zh-CN"/>
              </w:rPr>
              <w:t>，</w:t>
            </w:r>
            <w:r>
              <w:rPr>
                <w:rFonts w:hint="eastAsia" w:ascii="Times New Roman" w:hAnsi="Times New Roman" w:cs="Times New Roman"/>
                <w:b w:val="0"/>
                <w:bCs/>
                <w:color w:val="auto"/>
                <w:lang w:val="en-US" w:eastAsia="zh-CN"/>
              </w:rPr>
              <w:t>杀菌废水经厂区污水处理站处理后</w:t>
            </w:r>
            <w:r>
              <w:rPr>
                <w:rFonts w:hint="eastAsia" w:ascii="Times New Roman" w:hAnsi="Times New Roman" w:cs="Times New Roman"/>
                <w:b w:val="0"/>
                <w:bCs/>
                <w:color w:val="auto"/>
              </w:rPr>
              <w:t>接管</w:t>
            </w:r>
            <w:r>
              <w:rPr>
                <w:rFonts w:hint="eastAsia" w:ascii="Times New Roman" w:hAnsi="Times New Roman" w:cs="Times New Roman"/>
                <w:b w:val="0"/>
                <w:bCs/>
                <w:color w:val="auto"/>
                <w:lang w:val="en-US" w:eastAsia="zh-CN"/>
              </w:rPr>
              <w:t>至</w:t>
            </w:r>
            <w:r>
              <w:rPr>
                <w:rFonts w:hint="eastAsia" w:ascii="Times New Roman" w:hAnsi="Times New Roman" w:cs="Times New Roman"/>
                <w:b w:val="0"/>
                <w:bCs/>
                <w:color w:val="auto"/>
              </w:rPr>
              <w:t>涟水经济开发</w:t>
            </w:r>
            <w:r>
              <w:rPr>
                <w:rFonts w:hint="eastAsia" w:ascii="Times New Roman" w:hAnsi="Times New Roman" w:cs="Times New Roman"/>
                <w:b w:val="0"/>
                <w:bCs/>
                <w:color w:val="auto"/>
                <w:lang w:val="en-US" w:eastAsia="zh-CN"/>
              </w:rPr>
              <w:t>区</w:t>
            </w:r>
            <w:r>
              <w:rPr>
                <w:rFonts w:hint="eastAsia" w:ascii="Times New Roman" w:hAnsi="Times New Roman" w:cs="Times New Roman"/>
                <w:b w:val="0"/>
                <w:bCs/>
                <w:color w:val="auto"/>
              </w:rPr>
              <w:t>西区</w:t>
            </w:r>
            <w:r>
              <w:rPr>
                <w:rFonts w:ascii="Times New Roman" w:hAnsi="Times New Roman" w:cs="Times New Roman"/>
                <w:b w:val="0"/>
                <w:bCs/>
                <w:color w:val="auto"/>
              </w:rPr>
              <w:t>污水处理</w:t>
            </w:r>
            <w:r>
              <w:rPr>
                <w:rFonts w:hint="eastAsia" w:ascii="Times New Roman" w:hAnsi="Times New Roman" w:cs="Times New Roman"/>
                <w:b w:val="0"/>
                <w:bCs/>
                <w:color w:val="auto"/>
                <w:lang w:val="en-US" w:eastAsia="zh-CN"/>
              </w:rPr>
              <w:t>厂处理</w:t>
            </w:r>
            <w:r>
              <w:rPr>
                <w:rFonts w:ascii="Times New Roman" w:hAnsi="Times New Roman" w:eastAsia="宋体" w:cs="Times New Roman"/>
                <w:b w:val="0"/>
                <w:bCs/>
                <w:color w:val="auto"/>
              </w:rPr>
              <w:t>。</w:t>
            </w:r>
            <w:r>
              <w:rPr>
                <w:rFonts w:hint="eastAsia" w:ascii="Times New Roman" w:hAnsi="Times New Roman" w:eastAsia="宋体" w:cs="Times New Roman"/>
                <w:b w:val="0"/>
                <w:bCs/>
                <w:color w:val="auto"/>
              </w:rPr>
              <w:t xml:space="preserve">废水主要成分为COD、悬浮物等，不含氮、磷、有机物、重金属等，污染物浓度取COD </w:t>
            </w:r>
            <w:r>
              <w:rPr>
                <w:rFonts w:hint="eastAsia" w:ascii="Times New Roman" w:hAnsi="Times New Roman" w:cs="Times New Roman"/>
                <w:b w:val="0"/>
                <w:bCs/>
                <w:color w:val="auto"/>
                <w:lang w:val="en-US" w:eastAsia="zh-CN"/>
              </w:rPr>
              <w:t>25</w:t>
            </w:r>
            <w:r>
              <w:rPr>
                <w:rFonts w:hint="eastAsia" w:ascii="Times New Roman" w:hAnsi="Times New Roman" w:eastAsia="宋体" w:cs="Times New Roman"/>
                <w:b w:val="0"/>
                <w:bCs/>
                <w:color w:val="auto"/>
              </w:rPr>
              <w:t xml:space="preserve">mg/L、SS </w:t>
            </w:r>
            <w:r>
              <w:rPr>
                <w:rFonts w:hint="eastAsia" w:ascii="Times New Roman" w:hAnsi="Times New Roman" w:cs="Times New Roman"/>
                <w:b w:val="0"/>
                <w:bCs/>
                <w:color w:val="auto"/>
                <w:lang w:val="en-US" w:eastAsia="zh-CN"/>
              </w:rPr>
              <w:t>3</w:t>
            </w:r>
            <w:r>
              <w:rPr>
                <w:rFonts w:hint="eastAsia" w:ascii="Times New Roman" w:hAnsi="Times New Roman" w:eastAsia="宋体" w:cs="Times New Roman"/>
                <w:b w:val="0"/>
                <w:bCs/>
                <w:color w:val="auto"/>
              </w:rPr>
              <w:t>0mg/L。</w:t>
            </w:r>
          </w:p>
          <w:p w14:paraId="3006BD0C">
            <w:pPr>
              <w:pStyle w:val="17"/>
              <w:keepNext w:val="0"/>
              <w:keepLines w:val="0"/>
              <w:pageBreakBefore w:val="0"/>
              <w:widowControl w:val="0"/>
              <w:kinsoku/>
              <w:wordWrap/>
              <w:overflowPunct/>
              <w:topLinePunct w:val="0"/>
              <w:bidi w:val="0"/>
              <w:spacing w:line="360" w:lineRule="auto"/>
              <w:ind w:firstLine="480"/>
              <w:textAlignment w:val="auto"/>
              <w:rPr>
                <w:rFonts w:hint="eastAsia" w:ascii="Times New Roman" w:hAnsi="Times New Roman" w:eastAsia="宋体" w:cs="Times New Roman"/>
                <w:b w:val="0"/>
                <w:bCs/>
                <w:color w:val="auto"/>
                <w:lang w:eastAsia="zh-CN"/>
              </w:rPr>
            </w:pPr>
            <w:r>
              <w:rPr>
                <w:rFonts w:ascii="Times New Roman" w:hAnsi="Times New Roman" w:cs="Times New Roman"/>
                <w:b w:val="0"/>
                <w:bCs/>
                <w:color w:val="auto"/>
              </w:rPr>
              <w:t>（</w:t>
            </w:r>
            <w:r>
              <w:rPr>
                <w:rFonts w:hint="eastAsia" w:ascii="Times New Roman" w:hAnsi="Times New Roman" w:cs="Times New Roman"/>
                <w:b w:val="0"/>
                <w:bCs/>
                <w:color w:val="auto"/>
                <w:lang w:val="en-US" w:eastAsia="zh-CN"/>
              </w:rPr>
              <w:t>2</w:t>
            </w:r>
            <w:r>
              <w:rPr>
                <w:rFonts w:ascii="Times New Roman" w:hAnsi="Times New Roman" w:cs="Times New Roman"/>
                <w:b w:val="0"/>
                <w:bCs/>
                <w:color w:val="auto"/>
              </w:rPr>
              <w:t>）乙酸雾吸收</w:t>
            </w:r>
            <w:r>
              <w:rPr>
                <w:rFonts w:hint="eastAsia" w:ascii="Times New Roman" w:hAnsi="Times New Roman" w:cs="Times New Roman"/>
                <w:b w:val="0"/>
                <w:bCs/>
                <w:color w:val="auto"/>
                <w:lang w:val="en-US" w:eastAsia="zh-CN"/>
              </w:rPr>
              <w:t>废水</w:t>
            </w:r>
          </w:p>
          <w:p w14:paraId="340A718A">
            <w:pPr>
              <w:pStyle w:val="17"/>
              <w:keepNext w:val="0"/>
              <w:keepLines w:val="0"/>
              <w:pageBreakBefore w:val="0"/>
              <w:widowControl w:val="0"/>
              <w:kinsoku/>
              <w:wordWrap/>
              <w:overflowPunct/>
              <w:topLinePunct w:val="0"/>
              <w:bidi w:val="0"/>
              <w:spacing w:line="360" w:lineRule="auto"/>
              <w:ind w:firstLine="480"/>
              <w:textAlignment w:val="auto"/>
              <w:rPr>
                <w:rFonts w:hint="eastAsia" w:ascii="Times New Roman" w:hAnsi="Times New Roman" w:cs="Times New Roman"/>
                <w:b w:val="0"/>
                <w:bCs/>
                <w:color w:val="auto"/>
              </w:rPr>
            </w:pPr>
            <w:r>
              <w:rPr>
                <w:rFonts w:hint="eastAsia" w:ascii="Times New Roman" w:hAnsi="Times New Roman" w:cs="Times New Roman"/>
                <w:b w:val="0"/>
                <w:bCs/>
                <w:color w:val="auto"/>
                <w:lang w:val="en-US" w:eastAsia="zh-CN"/>
              </w:rPr>
              <w:t>乙酸雾</w:t>
            </w:r>
            <w:r>
              <w:rPr>
                <w:rFonts w:ascii="Times New Roman" w:hAnsi="Times New Roman" w:cs="Times New Roman"/>
                <w:b w:val="0"/>
                <w:bCs/>
                <w:color w:val="auto"/>
              </w:rPr>
              <w:t>吸收废水</w:t>
            </w:r>
            <w:r>
              <w:rPr>
                <w:rFonts w:hint="eastAsia" w:ascii="Times New Roman" w:hAnsi="Times New Roman" w:cs="Times New Roman"/>
                <w:b w:val="0"/>
                <w:bCs/>
                <w:color w:val="auto"/>
                <w:lang w:val="en-US" w:eastAsia="zh-CN"/>
              </w:rPr>
              <w:t>排放</w:t>
            </w:r>
            <w:r>
              <w:rPr>
                <w:rFonts w:ascii="Times New Roman" w:hAnsi="Times New Roman" w:cs="Times New Roman"/>
                <w:b w:val="0"/>
                <w:bCs/>
                <w:color w:val="auto"/>
              </w:rPr>
              <w:t>量为</w:t>
            </w:r>
            <w:r>
              <w:rPr>
                <w:rFonts w:hint="eastAsia" w:ascii="Times New Roman" w:hAnsi="Times New Roman" w:cs="Times New Roman"/>
                <w:b w:val="0"/>
                <w:bCs/>
                <w:color w:val="auto"/>
                <w:lang w:val="en-US" w:eastAsia="zh-CN"/>
              </w:rPr>
              <w:t>11880</w:t>
            </w:r>
            <w:r>
              <w:rPr>
                <w:rFonts w:ascii="Times New Roman" w:hAnsi="Times New Roman" w:cs="Times New Roman"/>
                <w:b w:val="0"/>
                <w:bCs/>
                <w:color w:val="auto"/>
              </w:rPr>
              <w:t>m</w:t>
            </w:r>
            <w:r>
              <w:rPr>
                <w:rFonts w:ascii="Times New Roman" w:hAnsi="Times New Roman" w:cs="Times New Roman"/>
                <w:b w:val="0"/>
                <w:bCs/>
                <w:color w:val="auto"/>
                <w:vertAlign w:val="superscript"/>
              </w:rPr>
              <w:t>3</w:t>
            </w:r>
            <w:r>
              <w:rPr>
                <w:rFonts w:ascii="Times New Roman" w:hAnsi="Times New Roman" w:cs="Times New Roman"/>
                <w:b w:val="0"/>
                <w:bCs/>
                <w:color w:val="auto"/>
              </w:rPr>
              <w:t>/a。</w:t>
            </w:r>
            <w:r>
              <w:rPr>
                <w:rFonts w:hint="eastAsia" w:ascii="Times New Roman" w:hAnsi="Times New Roman" w:cs="Times New Roman"/>
                <w:b w:val="0"/>
                <w:bCs/>
                <w:color w:val="auto"/>
                <w:lang w:val="en-US" w:eastAsia="zh-CN"/>
              </w:rPr>
              <w:t>乙酸雾吸收废水经厂区污水处理站后接管至</w:t>
            </w:r>
            <w:r>
              <w:rPr>
                <w:rFonts w:hint="eastAsia" w:ascii="Times New Roman" w:hAnsi="Times New Roman" w:cs="Times New Roman"/>
                <w:b w:val="0"/>
                <w:bCs/>
                <w:color w:val="auto"/>
              </w:rPr>
              <w:t>涟水经济开发</w:t>
            </w:r>
            <w:r>
              <w:rPr>
                <w:rFonts w:hint="eastAsia" w:ascii="Times New Roman" w:hAnsi="Times New Roman" w:cs="Times New Roman"/>
                <w:b w:val="0"/>
                <w:bCs/>
                <w:color w:val="auto"/>
                <w:lang w:val="en-US" w:eastAsia="zh-CN"/>
              </w:rPr>
              <w:t>区</w:t>
            </w:r>
            <w:r>
              <w:rPr>
                <w:rFonts w:hint="eastAsia" w:ascii="Times New Roman" w:hAnsi="Times New Roman" w:cs="Times New Roman"/>
                <w:b w:val="0"/>
                <w:bCs/>
                <w:color w:val="auto"/>
              </w:rPr>
              <w:t>西区</w:t>
            </w:r>
            <w:r>
              <w:rPr>
                <w:rFonts w:ascii="Times New Roman" w:hAnsi="Times New Roman" w:cs="Times New Roman"/>
                <w:b w:val="0"/>
                <w:bCs/>
                <w:color w:val="auto"/>
              </w:rPr>
              <w:t>污水处理</w:t>
            </w:r>
            <w:r>
              <w:rPr>
                <w:rFonts w:hint="eastAsia" w:ascii="Times New Roman" w:hAnsi="Times New Roman" w:cs="Times New Roman"/>
                <w:b w:val="0"/>
                <w:bCs/>
                <w:color w:val="auto"/>
                <w:lang w:val="en-US" w:eastAsia="zh-CN"/>
              </w:rPr>
              <w:t>厂处理。</w:t>
            </w:r>
            <w:r>
              <w:rPr>
                <w:rFonts w:hint="eastAsia" w:ascii="Times New Roman" w:hAnsi="Times New Roman" w:cs="Times New Roman"/>
                <w:b w:val="0"/>
                <w:bCs/>
                <w:color w:val="auto"/>
              </w:rPr>
              <w:t>根据过氧乙酸消毒剂中乙酸总量（1g乙酸相当于1.07COD），折算出废水中污染物浓度COD</w:t>
            </w:r>
            <w:r>
              <w:rPr>
                <w:rFonts w:hint="eastAsia" w:ascii="Times New Roman" w:hAnsi="Times New Roman" w:cs="Times New Roman"/>
                <w:b w:val="0"/>
                <w:bCs/>
                <w:color w:val="auto"/>
                <w:lang w:val="en-US" w:eastAsia="zh-CN"/>
              </w:rPr>
              <w:t>446.2</w:t>
            </w:r>
            <w:r>
              <w:rPr>
                <w:rFonts w:hint="eastAsia" w:ascii="Times New Roman" w:hAnsi="Times New Roman" w:cs="Times New Roman"/>
                <w:b w:val="0"/>
                <w:bCs/>
                <w:color w:val="auto"/>
              </w:rPr>
              <w:t>mg/L</w:t>
            </w:r>
            <w:r>
              <w:rPr>
                <w:rFonts w:hint="eastAsia" w:ascii="Times New Roman" w:hAnsi="Times New Roman" w:cs="Times New Roman"/>
                <w:b w:val="0"/>
                <w:bCs/>
                <w:color w:val="auto"/>
                <w:lang w:eastAsia="zh-CN"/>
              </w:rPr>
              <w:t>，</w:t>
            </w:r>
            <w:r>
              <w:rPr>
                <w:rFonts w:hint="eastAsia" w:ascii="Times New Roman" w:hAnsi="Times New Roman" w:cs="Times New Roman"/>
                <w:b w:val="0"/>
                <w:bCs/>
                <w:color w:val="auto"/>
                <w:lang w:val="en-US" w:eastAsia="zh-CN"/>
              </w:rPr>
              <w:t>其他污染物浓度取</w:t>
            </w:r>
            <w:r>
              <w:rPr>
                <w:rFonts w:hint="eastAsia" w:ascii="Times New Roman" w:hAnsi="Times New Roman" w:cs="Times New Roman"/>
                <w:b w:val="0"/>
                <w:bCs/>
                <w:color w:val="auto"/>
              </w:rPr>
              <w:t>SS</w:t>
            </w:r>
            <w:r>
              <w:rPr>
                <w:rFonts w:hint="eastAsia" w:ascii="Times New Roman" w:hAnsi="Times New Roman" w:cs="Times New Roman"/>
                <w:b w:val="0"/>
                <w:bCs/>
                <w:color w:val="auto"/>
                <w:lang w:val="en-US" w:eastAsia="zh-CN"/>
              </w:rPr>
              <w:t>15</w:t>
            </w:r>
            <w:r>
              <w:rPr>
                <w:rFonts w:hint="eastAsia" w:ascii="Times New Roman" w:hAnsi="Times New Roman" w:cs="Times New Roman"/>
                <w:b w:val="0"/>
                <w:bCs/>
                <w:color w:val="auto"/>
              </w:rPr>
              <w:t>0mg/L，NH</w:t>
            </w:r>
            <w:r>
              <w:rPr>
                <w:rFonts w:hint="eastAsia" w:ascii="Times New Roman" w:hAnsi="Times New Roman" w:cs="Times New Roman"/>
                <w:b w:val="0"/>
                <w:bCs/>
                <w:color w:val="auto"/>
                <w:vertAlign w:val="subscript"/>
              </w:rPr>
              <w:t>3</w:t>
            </w:r>
            <w:r>
              <w:rPr>
                <w:rFonts w:hint="eastAsia" w:ascii="Times New Roman" w:hAnsi="Times New Roman" w:cs="Times New Roman"/>
                <w:b w:val="0"/>
                <w:bCs/>
                <w:color w:val="auto"/>
              </w:rPr>
              <w:t>-N</w:t>
            </w:r>
            <w:r>
              <w:rPr>
                <w:rFonts w:hint="eastAsia" w:ascii="Times New Roman" w:hAnsi="Times New Roman" w:cs="Times New Roman"/>
                <w:b w:val="0"/>
                <w:bCs/>
                <w:color w:val="auto"/>
                <w:lang w:val="en-US" w:eastAsia="zh-CN"/>
              </w:rPr>
              <w:t>18</w:t>
            </w:r>
            <w:r>
              <w:rPr>
                <w:rFonts w:hint="eastAsia" w:ascii="Times New Roman" w:hAnsi="Times New Roman" w:cs="Times New Roman"/>
                <w:b w:val="0"/>
                <w:bCs/>
                <w:color w:val="auto"/>
              </w:rPr>
              <w:t>mg/L</w:t>
            </w:r>
            <w:r>
              <w:rPr>
                <w:rFonts w:hint="eastAsia" w:ascii="Times New Roman" w:hAnsi="Times New Roman" w:cs="Times New Roman"/>
                <w:b w:val="0"/>
                <w:bCs/>
                <w:color w:val="auto"/>
                <w:lang w:eastAsia="zh-CN"/>
              </w:rPr>
              <w:t>，TN</w:t>
            </w:r>
            <w:r>
              <w:rPr>
                <w:rFonts w:hint="eastAsia" w:ascii="Times New Roman" w:hAnsi="Times New Roman" w:cs="Times New Roman"/>
                <w:b w:val="0"/>
                <w:bCs/>
                <w:color w:val="auto"/>
                <w:lang w:val="en-US" w:eastAsia="zh-CN"/>
              </w:rPr>
              <w:t>26</w:t>
            </w:r>
            <w:r>
              <w:rPr>
                <w:rFonts w:hint="eastAsia" w:ascii="Times New Roman" w:hAnsi="Times New Roman" w:cs="Times New Roman"/>
                <w:b w:val="0"/>
                <w:bCs/>
                <w:color w:val="auto"/>
                <w:lang w:eastAsia="zh-CN"/>
              </w:rPr>
              <w:t>mg/L</w:t>
            </w:r>
            <w:r>
              <w:rPr>
                <w:rFonts w:hint="eastAsia" w:ascii="Times New Roman" w:hAnsi="Times New Roman" w:cs="Times New Roman"/>
                <w:b w:val="0"/>
                <w:bCs/>
                <w:color w:val="auto"/>
              </w:rPr>
              <w:t>。</w:t>
            </w:r>
          </w:p>
          <w:p w14:paraId="188C39C2">
            <w:pPr>
              <w:pStyle w:val="17"/>
              <w:keepNext w:val="0"/>
              <w:keepLines w:val="0"/>
              <w:pageBreakBefore w:val="0"/>
              <w:widowControl w:val="0"/>
              <w:kinsoku/>
              <w:wordWrap/>
              <w:overflowPunct/>
              <w:topLinePunct w:val="0"/>
              <w:bidi w:val="0"/>
              <w:spacing w:line="360" w:lineRule="auto"/>
              <w:ind w:firstLine="480"/>
              <w:textAlignment w:val="auto"/>
              <w:rPr>
                <w:rFonts w:hint="eastAsia" w:ascii="Times New Roman" w:hAnsi="Times New Roman" w:eastAsia="宋体" w:cs="Times New Roman"/>
                <w:b w:val="0"/>
                <w:bCs/>
                <w:color w:val="auto"/>
                <w:lang w:eastAsia="zh-CN"/>
              </w:rPr>
            </w:pPr>
            <w:r>
              <w:rPr>
                <w:rFonts w:ascii="Times New Roman" w:hAnsi="Times New Roman" w:eastAsia="宋体" w:cs="Times New Roman"/>
                <w:b w:val="0"/>
                <w:bCs/>
                <w:color w:val="auto"/>
              </w:rPr>
              <w:t>（</w:t>
            </w:r>
            <w:r>
              <w:rPr>
                <w:rFonts w:hint="eastAsia" w:ascii="Times New Roman" w:hAnsi="Times New Roman" w:cs="Times New Roman"/>
                <w:b w:val="0"/>
                <w:bCs/>
                <w:color w:val="auto"/>
                <w:lang w:val="en-US" w:eastAsia="zh-CN"/>
              </w:rPr>
              <w:t>3</w:t>
            </w:r>
            <w:r>
              <w:rPr>
                <w:rFonts w:ascii="Times New Roman" w:hAnsi="Times New Roman" w:eastAsia="宋体" w:cs="Times New Roman"/>
                <w:b w:val="0"/>
                <w:bCs/>
                <w:color w:val="auto"/>
              </w:rPr>
              <w:t>）设备清洗</w:t>
            </w:r>
            <w:r>
              <w:rPr>
                <w:rFonts w:hint="eastAsia" w:ascii="Times New Roman" w:hAnsi="Times New Roman" w:eastAsia="宋体" w:cs="Times New Roman"/>
                <w:b w:val="0"/>
                <w:bCs/>
                <w:color w:val="auto"/>
                <w:lang w:val="en-US" w:eastAsia="zh-CN"/>
              </w:rPr>
              <w:t>废水</w:t>
            </w:r>
          </w:p>
          <w:p w14:paraId="73E5740A">
            <w:pPr>
              <w:pStyle w:val="17"/>
              <w:keepNext w:val="0"/>
              <w:keepLines w:val="0"/>
              <w:pageBreakBefore w:val="0"/>
              <w:widowControl w:val="0"/>
              <w:kinsoku/>
              <w:wordWrap/>
              <w:overflowPunct/>
              <w:topLinePunct w:val="0"/>
              <w:bidi w:val="0"/>
              <w:spacing w:line="360" w:lineRule="auto"/>
              <w:ind w:firstLine="480"/>
              <w:jc w:val="both"/>
              <w:textAlignment w:val="auto"/>
              <w:rPr>
                <w:rFonts w:hint="default" w:ascii="Times New Roman" w:hAnsi="Times New Roman" w:eastAsia="宋体" w:cs="Times New Roman"/>
                <w:b w:val="0"/>
                <w:bCs/>
                <w:color w:val="auto"/>
                <w:lang w:val="en-US"/>
              </w:rPr>
            </w:pPr>
            <w:r>
              <w:rPr>
                <w:rFonts w:hint="eastAsia" w:ascii="Times New Roman" w:hAnsi="Times New Roman" w:eastAsia="宋体" w:cs="Times New Roman"/>
                <w:b w:val="0"/>
                <w:bCs/>
                <w:color w:val="auto"/>
                <w:lang w:eastAsia="zh-CN"/>
              </w:rPr>
              <w:t>本</w:t>
            </w:r>
            <w:r>
              <w:rPr>
                <w:rFonts w:ascii="Times New Roman" w:hAnsi="Times New Roman" w:eastAsia="宋体" w:cs="Times New Roman"/>
                <w:b w:val="0"/>
                <w:bCs/>
                <w:color w:val="auto"/>
              </w:rPr>
              <w:t>项目设备清洗废水产生量为</w:t>
            </w:r>
            <w:r>
              <w:rPr>
                <w:rFonts w:hint="eastAsia" w:ascii="Times New Roman" w:hAnsi="Times New Roman" w:cs="Times New Roman"/>
                <w:b w:val="0"/>
                <w:bCs/>
                <w:color w:val="auto"/>
                <w:lang w:val="en-US" w:eastAsia="zh-CN"/>
              </w:rPr>
              <w:t>19800m</w:t>
            </w:r>
            <w:r>
              <w:rPr>
                <w:rFonts w:hint="eastAsia" w:ascii="Times New Roman" w:hAnsi="Times New Roman" w:cs="Times New Roman"/>
                <w:b w:val="0"/>
                <w:bCs/>
                <w:color w:val="auto"/>
                <w:vertAlign w:val="superscript"/>
                <w:lang w:val="en-US" w:eastAsia="zh-CN"/>
              </w:rPr>
              <w:t>3</w:t>
            </w:r>
            <w:r>
              <w:rPr>
                <w:rFonts w:hint="eastAsia" w:ascii="Times New Roman" w:hAnsi="Times New Roman" w:cs="Times New Roman"/>
                <w:b w:val="0"/>
                <w:bCs/>
                <w:color w:val="auto"/>
                <w:lang w:val="en-US" w:eastAsia="zh-CN"/>
              </w:rPr>
              <w:t>/a</w:t>
            </w:r>
            <w:r>
              <w:rPr>
                <w:rFonts w:ascii="Times New Roman" w:hAnsi="Times New Roman" w:eastAsia="宋体" w:cs="Times New Roman"/>
                <w:b w:val="0"/>
                <w:bCs/>
                <w:color w:val="auto"/>
              </w:rPr>
              <w:t>。</w:t>
            </w:r>
            <w:r>
              <w:rPr>
                <w:rFonts w:hint="eastAsia" w:ascii="Times New Roman" w:hAnsi="Times New Roman" w:cs="Times New Roman"/>
                <w:b w:val="0"/>
                <w:bCs/>
                <w:color w:val="auto"/>
                <w:lang w:val="en-US" w:eastAsia="zh-CN"/>
              </w:rPr>
              <w:t>废水经厂区污水处理站后接管至</w:t>
            </w:r>
            <w:r>
              <w:rPr>
                <w:rFonts w:hint="eastAsia" w:ascii="Times New Roman" w:hAnsi="Times New Roman" w:cs="Times New Roman"/>
                <w:b w:val="0"/>
                <w:bCs/>
                <w:color w:val="auto"/>
              </w:rPr>
              <w:t>涟水经济开发</w:t>
            </w:r>
            <w:r>
              <w:rPr>
                <w:rFonts w:hint="eastAsia" w:ascii="Times New Roman" w:hAnsi="Times New Roman" w:cs="Times New Roman"/>
                <w:b w:val="0"/>
                <w:bCs/>
                <w:color w:val="auto"/>
                <w:lang w:val="en-US" w:eastAsia="zh-CN"/>
              </w:rPr>
              <w:t>区</w:t>
            </w:r>
            <w:r>
              <w:rPr>
                <w:rFonts w:hint="eastAsia" w:ascii="Times New Roman" w:hAnsi="Times New Roman" w:cs="Times New Roman"/>
                <w:b w:val="0"/>
                <w:bCs/>
                <w:color w:val="auto"/>
              </w:rPr>
              <w:t>西区</w:t>
            </w:r>
            <w:r>
              <w:rPr>
                <w:rFonts w:ascii="Times New Roman" w:hAnsi="Times New Roman" w:cs="Times New Roman"/>
                <w:b w:val="0"/>
                <w:bCs/>
                <w:color w:val="auto"/>
              </w:rPr>
              <w:t>污水处理</w:t>
            </w:r>
            <w:r>
              <w:rPr>
                <w:rFonts w:hint="eastAsia" w:ascii="Times New Roman" w:hAnsi="Times New Roman" w:cs="Times New Roman"/>
                <w:b w:val="0"/>
                <w:bCs/>
                <w:color w:val="auto"/>
                <w:lang w:val="en-US" w:eastAsia="zh-CN"/>
              </w:rPr>
              <w:t>厂处理。设备清洗水水质参考《饮料制造废水治理工程技术规范》（HJ2048-2015），各项废水浓度取中间值，结合本项目产能比例计算废水污染物浓度；</w:t>
            </w:r>
            <w:r>
              <w:rPr>
                <w:rFonts w:hint="eastAsia"/>
                <w:b w:val="0"/>
                <w:bCs/>
                <w:color w:val="auto"/>
                <w:lang w:val="en-US" w:eastAsia="zh-CN"/>
              </w:rPr>
              <w:t>同时</w:t>
            </w:r>
            <w:r>
              <w:rPr>
                <w:rFonts w:hint="eastAsia" w:ascii="Times New Roman" w:hAnsi="Times New Roman" w:cs="Times New Roman"/>
                <w:b w:val="0"/>
                <w:bCs/>
                <w:color w:val="auto"/>
                <w:lang w:val="en-US" w:eastAsia="zh-CN"/>
              </w:rPr>
              <w:t>根据物料平衡计算得出清洗废水中总氮、总磷含量，详见下表。</w:t>
            </w:r>
          </w:p>
          <w:p w14:paraId="6530C392">
            <w:pPr>
              <w:pStyle w:val="56"/>
              <w:keepNext w:val="0"/>
              <w:keepLines w:val="0"/>
              <w:suppressLineNumbers w:val="0"/>
              <w:bidi w:val="0"/>
              <w:spacing w:after="0"/>
              <w:ind w:left="0" w:right="0"/>
              <w:rPr>
                <w:rFonts w:hint="default"/>
                <w:color w:val="auto"/>
                <w:lang w:val="en-US"/>
              </w:rPr>
            </w:pPr>
            <w:r>
              <w:rPr>
                <w:rFonts w:hint="eastAsia"/>
                <w:color w:val="auto"/>
              </w:rPr>
              <w:t>表4-</w:t>
            </w:r>
            <w:r>
              <w:rPr>
                <w:rFonts w:hint="eastAsia"/>
                <w:color w:val="auto"/>
                <w:lang w:val="en-US" w:eastAsia="zh-CN"/>
              </w:rPr>
              <w:t>10</w:t>
            </w:r>
            <w:r>
              <w:rPr>
                <w:rFonts w:hint="eastAsia"/>
                <w:color w:val="auto"/>
              </w:rPr>
              <w:t xml:space="preserve">  本项目</w:t>
            </w:r>
            <w:r>
              <w:rPr>
                <w:rFonts w:hint="eastAsia"/>
                <w:color w:val="auto"/>
                <w:lang w:val="en-US" w:eastAsia="zh-CN"/>
              </w:rPr>
              <w:t>设备清洗废水污染物产生浓度取值表</w:t>
            </w:r>
          </w:p>
          <w:tbl>
            <w:tblPr>
              <w:tblStyle w:val="20"/>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503"/>
              <w:gridCol w:w="1470"/>
              <w:gridCol w:w="1816"/>
              <w:gridCol w:w="2039"/>
              <w:gridCol w:w="1115"/>
            </w:tblGrid>
            <w:tr w14:paraId="2D02BC6E">
              <w:trPr>
                <w:trHeight w:val="300" w:hRule="atLeast"/>
              </w:trPr>
              <w:tc>
                <w:tcPr>
                  <w:tcW w:w="946" w:type="pct"/>
                  <w:tcBorders>
                    <w:tl2br w:val="nil"/>
                    <w:tr2bl w:val="nil"/>
                  </w:tcBorders>
                  <w:shd w:val="clear" w:color="auto" w:fill="auto"/>
                  <w:vAlign w:val="center"/>
                </w:tcPr>
                <w:p w14:paraId="40114102">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类别</w:t>
                  </w:r>
                </w:p>
              </w:tc>
              <w:tc>
                <w:tcPr>
                  <w:tcW w:w="925" w:type="pct"/>
                  <w:tcBorders>
                    <w:tl2br w:val="nil"/>
                    <w:tr2bl w:val="nil"/>
                  </w:tcBorders>
                  <w:shd w:val="clear" w:color="auto" w:fill="auto"/>
                  <w:vAlign w:val="center"/>
                </w:tcPr>
                <w:p w14:paraId="23A7E9FF">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污染物名称</w:t>
                  </w:r>
                </w:p>
              </w:tc>
              <w:tc>
                <w:tcPr>
                  <w:tcW w:w="1143" w:type="pct"/>
                  <w:tcBorders>
                    <w:tl2br w:val="nil"/>
                    <w:tr2bl w:val="nil"/>
                  </w:tcBorders>
                  <w:shd w:val="clear" w:color="auto" w:fill="auto"/>
                  <w:vAlign w:val="center"/>
                </w:tcPr>
                <w:p w14:paraId="35121342">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浓度范围（</w:t>
                  </w:r>
                  <w:r>
                    <w:rPr>
                      <w:rFonts w:hint="eastAsia" w:ascii="Times New Roman" w:hAnsi="Times New Roman" w:eastAsia="宋体" w:cs="Times New Roman"/>
                      <w:b w:val="0"/>
                      <w:bCs/>
                      <w:color w:val="auto"/>
                      <w:sz w:val="21"/>
                      <w:lang w:val="en-US" w:eastAsia="zh-CN"/>
                    </w:rPr>
                    <w:t>mg/L</w:t>
                  </w:r>
                  <w:r>
                    <w:rPr>
                      <w:rFonts w:hint="eastAsia" w:ascii="Times New Roman" w:hAnsi="Times New Roman" w:eastAsia="宋体"/>
                      <w:color w:val="auto"/>
                      <w:sz w:val="21"/>
                      <w:lang w:val="en-US" w:eastAsia="zh-CN"/>
                    </w:rPr>
                    <w:t>）</w:t>
                  </w:r>
                </w:p>
              </w:tc>
              <w:tc>
                <w:tcPr>
                  <w:tcW w:w="1283" w:type="pct"/>
                  <w:tcBorders>
                    <w:tl2br w:val="nil"/>
                    <w:tr2bl w:val="nil"/>
                  </w:tcBorders>
                  <w:shd w:val="clear" w:color="auto" w:fill="auto"/>
                  <w:vAlign w:val="center"/>
                </w:tcPr>
                <w:p w14:paraId="2273D1A4">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本项目取值（</w:t>
                  </w:r>
                  <w:r>
                    <w:rPr>
                      <w:rFonts w:hint="eastAsia" w:ascii="Times New Roman" w:hAnsi="Times New Roman" w:eastAsia="宋体" w:cs="Times New Roman"/>
                      <w:b w:val="0"/>
                      <w:bCs/>
                      <w:color w:val="auto"/>
                      <w:sz w:val="21"/>
                      <w:lang w:val="en-US" w:eastAsia="zh-CN"/>
                    </w:rPr>
                    <w:t>mg/L</w:t>
                  </w:r>
                  <w:r>
                    <w:rPr>
                      <w:rFonts w:hint="eastAsia" w:ascii="Times New Roman" w:hAnsi="Times New Roman" w:eastAsia="宋体"/>
                      <w:color w:val="auto"/>
                      <w:sz w:val="21"/>
                      <w:lang w:val="en-US" w:eastAsia="zh-CN"/>
                    </w:rPr>
                    <w:t>）</w:t>
                  </w:r>
                </w:p>
              </w:tc>
              <w:tc>
                <w:tcPr>
                  <w:tcW w:w="701" w:type="pct"/>
                  <w:tcBorders>
                    <w:tl2br w:val="nil"/>
                    <w:tr2bl w:val="nil"/>
                  </w:tcBorders>
                  <w:shd w:val="clear" w:color="auto" w:fill="auto"/>
                  <w:vAlign w:val="center"/>
                </w:tcPr>
                <w:p w14:paraId="2FF5300F">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产能占比</w:t>
                  </w:r>
                </w:p>
              </w:tc>
            </w:tr>
            <w:tr w14:paraId="2A495500">
              <w:trPr>
                <w:trHeight w:val="91" w:hRule="atLeast"/>
              </w:trPr>
              <w:tc>
                <w:tcPr>
                  <w:tcW w:w="946" w:type="pct"/>
                  <w:vMerge w:val="restart"/>
                  <w:tcBorders>
                    <w:tl2br w:val="nil"/>
                    <w:tr2bl w:val="nil"/>
                  </w:tcBorders>
                  <w:shd w:val="clear" w:color="auto" w:fill="auto"/>
                  <w:vAlign w:val="center"/>
                </w:tcPr>
                <w:p w14:paraId="3895F95B">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椰子汁</w:t>
                  </w:r>
                </w:p>
              </w:tc>
              <w:tc>
                <w:tcPr>
                  <w:tcW w:w="925" w:type="pct"/>
                  <w:tcBorders>
                    <w:tl2br w:val="nil"/>
                    <w:tr2bl w:val="nil"/>
                  </w:tcBorders>
                  <w:shd w:val="clear" w:color="auto" w:fill="auto"/>
                  <w:vAlign w:val="center"/>
                </w:tcPr>
                <w:p w14:paraId="33B66C7C">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COD</w:t>
                  </w:r>
                </w:p>
              </w:tc>
              <w:tc>
                <w:tcPr>
                  <w:tcW w:w="1143" w:type="pct"/>
                  <w:tcBorders>
                    <w:tl2br w:val="nil"/>
                    <w:tr2bl w:val="nil"/>
                  </w:tcBorders>
                  <w:shd w:val="clear" w:color="auto" w:fill="auto"/>
                  <w:vAlign w:val="center"/>
                </w:tcPr>
                <w:p w14:paraId="1845790B">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900-2000</w:t>
                  </w:r>
                </w:p>
              </w:tc>
              <w:tc>
                <w:tcPr>
                  <w:tcW w:w="1283" w:type="pct"/>
                  <w:tcBorders>
                    <w:tl2br w:val="nil"/>
                    <w:tr2bl w:val="nil"/>
                  </w:tcBorders>
                  <w:shd w:val="clear" w:color="auto" w:fill="auto"/>
                  <w:vAlign w:val="center"/>
                </w:tcPr>
                <w:p w14:paraId="41B37824">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1450</w:t>
                  </w:r>
                </w:p>
              </w:tc>
              <w:tc>
                <w:tcPr>
                  <w:tcW w:w="701" w:type="pct"/>
                  <w:vMerge w:val="restart"/>
                  <w:tcBorders>
                    <w:tl2br w:val="nil"/>
                    <w:tr2bl w:val="nil"/>
                  </w:tcBorders>
                  <w:shd w:val="clear" w:color="auto" w:fill="auto"/>
                  <w:vAlign w:val="center"/>
                </w:tcPr>
                <w:p w14:paraId="22F0B2A6">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30%</w:t>
                  </w:r>
                </w:p>
              </w:tc>
            </w:tr>
            <w:tr w14:paraId="7B141FCE">
              <w:trPr>
                <w:trHeight w:val="91" w:hRule="atLeast"/>
              </w:trPr>
              <w:tc>
                <w:tcPr>
                  <w:tcW w:w="946" w:type="pct"/>
                  <w:vMerge w:val="continue"/>
                  <w:tcBorders>
                    <w:tl2br w:val="nil"/>
                    <w:tr2bl w:val="nil"/>
                  </w:tcBorders>
                  <w:shd w:val="clear" w:color="auto" w:fill="auto"/>
                  <w:vAlign w:val="center"/>
                </w:tcPr>
                <w:p w14:paraId="06122232">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olor w:val="auto"/>
                      <w:sz w:val="21"/>
                      <w:lang w:val="en-US" w:eastAsia="zh-CN"/>
                    </w:rPr>
                  </w:pPr>
                </w:p>
              </w:tc>
              <w:tc>
                <w:tcPr>
                  <w:tcW w:w="925" w:type="pct"/>
                  <w:tcBorders>
                    <w:tl2br w:val="nil"/>
                    <w:tr2bl w:val="nil"/>
                  </w:tcBorders>
                  <w:shd w:val="clear" w:color="auto" w:fill="auto"/>
                  <w:vAlign w:val="center"/>
                </w:tcPr>
                <w:p w14:paraId="09EAF38D">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BOD</w:t>
                  </w:r>
                  <w:r>
                    <w:rPr>
                      <w:rFonts w:hint="eastAsia" w:ascii="Times New Roman" w:hAnsi="Times New Roman" w:eastAsia="宋体"/>
                      <w:color w:val="auto"/>
                      <w:sz w:val="21"/>
                      <w:vertAlign w:val="subscript"/>
                      <w:lang w:val="en-US" w:eastAsia="zh-CN"/>
                    </w:rPr>
                    <w:t>5</w:t>
                  </w:r>
                </w:p>
              </w:tc>
              <w:tc>
                <w:tcPr>
                  <w:tcW w:w="1143" w:type="pct"/>
                  <w:tcBorders>
                    <w:tl2br w:val="nil"/>
                    <w:tr2bl w:val="nil"/>
                  </w:tcBorders>
                  <w:shd w:val="clear" w:color="auto" w:fill="auto"/>
                  <w:vAlign w:val="center"/>
                </w:tcPr>
                <w:p w14:paraId="011FF952">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200-1300</w:t>
                  </w:r>
                </w:p>
              </w:tc>
              <w:tc>
                <w:tcPr>
                  <w:tcW w:w="1283" w:type="pct"/>
                  <w:tcBorders>
                    <w:tl2br w:val="nil"/>
                    <w:tr2bl w:val="nil"/>
                  </w:tcBorders>
                  <w:shd w:val="clear" w:color="auto" w:fill="auto"/>
                  <w:vAlign w:val="center"/>
                </w:tcPr>
                <w:p w14:paraId="584A8864">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750</w:t>
                  </w:r>
                </w:p>
              </w:tc>
              <w:tc>
                <w:tcPr>
                  <w:tcW w:w="701" w:type="pct"/>
                  <w:vMerge w:val="continue"/>
                  <w:tcBorders>
                    <w:tl2br w:val="nil"/>
                    <w:tr2bl w:val="nil"/>
                  </w:tcBorders>
                  <w:shd w:val="clear" w:color="auto" w:fill="auto"/>
                  <w:vAlign w:val="center"/>
                </w:tcPr>
                <w:p w14:paraId="774289CA">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olor w:val="auto"/>
                      <w:sz w:val="21"/>
                      <w:lang w:val="en-US" w:eastAsia="zh-CN"/>
                    </w:rPr>
                  </w:pPr>
                </w:p>
              </w:tc>
            </w:tr>
            <w:tr w14:paraId="57F9769E">
              <w:trPr>
                <w:trHeight w:val="91" w:hRule="atLeast"/>
              </w:trPr>
              <w:tc>
                <w:tcPr>
                  <w:tcW w:w="946" w:type="pct"/>
                  <w:vMerge w:val="continue"/>
                  <w:tcBorders>
                    <w:tl2br w:val="nil"/>
                    <w:tr2bl w:val="nil"/>
                  </w:tcBorders>
                  <w:shd w:val="clear" w:color="auto" w:fill="auto"/>
                  <w:vAlign w:val="center"/>
                </w:tcPr>
                <w:p w14:paraId="004EA016">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olor w:val="auto"/>
                      <w:sz w:val="21"/>
                      <w:lang w:val="en-US" w:eastAsia="zh-CN"/>
                    </w:rPr>
                  </w:pPr>
                </w:p>
              </w:tc>
              <w:tc>
                <w:tcPr>
                  <w:tcW w:w="925" w:type="pct"/>
                  <w:tcBorders>
                    <w:tl2br w:val="nil"/>
                    <w:tr2bl w:val="nil"/>
                  </w:tcBorders>
                  <w:shd w:val="clear" w:color="auto" w:fill="auto"/>
                  <w:vAlign w:val="center"/>
                </w:tcPr>
                <w:p w14:paraId="16677E95">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氨氮</w:t>
                  </w:r>
                </w:p>
              </w:tc>
              <w:tc>
                <w:tcPr>
                  <w:tcW w:w="1143" w:type="pct"/>
                  <w:tcBorders>
                    <w:tl2br w:val="nil"/>
                    <w:tr2bl w:val="nil"/>
                  </w:tcBorders>
                  <w:shd w:val="clear" w:color="auto" w:fill="auto"/>
                  <w:vAlign w:val="center"/>
                </w:tcPr>
                <w:p w14:paraId="46D4168C">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10-80</w:t>
                  </w:r>
                </w:p>
              </w:tc>
              <w:tc>
                <w:tcPr>
                  <w:tcW w:w="1283" w:type="pct"/>
                  <w:tcBorders>
                    <w:tl2br w:val="nil"/>
                    <w:tr2bl w:val="nil"/>
                  </w:tcBorders>
                  <w:shd w:val="clear" w:color="auto" w:fill="auto"/>
                  <w:vAlign w:val="center"/>
                </w:tcPr>
                <w:p w14:paraId="6E279A52">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45</w:t>
                  </w:r>
                </w:p>
              </w:tc>
              <w:tc>
                <w:tcPr>
                  <w:tcW w:w="701" w:type="pct"/>
                  <w:vMerge w:val="continue"/>
                  <w:tcBorders>
                    <w:tl2br w:val="nil"/>
                    <w:tr2bl w:val="nil"/>
                  </w:tcBorders>
                  <w:shd w:val="clear" w:color="auto" w:fill="auto"/>
                  <w:vAlign w:val="center"/>
                </w:tcPr>
                <w:p w14:paraId="2B0E5917">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olor w:val="auto"/>
                      <w:sz w:val="21"/>
                      <w:lang w:val="en-US" w:eastAsia="zh-CN"/>
                    </w:rPr>
                  </w:pPr>
                </w:p>
              </w:tc>
            </w:tr>
            <w:tr w14:paraId="4750EBBA">
              <w:trPr>
                <w:trHeight w:val="91" w:hRule="atLeast"/>
              </w:trPr>
              <w:tc>
                <w:tcPr>
                  <w:tcW w:w="946" w:type="pct"/>
                  <w:vMerge w:val="restart"/>
                  <w:tcBorders>
                    <w:tl2br w:val="nil"/>
                    <w:tr2bl w:val="nil"/>
                  </w:tcBorders>
                  <w:shd w:val="clear" w:color="auto" w:fill="auto"/>
                  <w:vAlign w:val="center"/>
                </w:tcPr>
                <w:p w14:paraId="7DAB77B2">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茶饮料</w:t>
                  </w:r>
                </w:p>
              </w:tc>
              <w:tc>
                <w:tcPr>
                  <w:tcW w:w="925" w:type="pct"/>
                  <w:tcBorders>
                    <w:tl2br w:val="nil"/>
                    <w:tr2bl w:val="nil"/>
                  </w:tcBorders>
                  <w:shd w:val="clear" w:color="auto" w:fill="auto"/>
                  <w:vAlign w:val="center"/>
                </w:tcPr>
                <w:p w14:paraId="61BF47F1">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COD</w:t>
                  </w:r>
                </w:p>
              </w:tc>
              <w:tc>
                <w:tcPr>
                  <w:tcW w:w="1143" w:type="pct"/>
                  <w:tcBorders>
                    <w:tl2br w:val="nil"/>
                    <w:tr2bl w:val="nil"/>
                  </w:tcBorders>
                  <w:shd w:val="clear" w:color="auto" w:fill="auto"/>
                  <w:vAlign w:val="center"/>
                </w:tcPr>
                <w:p w14:paraId="2C75E299">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600-2500</w:t>
                  </w:r>
                </w:p>
              </w:tc>
              <w:tc>
                <w:tcPr>
                  <w:tcW w:w="1283" w:type="pct"/>
                  <w:tcBorders>
                    <w:tl2br w:val="nil"/>
                    <w:tr2bl w:val="nil"/>
                  </w:tcBorders>
                  <w:shd w:val="clear" w:color="auto" w:fill="auto"/>
                  <w:vAlign w:val="center"/>
                </w:tcPr>
                <w:p w14:paraId="6CE5F3CE">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Times New Roman" w:hAnsi="Times New Roman" w:eastAsia="宋体"/>
                      <w:color w:val="auto"/>
                      <w:sz w:val="21"/>
                      <w:lang w:val="en-US" w:eastAsia="zh-CN"/>
                    </w:rPr>
                  </w:pPr>
                  <w:r>
                    <w:rPr>
                      <w:rFonts w:hint="eastAsia" w:ascii="Times New Roman" w:hAnsi="Times New Roman" w:eastAsia="宋体" w:cs="Times New Roman"/>
                      <w:color w:val="auto"/>
                      <w:kern w:val="2"/>
                      <w:sz w:val="21"/>
                      <w:szCs w:val="21"/>
                      <w:lang w:val="en-US" w:eastAsia="zh-CN" w:bidi="ar-SA"/>
                    </w:rPr>
                    <w:t>1550</w:t>
                  </w:r>
                </w:p>
              </w:tc>
              <w:tc>
                <w:tcPr>
                  <w:tcW w:w="701" w:type="pct"/>
                  <w:vMerge w:val="restart"/>
                  <w:tcBorders>
                    <w:tl2br w:val="nil"/>
                    <w:tr2bl w:val="nil"/>
                  </w:tcBorders>
                  <w:shd w:val="clear" w:color="auto" w:fill="auto"/>
                  <w:vAlign w:val="center"/>
                </w:tcPr>
                <w:p w14:paraId="45C48763">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10%</w:t>
                  </w:r>
                </w:p>
              </w:tc>
            </w:tr>
            <w:tr w14:paraId="4AA0086D">
              <w:trPr>
                <w:trHeight w:val="91" w:hRule="atLeast"/>
              </w:trPr>
              <w:tc>
                <w:tcPr>
                  <w:tcW w:w="946" w:type="pct"/>
                  <w:vMerge w:val="continue"/>
                  <w:tcBorders>
                    <w:tl2br w:val="nil"/>
                    <w:tr2bl w:val="nil"/>
                  </w:tcBorders>
                  <w:shd w:val="clear" w:color="auto" w:fill="auto"/>
                  <w:vAlign w:val="center"/>
                </w:tcPr>
                <w:p w14:paraId="440324C0">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Times New Roman" w:hAnsi="Times New Roman" w:eastAsia="宋体"/>
                      <w:color w:val="auto"/>
                      <w:sz w:val="21"/>
                      <w:lang w:val="en-US" w:eastAsia="zh-CN"/>
                    </w:rPr>
                  </w:pPr>
                </w:p>
              </w:tc>
              <w:tc>
                <w:tcPr>
                  <w:tcW w:w="925" w:type="pct"/>
                  <w:tcBorders>
                    <w:tl2br w:val="nil"/>
                    <w:tr2bl w:val="nil"/>
                  </w:tcBorders>
                  <w:shd w:val="clear" w:color="auto" w:fill="auto"/>
                  <w:vAlign w:val="center"/>
                </w:tcPr>
                <w:p w14:paraId="0E1B08AD">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BOD</w:t>
                  </w:r>
                  <w:r>
                    <w:rPr>
                      <w:rFonts w:hint="eastAsia" w:ascii="Times New Roman" w:hAnsi="Times New Roman" w:eastAsia="宋体"/>
                      <w:color w:val="auto"/>
                      <w:sz w:val="21"/>
                      <w:vertAlign w:val="subscript"/>
                      <w:lang w:val="en-US" w:eastAsia="zh-CN"/>
                    </w:rPr>
                    <w:t>5</w:t>
                  </w:r>
                </w:p>
              </w:tc>
              <w:tc>
                <w:tcPr>
                  <w:tcW w:w="1143" w:type="pct"/>
                  <w:tcBorders>
                    <w:tl2br w:val="nil"/>
                    <w:tr2bl w:val="nil"/>
                  </w:tcBorders>
                  <w:shd w:val="clear" w:color="auto" w:fill="auto"/>
                  <w:vAlign w:val="center"/>
                </w:tcPr>
                <w:p w14:paraId="4FBD81D2">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300-1400</w:t>
                  </w:r>
                </w:p>
              </w:tc>
              <w:tc>
                <w:tcPr>
                  <w:tcW w:w="1283" w:type="pct"/>
                  <w:tcBorders>
                    <w:tl2br w:val="nil"/>
                    <w:tr2bl w:val="nil"/>
                  </w:tcBorders>
                  <w:shd w:val="clear" w:color="auto" w:fill="auto"/>
                  <w:vAlign w:val="center"/>
                </w:tcPr>
                <w:p w14:paraId="7A026CEC">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850</w:t>
                  </w:r>
                </w:p>
              </w:tc>
              <w:tc>
                <w:tcPr>
                  <w:tcW w:w="701" w:type="pct"/>
                  <w:vMerge w:val="continue"/>
                  <w:tcBorders>
                    <w:tl2br w:val="nil"/>
                    <w:tr2bl w:val="nil"/>
                  </w:tcBorders>
                  <w:shd w:val="clear" w:color="auto" w:fill="auto"/>
                  <w:vAlign w:val="center"/>
                </w:tcPr>
                <w:p w14:paraId="0EBE584A">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olor w:val="auto"/>
                      <w:sz w:val="21"/>
                      <w:lang w:val="en-US" w:eastAsia="zh-CN"/>
                    </w:rPr>
                  </w:pPr>
                </w:p>
              </w:tc>
            </w:tr>
            <w:tr w14:paraId="25A6489F">
              <w:trPr>
                <w:trHeight w:val="91" w:hRule="atLeast"/>
              </w:trPr>
              <w:tc>
                <w:tcPr>
                  <w:tcW w:w="946" w:type="pct"/>
                  <w:vMerge w:val="continue"/>
                  <w:tcBorders>
                    <w:tl2br w:val="nil"/>
                    <w:tr2bl w:val="nil"/>
                  </w:tcBorders>
                  <w:shd w:val="clear" w:color="auto" w:fill="auto"/>
                  <w:vAlign w:val="center"/>
                </w:tcPr>
                <w:p w14:paraId="48DC9CCC">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Times New Roman" w:hAnsi="Times New Roman" w:eastAsia="宋体"/>
                      <w:color w:val="auto"/>
                      <w:sz w:val="21"/>
                      <w:lang w:val="en-US" w:eastAsia="zh-CN"/>
                    </w:rPr>
                  </w:pPr>
                </w:p>
              </w:tc>
              <w:tc>
                <w:tcPr>
                  <w:tcW w:w="925" w:type="pct"/>
                  <w:tcBorders>
                    <w:tl2br w:val="nil"/>
                    <w:tr2bl w:val="nil"/>
                  </w:tcBorders>
                  <w:shd w:val="clear" w:color="auto" w:fill="auto"/>
                  <w:vAlign w:val="center"/>
                </w:tcPr>
                <w:p w14:paraId="689B8290">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氨氮</w:t>
                  </w:r>
                </w:p>
              </w:tc>
              <w:tc>
                <w:tcPr>
                  <w:tcW w:w="1143" w:type="pct"/>
                  <w:tcBorders>
                    <w:tl2br w:val="nil"/>
                    <w:tr2bl w:val="nil"/>
                  </w:tcBorders>
                  <w:shd w:val="clear" w:color="auto" w:fill="auto"/>
                  <w:vAlign w:val="center"/>
                </w:tcPr>
                <w:p w14:paraId="2C52BFD5">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5-35</w:t>
                  </w:r>
                </w:p>
              </w:tc>
              <w:tc>
                <w:tcPr>
                  <w:tcW w:w="1283" w:type="pct"/>
                  <w:tcBorders>
                    <w:tl2br w:val="nil"/>
                    <w:tr2bl w:val="nil"/>
                  </w:tcBorders>
                  <w:shd w:val="clear" w:color="auto" w:fill="auto"/>
                  <w:vAlign w:val="center"/>
                </w:tcPr>
                <w:p w14:paraId="50AFA4F2">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20</w:t>
                  </w:r>
                </w:p>
              </w:tc>
              <w:tc>
                <w:tcPr>
                  <w:tcW w:w="701" w:type="pct"/>
                  <w:vMerge w:val="continue"/>
                  <w:tcBorders>
                    <w:tl2br w:val="nil"/>
                    <w:tr2bl w:val="nil"/>
                  </w:tcBorders>
                  <w:shd w:val="clear" w:color="auto" w:fill="auto"/>
                  <w:vAlign w:val="center"/>
                </w:tcPr>
                <w:p w14:paraId="6A14C19A">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olor w:val="auto"/>
                      <w:sz w:val="21"/>
                      <w:lang w:val="en-US" w:eastAsia="zh-CN"/>
                    </w:rPr>
                  </w:pPr>
                </w:p>
              </w:tc>
            </w:tr>
            <w:tr w14:paraId="6F0FD475">
              <w:trPr>
                <w:trHeight w:val="91" w:hRule="atLeast"/>
              </w:trPr>
              <w:tc>
                <w:tcPr>
                  <w:tcW w:w="946" w:type="pct"/>
                  <w:vMerge w:val="restart"/>
                  <w:tcBorders>
                    <w:tl2br w:val="nil"/>
                    <w:tr2bl w:val="nil"/>
                  </w:tcBorders>
                  <w:shd w:val="clear" w:color="auto" w:fill="auto"/>
                  <w:vAlign w:val="center"/>
                </w:tcPr>
                <w:p w14:paraId="3A32AEAA">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复合果汁饮料</w:t>
                  </w:r>
                </w:p>
              </w:tc>
              <w:tc>
                <w:tcPr>
                  <w:tcW w:w="925" w:type="pct"/>
                  <w:tcBorders>
                    <w:tl2br w:val="nil"/>
                    <w:tr2bl w:val="nil"/>
                  </w:tcBorders>
                  <w:shd w:val="clear" w:color="auto" w:fill="auto"/>
                  <w:vAlign w:val="center"/>
                </w:tcPr>
                <w:p w14:paraId="475261BE">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COD</w:t>
                  </w:r>
                </w:p>
              </w:tc>
              <w:tc>
                <w:tcPr>
                  <w:tcW w:w="1143" w:type="pct"/>
                  <w:tcBorders>
                    <w:tl2br w:val="nil"/>
                    <w:tr2bl w:val="nil"/>
                  </w:tcBorders>
                  <w:shd w:val="clear" w:color="auto" w:fill="auto"/>
                  <w:vAlign w:val="center"/>
                </w:tcPr>
                <w:p w14:paraId="5D756D15">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1700-3700</w:t>
                  </w:r>
                </w:p>
              </w:tc>
              <w:tc>
                <w:tcPr>
                  <w:tcW w:w="1283" w:type="pct"/>
                  <w:tcBorders>
                    <w:tl2br w:val="nil"/>
                    <w:tr2bl w:val="nil"/>
                  </w:tcBorders>
                  <w:shd w:val="clear" w:color="auto" w:fill="auto"/>
                  <w:vAlign w:val="center"/>
                </w:tcPr>
                <w:p w14:paraId="3202E636">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2700</w:t>
                  </w:r>
                </w:p>
              </w:tc>
              <w:tc>
                <w:tcPr>
                  <w:tcW w:w="701" w:type="pct"/>
                  <w:vMerge w:val="restart"/>
                  <w:tcBorders>
                    <w:tl2br w:val="nil"/>
                    <w:tr2bl w:val="nil"/>
                  </w:tcBorders>
                  <w:shd w:val="clear" w:color="auto" w:fill="auto"/>
                  <w:vAlign w:val="center"/>
                </w:tcPr>
                <w:p w14:paraId="43004130">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20%</w:t>
                  </w:r>
                </w:p>
              </w:tc>
            </w:tr>
            <w:tr w14:paraId="352F5697">
              <w:trPr>
                <w:trHeight w:val="91" w:hRule="atLeast"/>
              </w:trPr>
              <w:tc>
                <w:tcPr>
                  <w:tcW w:w="946" w:type="pct"/>
                  <w:vMerge w:val="continue"/>
                  <w:tcBorders>
                    <w:tl2br w:val="nil"/>
                    <w:tr2bl w:val="nil"/>
                  </w:tcBorders>
                  <w:shd w:val="clear" w:color="auto" w:fill="auto"/>
                  <w:vAlign w:val="center"/>
                </w:tcPr>
                <w:p w14:paraId="62A2D809">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ascii="Times New Roman" w:hAnsi="Times New Roman" w:eastAsia="宋体"/>
                      <w:color w:val="auto"/>
                      <w:sz w:val="21"/>
                    </w:rPr>
                  </w:pPr>
                </w:p>
              </w:tc>
              <w:tc>
                <w:tcPr>
                  <w:tcW w:w="925" w:type="pct"/>
                  <w:tcBorders>
                    <w:tl2br w:val="nil"/>
                    <w:tr2bl w:val="nil"/>
                  </w:tcBorders>
                  <w:shd w:val="clear" w:color="auto" w:fill="auto"/>
                  <w:vAlign w:val="center"/>
                </w:tcPr>
                <w:p w14:paraId="7275AED0">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BOD</w:t>
                  </w:r>
                  <w:r>
                    <w:rPr>
                      <w:rFonts w:hint="eastAsia" w:ascii="Times New Roman" w:hAnsi="Times New Roman" w:eastAsia="宋体"/>
                      <w:color w:val="auto"/>
                      <w:sz w:val="21"/>
                      <w:vertAlign w:val="subscript"/>
                      <w:lang w:val="en-US" w:eastAsia="zh-CN"/>
                    </w:rPr>
                    <w:t>5</w:t>
                  </w:r>
                </w:p>
              </w:tc>
              <w:tc>
                <w:tcPr>
                  <w:tcW w:w="1143" w:type="pct"/>
                  <w:tcBorders>
                    <w:tl2br w:val="nil"/>
                    <w:tr2bl w:val="nil"/>
                  </w:tcBorders>
                  <w:shd w:val="clear" w:color="auto" w:fill="auto"/>
                  <w:vAlign w:val="center"/>
                </w:tcPr>
                <w:p w14:paraId="0724D789">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1200-2900</w:t>
                  </w:r>
                </w:p>
              </w:tc>
              <w:tc>
                <w:tcPr>
                  <w:tcW w:w="1283" w:type="pct"/>
                  <w:tcBorders>
                    <w:tl2br w:val="nil"/>
                    <w:tr2bl w:val="nil"/>
                  </w:tcBorders>
                  <w:shd w:val="clear" w:color="auto" w:fill="auto"/>
                  <w:vAlign w:val="center"/>
                </w:tcPr>
                <w:p w14:paraId="153ED13C">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2050</w:t>
                  </w:r>
                </w:p>
              </w:tc>
              <w:tc>
                <w:tcPr>
                  <w:tcW w:w="701" w:type="pct"/>
                  <w:vMerge w:val="continue"/>
                  <w:tcBorders>
                    <w:tl2br w:val="nil"/>
                    <w:tr2bl w:val="nil"/>
                  </w:tcBorders>
                  <w:shd w:val="clear" w:color="auto" w:fill="auto"/>
                  <w:vAlign w:val="center"/>
                </w:tcPr>
                <w:p w14:paraId="78D3E67D">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olor w:val="auto"/>
                      <w:sz w:val="21"/>
                      <w:lang w:val="en-US" w:eastAsia="zh-CN"/>
                    </w:rPr>
                  </w:pPr>
                </w:p>
              </w:tc>
            </w:tr>
            <w:tr w14:paraId="61D0A0DD">
              <w:trPr>
                <w:trHeight w:val="91" w:hRule="atLeast"/>
              </w:trPr>
              <w:tc>
                <w:tcPr>
                  <w:tcW w:w="946" w:type="pct"/>
                  <w:vMerge w:val="continue"/>
                  <w:tcBorders>
                    <w:tl2br w:val="nil"/>
                    <w:tr2bl w:val="nil"/>
                  </w:tcBorders>
                  <w:shd w:val="clear" w:color="auto" w:fill="auto"/>
                  <w:vAlign w:val="center"/>
                </w:tcPr>
                <w:p w14:paraId="146D5B74">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olor w:val="auto"/>
                      <w:sz w:val="21"/>
                      <w:lang w:val="en-US" w:eastAsia="zh-CN"/>
                    </w:rPr>
                  </w:pPr>
                </w:p>
              </w:tc>
              <w:tc>
                <w:tcPr>
                  <w:tcW w:w="925" w:type="pct"/>
                  <w:tcBorders>
                    <w:tl2br w:val="nil"/>
                    <w:tr2bl w:val="nil"/>
                  </w:tcBorders>
                  <w:shd w:val="clear" w:color="auto" w:fill="auto"/>
                  <w:vAlign w:val="center"/>
                </w:tcPr>
                <w:p w14:paraId="029F13A8">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氨氮</w:t>
                  </w:r>
                </w:p>
              </w:tc>
              <w:tc>
                <w:tcPr>
                  <w:tcW w:w="1143" w:type="pct"/>
                  <w:tcBorders>
                    <w:tl2br w:val="nil"/>
                    <w:tr2bl w:val="nil"/>
                  </w:tcBorders>
                  <w:shd w:val="clear" w:color="auto" w:fill="auto"/>
                  <w:vAlign w:val="center"/>
                </w:tcPr>
                <w:p w14:paraId="658CD9C0">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5-25</w:t>
                  </w:r>
                </w:p>
              </w:tc>
              <w:tc>
                <w:tcPr>
                  <w:tcW w:w="1283" w:type="pct"/>
                  <w:tcBorders>
                    <w:tl2br w:val="nil"/>
                    <w:tr2bl w:val="nil"/>
                  </w:tcBorders>
                  <w:shd w:val="clear" w:color="auto" w:fill="auto"/>
                  <w:vAlign w:val="center"/>
                </w:tcPr>
                <w:p w14:paraId="66CDB283">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15</w:t>
                  </w:r>
                </w:p>
              </w:tc>
              <w:tc>
                <w:tcPr>
                  <w:tcW w:w="701" w:type="pct"/>
                  <w:vMerge w:val="continue"/>
                  <w:tcBorders>
                    <w:tl2br w:val="nil"/>
                    <w:tr2bl w:val="nil"/>
                  </w:tcBorders>
                  <w:shd w:val="clear" w:color="auto" w:fill="auto"/>
                  <w:vAlign w:val="center"/>
                </w:tcPr>
                <w:p w14:paraId="73657D07">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olor w:val="auto"/>
                      <w:sz w:val="21"/>
                      <w:lang w:val="en-US" w:eastAsia="zh-CN"/>
                    </w:rPr>
                  </w:pPr>
                </w:p>
              </w:tc>
            </w:tr>
            <w:tr w14:paraId="08748A49">
              <w:trPr>
                <w:trHeight w:val="91" w:hRule="atLeast"/>
              </w:trPr>
              <w:tc>
                <w:tcPr>
                  <w:tcW w:w="946" w:type="pct"/>
                  <w:vMerge w:val="restart"/>
                  <w:tcBorders>
                    <w:tl2br w:val="nil"/>
                    <w:tr2bl w:val="nil"/>
                  </w:tcBorders>
                  <w:shd w:val="clear" w:color="auto" w:fill="auto"/>
                  <w:vAlign w:val="center"/>
                </w:tcPr>
                <w:p w14:paraId="518AE77E">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咖啡饮料</w:t>
                  </w:r>
                </w:p>
              </w:tc>
              <w:tc>
                <w:tcPr>
                  <w:tcW w:w="925" w:type="pct"/>
                  <w:tcBorders>
                    <w:tl2br w:val="nil"/>
                    <w:tr2bl w:val="nil"/>
                  </w:tcBorders>
                  <w:shd w:val="clear" w:color="auto" w:fill="auto"/>
                  <w:vAlign w:val="center"/>
                </w:tcPr>
                <w:p w14:paraId="5F760A97">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COD</w:t>
                  </w:r>
                </w:p>
              </w:tc>
              <w:tc>
                <w:tcPr>
                  <w:tcW w:w="1143" w:type="pct"/>
                  <w:tcBorders>
                    <w:tl2br w:val="nil"/>
                    <w:tr2bl w:val="nil"/>
                  </w:tcBorders>
                  <w:shd w:val="clear" w:color="auto" w:fill="auto"/>
                  <w:vAlign w:val="center"/>
                </w:tcPr>
                <w:p w14:paraId="59597FE4">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600-2500</w:t>
                  </w:r>
                </w:p>
              </w:tc>
              <w:tc>
                <w:tcPr>
                  <w:tcW w:w="1283" w:type="pct"/>
                  <w:tcBorders>
                    <w:tl2br w:val="nil"/>
                    <w:tr2bl w:val="nil"/>
                  </w:tcBorders>
                  <w:shd w:val="clear" w:color="auto" w:fill="auto"/>
                  <w:vAlign w:val="center"/>
                </w:tcPr>
                <w:p w14:paraId="1CA3D1F6">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Times New Roman" w:hAnsi="Times New Roman" w:eastAsia="宋体"/>
                      <w:color w:val="auto"/>
                      <w:sz w:val="21"/>
                      <w:lang w:val="en-US" w:eastAsia="zh-CN"/>
                    </w:rPr>
                  </w:pPr>
                  <w:r>
                    <w:rPr>
                      <w:rFonts w:hint="eastAsia" w:ascii="Times New Roman" w:hAnsi="Times New Roman" w:eastAsia="宋体" w:cs="Times New Roman"/>
                      <w:color w:val="auto"/>
                      <w:kern w:val="2"/>
                      <w:sz w:val="21"/>
                      <w:szCs w:val="21"/>
                      <w:lang w:val="en-US" w:eastAsia="zh-CN" w:bidi="ar-SA"/>
                    </w:rPr>
                    <w:t>1550</w:t>
                  </w:r>
                </w:p>
              </w:tc>
              <w:tc>
                <w:tcPr>
                  <w:tcW w:w="701" w:type="pct"/>
                  <w:vMerge w:val="restart"/>
                  <w:tcBorders>
                    <w:tl2br w:val="nil"/>
                    <w:tr2bl w:val="nil"/>
                  </w:tcBorders>
                  <w:shd w:val="clear" w:color="auto" w:fill="auto"/>
                  <w:vAlign w:val="center"/>
                </w:tcPr>
                <w:p w14:paraId="24112EF2">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10%</w:t>
                  </w:r>
                </w:p>
              </w:tc>
            </w:tr>
            <w:tr w14:paraId="4DE1C208">
              <w:trPr>
                <w:trHeight w:val="91" w:hRule="atLeast"/>
              </w:trPr>
              <w:tc>
                <w:tcPr>
                  <w:tcW w:w="946" w:type="pct"/>
                  <w:vMerge w:val="continue"/>
                  <w:tcBorders>
                    <w:tl2br w:val="nil"/>
                    <w:tr2bl w:val="nil"/>
                  </w:tcBorders>
                  <w:shd w:val="clear" w:color="auto" w:fill="auto"/>
                  <w:vAlign w:val="center"/>
                </w:tcPr>
                <w:p w14:paraId="5EB34DD7">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olor w:val="auto"/>
                      <w:sz w:val="21"/>
                      <w:lang w:val="en-US" w:eastAsia="zh-CN"/>
                    </w:rPr>
                  </w:pPr>
                </w:p>
              </w:tc>
              <w:tc>
                <w:tcPr>
                  <w:tcW w:w="925" w:type="pct"/>
                  <w:tcBorders>
                    <w:tl2br w:val="nil"/>
                    <w:tr2bl w:val="nil"/>
                  </w:tcBorders>
                  <w:shd w:val="clear" w:color="auto" w:fill="auto"/>
                  <w:vAlign w:val="center"/>
                </w:tcPr>
                <w:p w14:paraId="78098850">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BOD</w:t>
                  </w:r>
                  <w:r>
                    <w:rPr>
                      <w:rFonts w:hint="eastAsia" w:ascii="Times New Roman" w:hAnsi="Times New Roman" w:eastAsia="宋体"/>
                      <w:color w:val="auto"/>
                      <w:sz w:val="21"/>
                      <w:vertAlign w:val="subscript"/>
                      <w:lang w:val="en-US" w:eastAsia="zh-CN"/>
                    </w:rPr>
                    <w:t>5</w:t>
                  </w:r>
                </w:p>
              </w:tc>
              <w:tc>
                <w:tcPr>
                  <w:tcW w:w="1143" w:type="pct"/>
                  <w:tcBorders>
                    <w:tl2br w:val="nil"/>
                    <w:tr2bl w:val="nil"/>
                  </w:tcBorders>
                  <w:shd w:val="clear" w:color="auto" w:fill="auto"/>
                  <w:vAlign w:val="center"/>
                </w:tcPr>
                <w:p w14:paraId="64A68FC5">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300-1400</w:t>
                  </w:r>
                </w:p>
              </w:tc>
              <w:tc>
                <w:tcPr>
                  <w:tcW w:w="1283" w:type="pct"/>
                  <w:tcBorders>
                    <w:tl2br w:val="nil"/>
                    <w:tr2bl w:val="nil"/>
                  </w:tcBorders>
                  <w:shd w:val="clear" w:color="auto" w:fill="auto"/>
                  <w:vAlign w:val="center"/>
                </w:tcPr>
                <w:p w14:paraId="199B6533">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850</w:t>
                  </w:r>
                </w:p>
              </w:tc>
              <w:tc>
                <w:tcPr>
                  <w:tcW w:w="701" w:type="pct"/>
                  <w:vMerge w:val="continue"/>
                  <w:tcBorders>
                    <w:tl2br w:val="nil"/>
                    <w:tr2bl w:val="nil"/>
                  </w:tcBorders>
                  <w:shd w:val="clear" w:color="auto" w:fill="auto"/>
                  <w:vAlign w:val="center"/>
                </w:tcPr>
                <w:p w14:paraId="058AC6C9">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olor w:val="auto"/>
                      <w:sz w:val="21"/>
                      <w:lang w:val="en-US" w:eastAsia="zh-CN"/>
                    </w:rPr>
                  </w:pPr>
                </w:p>
              </w:tc>
            </w:tr>
            <w:tr w14:paraId="3E348CF8">
              <w:trPr>
                <w:trHeight w:val="91" w:hRule="atLeast"/>
              </w:trPr>
              <w:tc>
                <w:tcPr>
                  <w:tcW w:w="946" w:type="pct"/>
                  <w:vMerge w:val="continue"/>
                  <w:tcBorders>
                    <w:tl2br w:val="nil"/>
                    <w:tr2bl w:val="nil"/>
                  </w:tcBorders>
                  <w:shd w:val="clear" w:color="auto" w:fill="auto"/>
                  <w:vAlign w:val="center"/>
                </w:tcPr>
                <w:p w14:paraId="167C325C">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olor w:val="auto"/>
                      <w:sz w:val="21"/>
                      <w:lang w:val="en-US" w:eastAsia="zh-CN"/>
                    </w:rPr>
                  </w:pPr>
                </w:p>
              </w:tc>
              <w:tc>
                <w:tcPr>
                  <w:tcW w:w="925" w:type="pct"/>
                  <w:tcBorders>
                    <w:tl2br w:val="nil"/>
                    <w:tr2bl w:val="nil"/>
                  </w:tcBorders>
                  <w:shd w:val="clear" w:color="auto" w:fill="auto"/>
                  <w:vAlign w:val="center"/>
                </w:tcPr>
                <w:p w14:paraId="7C174AE0">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氨氮</w:t>
                  </w:r>
                </w:p>
              </w:tc>
              <w:tc>
                <w:tcPr>
                  <w:tcW w:w="1143" w:type="pct"/>
                  <w:tcBorders>
                    <w:tl2br w:val="nil"/>
                    <w:tr2bl w:val="nil"/>
                  </w:tcBorders>
                  <w:shd w:val="clear" w:color="auto" w:fill="auto"/>
                  <w:vAlign w:val="center"/>
                </w:tcPr>
                <w:p w14:paraId="387261B3">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5-35</w:t>
                  </w:r>
                </w:p>
              </w:tc>
              <w:tc>
                <w:tcPr>
                  <w:tcW w:w="1283" w:type="pct"/>
                  <w:tcBorders>
                    <w:tl2br w:val="nil"/>
                    <w:tr2bl w:val="nil"/>
                  </w:tcBorders>
                  <w:shd w:val="clear" w:color="auto" w:fill="auto"/>
                  <w:vAlign w:val="center"/>
                </w:tcPr>
                <w:p w14:paraId="56282A42">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20</w:t>
                  </w:r>
                </w:p>
              </w:tc>
              <w:tc>
                <w:tcPr>
                  <w:tcW w:w="701" w:type="pct"/>
                  <w:vMerge w:val="continue"/>
                  <w:tcBorders>
                    <w:tl2br w:val="nil"/>
                    <w:tr2bl w:val="nil"/>
                  </w:tcBorders>
                  <w:shd w:val="clear" w:color="auto" w:fill="auto"/>
                  <w:vAlign w:val="center"/>
                </w:tcPr>
                <w:p w14:paraId="6393BB86">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olor w:val="auto"/>
                      <w:sz w:val="21"/>
                      <w:lang w:val="en-US" w:eastAsia="zh-CN"/>
                    </w:rPr>
                  </w:pPr>
                </w:p>
              </w:tc>
            </w:tr>
            <w:tr w14:paraId="6989A51C">
              <w:trPr>
                <w:trHeight w:val="96" w:hRule="atLeast"/>
              </w:trPr>
              <w:tc>
                <w:tcPr>
                  <w:tcW w:w="946" w:type="pct"/>
                  <w:vMerge w:val="restart"/>
                  <w:tcBorders>
                    <w:tl2br w:val="nil"/>
                    <w:tr2bl w:val="nil"/>
                  </w:tcBorders>
                  <w:shd w:val="clear" w:color="auto" w:fill="auto"/>
                  <w:vAlign w:val="center"/>
                </w:tcPr>
                <w:p w14:paraId="477A0ACA">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olor w:val="auto"/>
                      <w:sz w:val="21"/>
                      <w:lang w:val="en-US"/>
                    </w:rPr>
                  </w:pPr>
                  <w:r>
                    <w:rPr>
                      <w:rFonts w:hint="eastAsia" w:ascii="Times New Roman" w:hAnsi="Times New Roman" w:eastAsia="宋体"/>
                      <w:color w:val="auto"/>
                      <w:sz w:val="21"/>
                      <w:lang w:val="en-US" w:eastAsia="zh-CN"/>
                    </w:rPr>
                    <w:t>功能饮料</w:t>
                  </w:r>
                </w:p>
              </w:tc>
              <w:tc>
                <w:tcPr>
                  <w:tcW w:w="925" w:type="pct"/>
                  <w:tcBorders>
                    <w:tl2br w:val="nil"/>
                    <w:tr2bl w:val="nil"/>
                  </w:tcBorders>
                  <w:shd w:val="clear" w:color="auto" w:fill="auto"/>
                  <w:vAlign w:val="center"/>
                </w:tcPr>
                <w:p w14:paraId="750995C2">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lang w:val="en-US" w:eastAsia="zh-CN"/>
                    </w:rPr>
                    <w:t>COD</w:t>
                  </w:r>
                </w:p>
              </w:tc>
              <w:tc>
                <w:tcPr>
                  <w:tcW w:w="1143" w:type="pct"/>
                  <w:tcBorders>
                    <w:tl2br w:val="nil"/>
                    <w:tr2bl w:val="nil"/>
                  </w:tcBorders>
                  <w:shd w:val="clear" w:color="auto" w:fill="auto"/>
                  <w:vAlign w:val="center"/>
                </w:tcPr>
                <w:p w14:paraId="24CC81CF">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lang w:val="en-US" w:eastAsia="zh-CN"/>
                    </w:rPr>
                    <w:t>700-2000</w:t>
                  </w:r>
                </w:p>
              </w:tc>
              <w:tc>
                <w:tcPr>
                  <w:tcW w:w="1283" w:type="pct"/>
                  <w:tcBorders>
                    <w:tl2br w:val="nil"/>
                    <w:tr2bl w:val="nil"/>
                  </w:tcBorders>
                  <w:shd w:val="clear" w:color="auto" w:fill="auto"/>
                  <w:vAlign w:val="center"/>
                </w:tcPr>
                <w:p w14:paraId="359D4F3E">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1350</w:t>
                  </w:r>
                </w:p>
              </w:tc>
              <w:tc>
                <w:tcPr>
                  <w:tcW w:w="701" w:type="pct"/>
                  <w:vMerge w:val="restart"/>
                  <w:tcBorders>
                    <w:tl2br w:val="nil"/>
                    <w:tr2bl w:val="nil"/>
                  </w:tcBorders>
                  <w:shd w:val="clear" w:color="auto" w:fill="auto"/>
                  <w:vAlign w:val="center"/>
                </w:tcPr>
                <w:p w14:paraId="29555F5A">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olor w:val="auto"/>
                      <w:sz w:val="21"/>
                    </w:rPr>
                  </w:pPr>
                  <w:r>
                    <w:rPr>
                      <w:rFonts w:hint="eastAsia" w:ascii="Times New Roman" w:hAnsi="Times New Roman" w:eastAsia="宋体"/>
                      <w:color w:val="auto"/>
                      <w:sz w:val="21"/>
                      <w:lang w:val="en-US" w:eastAsia="zh-CN"/>
                    </w:rPr>
                    <w:t>20%</w:t>
                  </w:r>
                </w:p>
              </w:tc>
            </w:tr>
            <w:tr w14:paraId="558F90B1">
              <w:trPr>
                <w:trHeight w:val="96" w:hRule="atLeast"/>
              </w:trPr>
              <w:tc>
                <w:tcPr>
                  <w:tcW w:w="946" w:type="pct"/>
                  <w:vMerge w:val="continue"/>
                  <w:tcBorders>
                    <w:tl2br w:val="nil"/>
                    <w:tr2bl w:val="nil"/>
                  </w:tcBorders>
                  <w:shd w:val="clear" w:color="auto" w:fill="auto"/>
                  <w:vAlign w:val="center"/>
                </w:tcPr>
                <w:p w14:paraId="548C87F4">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ascii="Times New Roman" w:hAnsi="Times New Roman" w:eastAsia="宋体"/>
                      <w:color w:val="auto"/>
                      <w:sz w:val="21"/>
                    </w:rPr>
                  </w:pPr>
                </w:p>
              </w:tc>
              <w:tc>
                <w:tcPr>
                  <w:tcW w:w="925" w:type="pct"/>
                  <w:tcBorders>
                    <w:tl2br w:val="nil"/>
                    <w:tr2bl w:val="nil"/>
                  </w:tcBorders>
                  <w:shd w:val="clear" w:color="auto" w:fill="auto"/>
                  <w:vAlign w:val="center"/>
                </w:tcPr>
                <w:p w14:paraId="4238CCC4">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lang w:val="en-US" w:eastAsia="zh-CN"/>
                    </w:rPr>
                    <w:t>BOD</w:t>
                  </w:r>
                  <w:r>
                    <w:rPr>
                      <w:rFonts w:hint="eastAsia" w:ascii="Times New Roman" w:hAnsi="Times New Roman" w:eastAsia="宋体"/>
                      <w:color w:val="auto"/>
                      <w:sz w:val="21"/>
                      <w:vertAlign w:val="subscript"/>
                      <w:lang w:val="en-US" w:eastAsia="zh-CN"/>
                    </w:rPr>
                    <w:t>5</w:t>
                  </w:r>
                </w:p>
              </w:tc>
              <w:tc>
                <w:tcPr>
                  <w:tcW w:w="1143" w:type="pct"/>
                  <w:tcBorders>
                    <w:tl2br w:val="nil"/>
                    <w:tr2bl w:val="nil"/>
                  </w:tcBorders>
                  <w:shd w:val="clear" w:color="auto" w:fill="auto"/>
                  <w:vAlign w:val="center"/>
                </w:tcPr>
                <w:p w14:paraId="71E5E218">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w:t>
                  </w:r>
                </w:p>
              </w:tc>
              <w:tc>
                <w:tcPr>
                  <w:tcW w:w="1283" w:type="pct"/>
                  <w:tcBorders>
                    <w:tl2br w:val="nil"/>
                    <w:tr2bl w:val="nil"/>
                  </w:tcBorders>
                  <w:shd w:val="clear" w:color="auto" w:fill="auto"/>
                  <w:vAlign w:val="center"/>
                </w:tcPr>
                <w:p w14:paraId="39465452">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w:t>
                  </w:r>
                </w:p>
              </w:tc>
              <w:tc>
                <w:tcPr>
                  <w:tcW w:w="701" w:type="pct"/>
                  <w:vMerge w:val="continue"/>
                  <w:tcBorders>
                    <w:tl2br w:val="nil"/>
                    <w:tr2bl w:val="nil"/>
                  </w:tcBorders>
                  <w:shd w:val="clear" w:color="auto" w:fill="auto"/>
                  <w:vAlign w:val="center"/>
                </w:tcPr>
                <w:p w14:paraId="17AF4D71">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Times New Roman" w:hAnsi="Times New Roman" w:eastAsia="宋体"/>
                      <w:color w:val="auto"/>
                      <w:sz w:val="21"/>
                      <w:lang w:val="en-US" w:eastAsia="zh-CN"/>
                    </w:rPr>
                  </w:pPr>
                </w:p>
              </w:tc>
            </w:tr>
            <w:tr w14:paraId="42E681BF">
              <w:trPr>
                <w:trHeight w:val="96" w:hRule="atLeast"/>
              </w:trPr>
              <w:tc>
                <w:tcPr>
                  <w:tcW w:w="946" w:type="pct"/>
                  <w:vMerge w:val="continue"/>
                  <w:tcBorders>
                    <w:tl2br w:val="nil"/>
                    <w:tr2bl w:val="nil"/>
                  </w:tcBorders>
                  <w:shd w:val="clear" w:color="auto" w:fill="auto"/>
                  <w:vAlign w:val="center"/>
                </w:tcPr>
                <w:p w14:paraId="2271CDD9">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Times New Roman" w:hAnsi="Times New Roman" w:eastAsia="宋体"/>
                      <w:color w:val="auto"/>
                      <w:sz w:val="21"/>
                      <w:lang w:val="en-US" w:eastAsia="zh-CN"/>
                    </w:rPr>
                  </w:pPr>
                </w:p>
              </w:tc>
              <w:tc>
                <w:tcPr>
                  <w:tcW w:w="925" w:type="pct"/>
                  <w:tcBorders>
                    <w:tl2br w:val="nil"/>
                    <w:tr2bl w:val="nil"/>
                  </w:tcBorders>
                  <w:shd w:val="clear" w:color="auto" w:fill="auto"/>
                  <w:vAlign w:val="center"/>
                </w:tcPr>
                <w:p w14:paraId="26D03CE8">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lang w:val="en-US" w:eastAsia="zh-CN"/>
                    </w:rPr>
                    <w:t>氨氮</w:t>
                  </w:r>
                </w:p>
              </w:tc>
              <w:tc>
                <w:tcPr>
                  <w:tcW w:w="1143" w:type="pct"/>
                  <w:tcBorders>
                    <w:tl2br w:val="nil"/>
                    <w:tr2bl w:val="nil"/>
                  </w:tcBorders>
                  <w:shd w:val="clear" w:color="auto" w:fill="auto"/>
                  <w:vAlign w:val="center"/>
                </w:tcPr>
                <w:p w14:paraId="7874F110">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6-35</w:t>
                  </w:r>
                </w:p>
              </w:tc>
              <w:tc>
                <w:tcPr>
                  <w:tcW w:w="1283" w:type="pct"/>
                  <w:tcBorders>
                    <w:tl2br w:val="nil"/>
                    <w:tr2bl w:val="nil"/>
                  </w:tcBorders>
                  <w:shd w:val="clear" w:color="auto" w:fill="auto"/>
                  <w:vAlign w:val="center"/>
                </w:tcPr>
                <w:p w14:paraId="17EE161F">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20.5</w:t>
                  </w:r>
                </w:p>
              </w:tc>
              <w:tc>
                <w:tcPr>
                  <w:tcW w:w="701" w:type="pct"/>
                  <w:vMerge w:val="continue"/>
                  <w:tcBorders>
                    <w:tl2br w:val="nil"/>
                    <w:tr2bl w:val="nil"/>
                  </w:tcBorders>
                  <w:shd w:val="clear" w:color="auto" w:fill="auto"/>
                  <w:vAlign w:val="center"/>
                </w:tcPr>
                <w:p w14:paraId="72104F21">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Times New Roman" w:hAnsi="Times New Roman" w:eastAsia="宋体"/>
                      <w:color w:val="auto"/>
                      <w:sz w:val="21"/>
                      <w:lang w:val="en-US" w:eastAsia="zh-CN"/>
                    </w:rPr>
                  </w:pPr>
                </w:p>
              </w:tc>
            </w:tr>
            <w:tr w14:paraId="08B573E7">
              <w:trPr>
                <w:trHeight w:val="96" w:hRule="atLeast"/>
              </w:trPr>
              <w:tc>
                <w:tcPr>
                  <w:tcW w:w="946" w:type="pct"/>
                  <w:vMerge w:val="restart"/>
                  <w:tcBorders>
                    <w:tl2br w:val="nil"/>
                    <w:tr2bl w:val="nil"/>
                  </w:tcBorders>
                  <w:shd w:val="clear" w:color="auto" w:fill="auto"/>
                  <w:vAlign w:val="center"/>
                </w:tcPr>
                <w:p w14:paraId="0FBCB188">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lang w:val="en-US" w:eastAsia="zh-CN"/>
                    </w:rPr>
                    <w:t>风味饮料</w:t>
                  </w:r>
                </w:p>
              </w:tc>
              <w:tc>
                <w:tcPr>
                  <w:tcW w:w="925" w:type="pct"/>
                  <w:tcBorders>
                    <w:tl2br w:val="nil"/>
                    <w:tr2bl w:val="nil"/>
                  </w:tcBorders>
                  <w:shd w:val="clear" w:color="auto" w:fill="auto"/>
                  <w:vAlign w:val="center"/>
                </w:tcPr>
                <w:p w14:paraId="5654AC74">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lang w:val="en-US" w:eastAsia="zh-CN"/>
                    </w:rPr>
                    <w:t>COD</w:t>
                  </w:r>
                </w:p>
              </w:tc>
              <w:tc>
                <w:tcPr>
                  <w:tcW w:w="1143" w:type="pct"/>
                  <w:tcBorders>
                    <w:tl2br w:val="nil"/>
                    <w:tr2bl w:val="nil"/>
                  </w:tcBorders>
                  <w:shd w:val="clear" w:color="auto" w:fill="auto"/>
                  <w:vAlign w:val="center"/>
                </w:tcPr>
                <w:p w14:paraId="5BFF6CDB">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600-1700</w:t>
                  </w:r>
                </w:p>
              </w:tc>
              <w:tc>
                <w:tcPr>
                  <w:tcW w:w="1283" w:type="pct"/>
                  <w:tcBorders>
                    <w:tl2br w:val="nil"/>
                    <w:tr2bl w:val="nil"/>
                  </w:tcBorders>
                  <w:shd w:val="clear" w:color="auto" w:fill="auto"/>
                  <w:vAlign w:val="center"/>
                </w:tcPr>
                <w:p w14:paraId="37800090">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1150</w:t>
                  </w:r>
                </w:p>
              </w:tc>
              <w:tc>
                <w:tcPr>
                  <w:tcW w:w="701" w:type="pct"/>
                  <w:vMerge w:val="restart"/>
                  <w:tcBorders>
                    <w:tl2br w:val="nil"/>
                    <w:tr2bl w:val="nil"/>
                  </w:tcBorders>
                  <w:shd w:val="clear" w:color="auto" w:fill="auto"/>
                  <w:vAlign w:val="center"/>
                </w:tcPr>
                <w:p w14:paraId="6694BF0C">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10%</w:t>
                  </w:r>
                </w:p>
              </w:tc>
            </w:tr>
            <w:tr w14:paraId="435977DA">
              <w:trPr>
                <w:trHeight w:val="96" w:hRule="atLeast"/>
              </w:trPr>
              <w:tc>
                <w:tcPr>
                  <w:tcW w:w="946" w:type="pct"/>
                  <w:vMerge w:val="continue"/>
                  <w:tcBorders>
                    <w:tl2br w:val="nil"/>
                    <w:tr2bl w:val="nil"/>
                  </w:tcBorders>
                  <w:shd w:val="clear" w:color="auto" w:fill="auto"/>
                  <w:vAlign w:val="center"/>
                </w:tcPr>
                <w:p w14:paraId="3244EE77">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ascii="Times New Roman" w:hAnsi="Times New Roman" w:eastAsia="宋体"/>
                      <w:color w:val="auto"/>
                      <w:sz w:val="21"/>
                    </w:rPr>
                  </w:pPr>
                </w:p>
              </w:tc>
              <w:tc>
                <w:tcPr>
                  <w:tcW w:w="925" w:type="pct"/>
                  <w:tcBorders>
                    <w:tl2br w:val="nil"/>
                    <w:tr2bl w:val="nil"/>
                  </w:tcBorders>
                  <w:shd w:val="clear" w:color="auto" w:fill="auto"/>
                  <w:vAlign w:val="center"/>
                </w:tcPr>
                <w:p w14:paraId="44D05F9E">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lang w:val="en-US" w:eastAsia="zh-CN"/>
                    </w:rPr>
                    <w:t>BOD</w:t>
                  </w:r>
                  <w:r>
                    <w:rPr>
                      <w:rFonts w:hint="eastAsia" w:ascii="Times New Roman" w:hAnsi="Times New Roman" w:eastAsia="宋体"/>
                      <w:color w:val="auto"/>
                      <w:sz w:val="21"/>
                      <w:vertAlign w:val="subscript"/>
                      <w:lang w:val="en-US" w:eastAsia="zh-CN"/>
                    </w:rPr>
                    <w:t>5</w:t>
                  </w:r>
                </w:p>
              </w:tc>
              <w:tc>
                <w:tcPr>
                  <w:tcW w:w="1143" w:type="pct"/>
                  <w:tcBorders>
                    <w:tl2br w:val="nil"/>
                    <w:tr2bl w:val="nil"/>
                  </w:tcBorders>
                  <w:shd w:val="clear" w:color="auto" w:fill="auto"/>
                  <w:vAlign w:val="center"/>
                </w:tcPr>
                <w:p w14:paraId="164EF561">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w:t>
                  </w:r>
                </w:p>
              </w:tc>
              <w:tc>
                <w:tcPr>
                  <w:tcW w:w="1283" w:type="pct"/>
                  <w:tcBorders>
                    <w:tl2br w:val="nil"/>
                    <w:tr2bl w:val="nil"/>
                  </w:tcBorders>
                  <w:shd w:val="clear" w:color="auto" w:fill="auto"/>
                  <w:vAlign w:val="center"/>
                </w:tcPr>
                <w:p w14:paraId="4FBE50C8">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w:t>
                  </w:r>
                </w:p>
              </w:tc>
              <w:tc>
                <w:tcPr>
                  <w:tcW w:w="701" w:type="pct"/>
                  <w:vMerge w:val="continue"/>
                  <w:tcBorders>
                    <w:tl2br w:val="nil"/>
                    <w:tr2bl w:val="nil"/>
                  </w:tcBorders>
                  <w:shd w:val="clear" w:color="auto" w:fill="auto"/>
                  <w:vAlign w:val="center"/>
                </w:tcPr>
                <w:p w14:paraId="6C65E1B6">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olor w:val="auto"/>
                      <w:sz w:val="21"/>
                      <w:lang w:val="en-US" w:eastAsia="zh-CN"/>
                    </w:rPr>
                  </w:pPr>
                </w:p>
              </w:tc>
            </w:tr>
            <w:tr w14:paraId="50E35711">
              <w:trPr>
                <w:trHeight w:val="96" w:hRule="atLeast"/>
              </w:trPr>
              <w:tc>
                <w:tcPr>
                  <w:tcW w:w="946" w:type="pct"/>
                  <w:vMerge w:val="continue"/>
                  <w:tcBorders>
                    <w:tl2br w:val="nil"/>
                    <w:tr2bl w:val="nil"/>
                  </w:tcBorders>
                  <w:shd w:val="clear" w:color="auto" w:fill="auto"/>
                  <w:vAlign w:val="center"/>
                </w:tcPr>
                <w:p w14:paraId="43D806B0">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olor w:val="auto"/>
                      <w:sz w:val="21"/>
                      <w:lang w:val="en-US" w:eastAsia="zh-CN"/>
                    </w:rPr>
                  </w:pPr>
                </w:p>
              </w:tc>
              <w:tc>
                <w:tcPr>
                  <w:tcW w:w="925" w:type="pct"/>
                  <w:tcBorders>
                    <w:tl2br w:val="nil"/>
                    <w:tr2bl w:val="nil"/>
                  </w:tcBorders>
                  <w:shd w:val="clear" w:color="auto" w:fill="auto"/>
                  <w:vAlign w:val="center"/>
                </w:tcPr>
                <w:p w14:paraId="3ABF4CEF">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lang w:val="en-US" w:eastAsia="zh-CN"/>
                    </w:rPr>
                    <w:t>氨氮</w:t>
                  </w:r>
                </w:p>
              </w:tc>
              <w:tc>
                <w:tcPr>
                  <w:tcW w:w="1143" w:type="pct"/>
                  <w:tcBorders>
                    <w:tl2br w:val="nil"/>
                    <w:tr2bl w:val="nil"/>
                  </w:tcBorders>
                  <w:shd w:val="clear" w:color="auto" w:fill="auto"/>
                  <w:vAlign w:val="center"/>
                </w:tcPr>
                <w:p w14:paraId="4A9580DB">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5-35</w:t>
                  </w:r>
                </w:p>
              </w:tc>
              <w:tc>
                <w:tcPr>
                  <w:tcW w:w="1283" w:type="pct"/>
                  <w:tcBorders>
                    <w:tl2br w:val="nil"/>
                    <w:tr2bl w:val="nil"/>
                  </w:tcBorders>
                  <w:shd w:val="clear" w:color="auto" w:fill="auto"/>
                  <w:vAlign w:val="center"/>
                </w:tcPr>
                <w:p w14:paraId="39171E38">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20</w:t>
                  </w:r>
                </w:p>
              </w:tc>
              <w:tc>
                <w:tcPr>
                  <w:tcW w:w="701" w:type="pct"/>
                  <w:vMerge w:val="continue"/>
                  <w:tcBorders>
                    <w:tl2br w:val="nil"/>
                    <w:tr2bl w:val="nil"/>
                  </w:tcBorders>
                  <w:shd w:val="clear" w:color="auto" w:fill="auto"/>
                  <w:vAlign w:val="center"/>
                </w:tcPr>
                <w:p w14:paraId="6DAA437C">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olor w:val="auto"/>
                      <w:sz w:val="21"/>
                      <w:lang w:val="en-US" w:eastAsia="zh-CN"/>
                    </w:rPr>
                  </w:pPr>
                </w:p>
              </w:tc>
            </w:tr>
            <w:tr w14:paraId="54FEFC4A">
              <w:trPr>
                <w:trHeight w:val="100" w:hRule="atLeast"/>
              </w:trPr>
              <w:tc>
                <w:tcPr>
                  <w:tcW w:w="946" w:type="pct"/>
                  <w:vMerge w:val="restart"/>
                  <w:tcBorders>
                    <w:tl2br w:val="nil"/>
                    <w:tr2bl w:val="nil"/>
                  </w:tcBorders>
                  <w:shd w:val="clear" w:color="auto" w:fill="auto"/>
                  <w:vAlign w:val="center"/>
                </w:tcPr>
                <w:p w14:paraId="5929C6ED">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各产品清洗废水污染物平均浓度</w:t>
                  </w:r>
                </w:p>
              </w:tc>
              <w:tc>
                <w:tcPr>
                  <w:tcW w:w="925" w:type="pct"/>
                  <w:tcBorders>
                    <w:tl2br w:val="nil"/>
                    <w:tr2bl w:val="nil"/>
                  </w:tcBorders>
                  <w:shd w:val="clear" w:color="auto" w:fill="auto"/>
                  <w:vAlign w:val="center"/>
                </w:tcPr>
                <w:p w14:paraId="5864E3C0">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lang w:val="en-US" w:eastAsia="zh-CN"/>
                    </w:rPr>
                    <w:t>COD</w:t>
                  </w:r>
                </w:p>
              </w:tc>
              <w:tc>
                <w:tcPr>
                  <w:tcW w:w="1143" w:type="pct"/>
                  <w:tcBorders>
                    <w:tl2br w:val="nil"/>
                    <w:tr2bl w:val="nil"/>
                  </w:tcBorders>
                  <w:shd w:val="clear" w:color="auto" w:fill="auto"/>
                  <w:vAlign w:val="center"/>
                </w:tcPr>
                <w:p w14:paraId="69BF9301">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w:t>
                  </w:r>
                </w:p>
              </w:tc>
              <w:tc>
                <w:tcPr>
                  <w:tcW w:w="2232" w:type="dxa"/>
                  <w:tcBorders>
                    <w:tl2br w:val="nil"/>
                    <w:tr2bl w:val="nil"/>
                  </w:tcBorders>
                  <w:shd w:val="clear" w:color="auto" w:fill="auto"/>
                  <w:vAlign w:val="center"/>
                </w:tcPr>
                <w:p w14:paraId="1BD614F5">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imes New Roman" w:hAnsi="Times New Roman" w:eastAsia="宋体"/>
                      <w:color w:val="auto"/>
                      <w:sz w:val="21"/>
                      <w:lang w:val="en-US" w:eastAsia="zh-CN"/>
                    </w:rPr>
                  </w:pPr>
                  <w:r>
                    <w:rPr>
                      <w:rFonts w:hint="eastAsia" w:ascii="Times New Roman" w:hAnsi="Times New Roman" w:eastAsia="宋体" w:cs="宋体"/>
                      <w:i w:val="0"/>
                      <w:iCs w:val="0"/>
                      <w:color w:val="auto"/>
                      <w:kern w:val="0"/>
                      <w:sz w:val="21"/>
                      <w:szCs w:val="22"/>
                      <w:u w:val="none"/>
                      <w:lang w:val="en-US" w:eastAsia="zh-CN" w:bidi="ar"/>
                    </w:rPr>
                    <w:t>1670</w:t>
                  </w:r>
                </w:p>
              </w:tc>
              <w:tc>
                <w:tcPr>
                  <w:tcW w:w="701" w:type="pct"/>
                  <w:tcBorders>
                    <w:tl2br w:val="nil"/>
                    <w:tr2bl w:val="nil"/>
                  </w:tcBorders>
                  <w:shd w:val="clear" w:color="auto" w:fill="auto"/>
                  <w:vAlign w:val="center"/>
                </w:tcPr>
                <w:p w14:paraId="014C512D">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w:t>
                  </w:r>
                </w:p>
              </w:tc>
            </w:tr>
            <w:tr w14:paraId="1F00C5C2">
              <w:trPr>
                <w:trHeight w:val="100" w:hRule="atLeast"/>
              </w:trPr>
              <w:tc>
                <w:tcPr>
                  <w:tcW w:w="946" w:type="pct"/>
                  <w:vMerge w:val="continue"/>
                  <w:tcBorders>
                    <w:tl2br w:val="nil"/>
                    <w:tr2bl w:val="nil"/>
                  </w:tcBorders>
                  <w:shd w:val="clear" w:color="auto" w:fill="auto"/>
                  <w:vAlign w:val="center"/>
                </w:tcPr>
                <w:p w14:paraId="7A5E5A46">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Times New Roman" w:hAnsi="Times New Roman" w:eastAsia="宋体"/>
                      <w:color w:val="auto"/>
                      <w:sz w:val="21"/>
                      <w:lang w:val="en-US" w:eastAsia="zh-CN"/>
                    </w:rPr>
                  </w:pPr>
                </w:p>
              </w:tc>
              <w:tc>
                <w:tcPr>
                  <w:tcW w:w="925" w:type="pct"/>
                  <w:tcBorders>
                    <w:tl2br w:val="nil"/>
                    <w:tr2bl w:val="nil"/>
                  </w:tcBorders>
                  <w:shd w:val="clear" w:color="auto" w:fill="auto"/>
                  <w:vAlign w:val="center"/>
                </w:tcPr>
                <w:p w14:paraId="566AA31A">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lang w:val="en-US" w:eastAsia="zh-CN"/>
                    </w:rPr>
                    <w:t>BOD</w:t>
                  </w:r>
                  <w:r>
                    <w:rPr>
                      <w:rFonts w:hint="eastAsia" w:ascii="Times New Roman" w:hAnsi="Times New Roman" w:eastAsia="宋体"/>
                      <w:color w:val="auto"/>
                      <w:sz w:val="21"/>
                      <w:vertAlign w:val="subscript"/>
                      <w:lang w:val="en-US" w:eastAsia="zh-CN"/>
                    </w:rPr>
                    <w:t>5</w:t>
                  </w:r>
                </w:p>
              </w:tc>
              <w:tc>
                <w:tcPr>
                  <w:tcW w:w="1143" w:type="pct"/>
                  <w:tcBorders>
                    <w:tl2br w:val="nil"/>
                    <w:tr2bl w:val="nil"/>
                  </w:tcBorders>
                  <w:shd w:val="clear" w:color="auto" w:fill="auto"/>
                  <w:vAlign w:val="center"/>
                </w:tcPr>
                <w:p w14:paraId="396F2A46">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w:t>
                  </w:r>
                </w:p>
              </w:tc>
              <w:tc>
                <w:tcPr>
                  <w:tcW w:w="2232" w:type="dxa"/>
                  <w:tcBorders>
                    <w:tl2br w:val="nil"/>
                    <w:tr2bl w:val="nil"/>
                  </w:tcBorders>
                  <w:shd w:val="clear" w:color="auto" w:fill="auto"/>
                  <w:vAlign w:val="center"/>
                </w:tcPr>
                <w:p w14:paraId="0B175DA7">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imes New Roman" w:hAnsi="Times New Roman" w:eastAsia="宋体"/>
                      <w:color w:val="auto"/>
                      <w:sz w:val="21"/>
                      <w:lang w:val="en-US" w:eastAsia="zh-CN"/>
                    </w:rPr>
                  </w:pPr>
                  <w:r>
                    <w:rPr>
                      <w:rFonts w:hint="eastAsia" w:ascii="Times New Roman" w:hAnsi="Times New Roman" w:eastAsia="宋体" w:cs="宋体"/>
                      <w:i w:val="0"/>
                      <w:iCs w:val="0"/>
                      <w:color w:val="auto"/>
                      <w:kern w:val="0"/>
                      <w:sz w:val="21"/>
                      <w:szCs w:val="22"/>
                      <w:u w:val="none"/>
                      <w:lang w:val="en-US" w:eastAsia="zh-CN" w:bidi="ar"/>
                    </w:rPr>
                    <w:t>805</w:t>
                  </w:r>
                </w:p>
              </w:tc>
              <w:tc>
                <w:tcPr>
                  <w:tcW w:w="701" w:type="pct"/>
                  <w:tcBorders>
                    <w:tl2br w:val="nil"/>
                    <w:tr2bl w:val="nil"/>
                  </w:tcBorders>
                  <w:shd w:val="clear" w:color="auto" w:fill="auto"/>
                  <w:vAlign w:val="center"/>
                </w:tcPr>
                <w:p w14:paraId="1EC7B7A3">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w:t>
                  </w:r>
                </w:p>
              </w:tc>
            </w:tr>
            <w:tr w14:paraId="00A5BA4B">
              <w:trPr>
                <w:trHeight w:val="100" w:hRule="atLeast"/>
              </w:trPr>
              <w:tc>
                <w:tcPr>
                  <w:tcW w:w="946" w:type="pct"/>
                  <w:vMerge w:val="continue"/>
                  <w:tcBorders>
                    <w:tl2br w:val="nil"/>
                    <w:tr2bl w:val="nil"/>
                  </w:tcBorders>
                  <w:shd w:val="clear" w:color="auto" w:fill="auto"/>
                  <w:vAlign w:val="center"/>
                </w:tcPr>
                <w:p w14:paraId="5CA3875E">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Times New Roman" w:hAnsi="Times New Roman" w:eastAsia="宋体"/>
                      <w:color w:val="auto"/>
                      <w:sz w:val="21"/>
                      <w:lang w:val="en-US" w:eastAsia="zh-CN"/>
                    </w:rPr>
                  </w:pPr>
                </w:p>
              </w:tc>
              <w:tc>
                <w:tcPr>
                  <w:tcW w:w="925" w:type="pct"/>
                  <w:tcBorders>
                    <w:tl2br w:val="nil"/>
                    <w:tr2bl w:val="nil"/>
                  </w:tcBorders>
                  <w:shd w:val="clear" w:color="auto" w:fill="auto"/>
                  <w:vAlign w:val="center"/>
                </w:tcPr>
                <w:p w14:paraId="4452C423">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lang w:val="en-US" w:eastAsia="zh-CN"/>
                    </w:rPr>
                    <w:t>氨氮</w:t>
                  </w:r>
                </w:p>
              </w:tc>
              <w:tc>
                <w:tcPr>
                  <w:tcW w:w="1143" w:type="pct"/>
                  <w:tcBorders>
                    <w:tl2br w:val="nil"/>
                    <w:tr2bl w:val="nil"/>
                  </w:tcBorders>
                  <w:shd w:val="clear" w:color="auto" w:fill="auto"/>
                  <w:vAlign w:val="center"/>
                </w:tcPr>
                <w:p w14:paraId="536E63DB">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w:t>
                  </w:r>
                </w:p>
              </w:tc>
              <w:tc>
                <w:tcPr>
                  <w:tcW w:w="2232" w:type="dxa"/>
                  <w:tcBorders>
                    <w:tl2br w:val="nil"/>
                    <w:tr2bl w:val="nil"/>
                  </w:tcBorders>
                  <w:shd w:val="clear" w:color="auto" w:fill="auto"/>
                  <w:vAlign w:val="center"/>
                </w:tcPr>
                <w:p w14:paraId="0FB79D8D">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olor w:val="auto"/>
                      <w:sz w:val="21"/>
                      <w:lang w:val="en-US" w:eastAsia="zh-CN"/>
                    </w:rPr>
                  </w:pPr>
                  <w:r>
                    <w:rPr>
                      <w:rFonts w:hint="eastAsia" w:ascii="Times New Roman" w:hAnsi="Times New Roman" w:eastAsia="宋体" w:cs="宋体"/>
                      <w:i w:val="0"/>
                      <w:iCs w:val="0"/>
                      <w:color w:val="auto"/>
                      <w:kern w:val="0"/>
                      <w:sz w:val="21"/>
                      <w:szCs w:val="22"/>
                      <w:u w:val="none"/>
                      <w:lang w:val="en-US" w:eastAsia="zh-CN" w:bidi="ar"/>
                    </w:rPr>
                    <w:t>26.6</w:t>
                  </w:r>
                </w:p>
              </w:tc>
              <w:tc>
                <w:tcPr>
                  <w:tcW w:w="701" w:type="pct"/>
                  <w:tcBorders>
                    <w:tl2br w:val="nil"/>
                    <w:tr2bl w:val="nil"/>
                  </w:tcBorders>
                  <w:shd w:val="clear" w:color="auto" w:fill="auto"/>
                  <w:vAlign w:val="center"/>
                </w:tcPr>
                <w:p w14:paraId="798B5C2B">
                  <w:pPr>
                    <w:pStyle w:val="3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w:t>
                  </w:r>
                </w:p>
              </w:tc>
            </w:tr>
          </w:tbl>
          <w:p w14:paraId="2FC30D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color w:val="auto"/>
                <w:sz w:val="24"/>
                <w:lang w:val="en-US" w:eastAsia="zh-CN"/>
              </w:rPr>
            </w:pPr>
            <w:r>
              <w:rPr>
                <w:rFonts w:hint="eastAsia" w:ascii="Times New Roman" w:hAnsi="Times New Roman"/>
                <w:color w:val="auto"/>
                <w:sz w:val="24"/>
                <w:lang w:val="en-US" w:eastAsia="zh-CN"/>
              </w:rPr>
              <w:t>本项目使用的酸性清洗剂中含硝酸、磷酸（各占比30</w:t>
            </w:r>
            <w:r>
              <w:rPr>
                <w:rFonts w:hint="eastAsia"/>
                <w:color w:val="auto"/>
                <w:sz w:val="24"/>
                <w:lang w:val="en-US" w:eastAsia="zh-CN"/>
              </w:rPr>
              <w:t>%～</w:t>
            </w:r>
            <w:r>
              <w:rPr>
                <w:rFonts w:hint="eastAsia" w:ascii="Times New Roman" w:hAnsi="Times New Roman"/>
                <w:color w:val="auto"/>
                <w:sz w:val="24"/>
                <w:lang w:val="en-US" w:eastAsia="zh-CN"/>
              </w:rPr>
              <w:t>60%，本项目按60%计），全部进入清洗废水中，</w:t>
            </w:r>
            <w:r>
              <w:rPr>
                <w:rFonts w:hint="eastAsia" w:ascii="Times New Roman" w:hAnsi="Times New Roman" w:cs="Times New Roman"/>
                <w:b w:val="0"/>
                <w:bCs/>
                <w:color w:val="auto"/>
                <w:sz w:val="24"/>
                <w:lang w:val="en-US" w:eastAsia="zh-CN"/>
              </w:rPr>
              <w:t>本项目使用含硝酸、磷酸的清洗剂，增加废水中的硝态氮、磷含量，</w:t>
            </w:r>
            <w:r>
              <w:rPr>
                <w:rFonts w:hint="eastAsia" w:ascii="Times New Roman" w:hAnsi="Times New Roman"/>
                <w:color w:val="auto"/>
                <w:sz w:val="24"/>
                <w:lang w:val="en-US" w:eastAsia="zh-CN"/>
              </w:rPr>
              <w:t>清洗废水中磷元素平衡和氮元素平衡见下表。</w:t>
            </w:r>
          </w:p>
          <w:p w14:paraId="4672B3CE">
            <w:pPr>
              <w:pStyle w:val="56"/>
              <w:keepNext w:val="0"/>
              <w:keepLines w:val="0"/>
              <w:suppressLineNumbers w:val="0"/>
              <w:bidi w:val="0"/>
              <w:spacing w:after="0"/>
              <w:ind w:left="0" w:right="0"/>
              <w:rPr>
                <w:rFonts w:hint="default"/>
                <w:color w:val="auto"/>
                <w:lang w:val="en-US" w:eastAsia="zh-CN"/>
              </w:rPr>
            </w:pPr>
            <w:r>
              <w:rPr>
                <w:rFonts w:hint="eastAsia"/>
                <w:color w:val="auto"/>
                <w:lang w:val="en-US" w:eastAsia="zh-CN"/>
              </w:rPr>
              <w:t>表4-11  清洗废水中p元素平衡</w:t>
            </w:r>
          </w:p>
          <w:tbl>
            <w:tblPr>
              <w:tblStyle w:val="2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04"/>
              <w:gridCol w:w="1281"/>
              <w:gridCol w:w="1294"/>
              <w:gridCol w:w="1294"/>
              <w:gridCol w:w="1294"/>
              <w:gridCol w:w="1276"/>
            </w:tblGrid>
            <w:tr w14:paraId="7E56813C">
              <w:tc>
                <w:tcPr>
                  <w:tcW w:w="946" w:type="pct"/>
                  <w:tcBorders>
                    <w:tl2br w:val="nil"/>
                    <w:tr2bl w:val="nil"/>
                  </w:tcBorders>
                  <w:noWrap w:val="0"/>
                  <w:vAlign w:val="center"/>
                </w:tcPr>
                <w:p w14:paraId="4A98023B">
                  <w:pPr>
                    <w:pStyle w:val="36"/>
                    <w:keepNext w:val="0"/>
                    <w:keepLines w:val="0"/>
                    <w:suppressLineNumbers w:val="0"/>
                    <w:bidi w:val="0"/>
                    <w:spacing w:before="0" w:beforeAutospacing="0" w:after="0" w:afterAutospacing="0"/>
                    <w:ind w:left="0" w:right="0"/>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名称</w:t>
                  </w:r>
                </w:p>
              </w:tc>
              <w:tc>
                <w:tcPr>
                  <w:tcW w:w="806" w:type="pct"/>
                  <w:tcBorders>
                    <w:tl2br w:val="nil"/>
                    <w:tr2bl w:val="nil"/>
                  </w:tcBorders>
                  <w:noWrap w:val="0"/>
                  <w:vAlign w:val="center"/>
                </w:tcPr>
                <w:p w14:paraId="74D639C9">
                  <w:pPr>
                    <w:pStyle w:val="36"/>
                    <w:keepNext w:val="0"/>
                    <w:keepLines w:val="0"/>
                    <w:suppressLineNumbers w:val="0"/>
                    <w:bidi w:val="0"/>
                    <w:spacing w:before="0" w:beforeAutospacing="0" w:after="0" w:afterAutospacing="0"/>
                    <w:ind w:left="0" w:right="0"/>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原料量t/a</w:t>
                  </w:r>
                </w:p>
              </w:tc>
              <w:tc>
                <w:tcPr>
                  <w:tcW w:w="814" w:type="pct"/>
                  <w:tcBorders>
                    <w:tl2br w:val="nil"/>
                    <w:tr2bl w:val="nil"/>
                  </w:tcBorders>
                  <w:noWrap w:val="0"/>
                  <w:vAlign w:val="center"/>
                </w:tcPr>
                <w:p w14:paraId="1AD66C11">
                  <w:pPr>
                    <w:pStyle w:val="36"/>
                    <w:keepNext w:val="0"/>
                    <w:keepLines w:val="0"/>
                    <w:suppressLineNumbers w:val="0"/>
                    <w:bidi w:val="0"/>
                    <w:spacing w:before="0" w:beforeAutospacing="0" w:after="0" w:afterAutospacing="0"/>
                    <w:ind w:left="0" w:right="0"/>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磷酸含量</w:t>
                  </w:r>
                </w:p>
              </w:tc>
              <w:tc>
                <w:tcPr>
                  <w:tcW w:w="814" w:type="pct"/>
                  <w:tcBorders>
                    <w:tl2br w:val="nil"/>
                    <w:tr2bl w:val="nil"/>
                  </w:tcBorders>
                  <w:noWrap w:val="0"/>
                  <w:vAlign w:val="center"/>
                </w:tcPr>
                <w:p w14:paraId="0E57FFB1">
                  <w:pPr>
                    <w:pStyle w:val="36"/>
                    <w:keepNext w:val="0"/>
                    <w:keepLines w:val="0"/>
                    <w:suppressLineNumbers w:val="0"/>
                    <w:bidi w:val="0"/>
                    <w:spacing w:before="0" w:beforeAutospacing="0" w:after="0" w:afterAutospacing="0"/>
                    <w:ind w:left="0" w:right="0"/>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P质量t/a</w:t>
                  </w:r>
                </w:p>
              </w:tc>
              <w:tc>
                <w:tcPr>
                  <w:tcW w:w="814" w:type="pct"/>
                  <w:tcBorders>
                    <w:tl2br w:val="nil"/>
                    <w:tr2bl w:val="nil"/>
                  </w:tcBorders>
                  <w:noWrap w:val="0"/>
                  <w:vAlign w:val="center"/>
                </w:tcPr>
                <w:p w14:paraId="52C282AB">
                  <w:pPr>
                    <w:pStyle w:val="36"/>
                    <w:keepNext w:val="0"/>
                    <w:keepLines w:val="0"/>
                    <w:suppressLineNumbers w:val="0"/>
                    <w:bidi w:val="0"/>
                    <w:spacing w:before="0" w:beforeAutospacing="0" w:after="0" w:afterAutospacing="0"/>
                    <w:ind w:left="0" w:right="0"/>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废水量m</w:t>
                  </w:r>
                  <w:r>
                    <w:rPr>
                      <w:rFonts w:hint="eastAsia" w:ascii="Times New Roman" w:hAnsi="Times New Roman" w:eastAsia="宋体"/>
                      <w:color w:val="auto"/>
                      <w:sz w:val="21"/>
                      <w:vertAlign w:val="superscript"/>
                      <w:lang w:val="en-US" w:eastAsia="zh-CN"/>
                    </w:rPr>
                    <w:t>3</w:t>
                  </w:r>
                  <w:r>
                    <w:rPr>
                      <w:rFonts w:hint="eastAsia" w:ascii="Times New Roman" w:hAnsi="Times New Roman" w:eastAsia="宋体"/>
                      <w:color w:val="auto"/>
                      <w:sz w:val="21"/>
                      <w:lang w:val="en-US" w:eastAsia="zh-CN"/>
                    </w:rPr>
                    <w:t>/a</w:t>
                  </w:r>
                </w:p>
              </w:tc>
              <w:tc>
                <w:tcPr>
                  <w:tcW w:w="803" w:type="pct"/>
                  <w:tcBorders>
                    <w:tl2br w:val="nil"/>
                    <w:tr2bl w:val="nil"/>
                  </w:tcBorders>
                  <w:noWrap w:val="0"/>
                  <w:vAlign w:val="center"/>
                </w:tcPr>
                <w:p w14:paraId="79BE338D">
                  <w:pPr>
                    <w:pStyle w:val="36"/>
                    <w:keepNext w:val="0"/>
                    <w:keepLines w:val="0"/>
                    <w:suppressLineNumbers w:val="0"/>
                    <w:bidi w:val="0"/>
                    <w:spacing w:before="0" w:beforeAutospacing="0" w:after="0" w:afterAutospacing="0"/>
                    <w:ind w:left="0" w:right="0"/>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废水P浓度mg/L</w:t>
                  </w:r>
                </w:p>
              </w:tc>
            </w:tr>
            <w:tr w14:paraId="1DAFA416">
              <w:tc>
                <w:tcPr>
                  <w:tcW w:w="946" w:type="pct"/>
                  <w:tcBorders>
                    <w:tl2br w:val="nil"/>
                    <w:tr2bl w:val="nil"/>
                  </w:tcBorders>
                  <w:noWrap w:val="0"/>
                  <w:vAlign w:val="center"/>
                </w:tcPr>
                <w:p w14:paraId="7F86CC44">
                  <w:pPr>
                    <w:pStyle w:val="36"/>
                    <w:keepNext w:val="0"/>
                    <w:keepLines w:val="0"/>
                    <w:suppressLineNumbers w:val="0"/>
                    <w:bidi w:val="0"/>
                    <w:spacing w:before="0" w:beforeAutospacing="0" w:after="0" w:afterAutospacing="0"/>
                    <w:ind w:left="0" w:right="0"/>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脱普AC3酸性泡沫清洗剂</w:t>
                  </w:r>
                </w:p>
              </w:tc>
              <w:tc>
                <w:tcPr>
                  <w:tcW w:w="806" w:type="pct"/>
                  <w:tcBorders>
                    <w:tl2br w:val="nil"/>
                    <w:tr2bl w:val="nil"/>
                  </w:tcBorders>
                  <w:noWrap w:val="0"/>
                  <w:vAlign w:val="center"/>
                </w:tcPr>
                <w:p w14:paraId="64EEFC25">
                  <w:pPr>
                    <w:pStyle w:val="36"/>
                    <w:keepNext w:val="0"/>
                    <w:keepLines w:val="0"/>
                    <w:suppressLineNumbers w:val="0"/>
                    <w:bidi w:val="0"/>
                    <w:spacing w:before="0" w:beforeAutospacing="0" w:after="0" w:afterAutospacing="0"/>
                    <w:ind w:left="0" w:right="0"/>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1</w:t>
                  </w:r>
                </w:p>
              </w:tc>
              <w:tc>
                <w:tcPr>
                  <w:tcW w:w="814" w:type="pct"/>
                  <w:tcBorders>
                    <w:tl2br w:val="nil"/>
                    <w:tr2bl w:val="nil"/>
                  </w:tcBorders>
                  <w:noWrap w:val="0"/>
                  <w:vAlign w:val="center"/>
                </w:tcPr>
                <w:p w14:paraId="02BD0616">
                  <w:pPr>
                    <w:pStyle w:val="36"/>
                    <w:keepNext w:val="0"/>
                    <w:keepLines w:val="0"/>
                    <w:suppressLineNumbers w:val="0"/>
                    <w:bidi w:val="0"/>
                    <w:spacing w:before="0" w:beforeAutospacing="0" w:after="0" w:afterAutospacing="0"/>
                    <w:ind w:left="0" w:right="0"/>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60%</w:t>
                  </w:r>
                </w:p>
              </w:tc>
              <w:tc>
                <w:tcPr>
                  <w:tcW w:w="814" w:type="pct"/>
                  <w:tcBorders>
                    <w:tl2br w:val="nil"/>
                    <w:tr2bl w:val="nil"/>
                  </w:tcBorders>
                  <w:noWrap w:val="0"/>
                  <w:vAlign w:val="center"/>
                </w:tcPr>
                <w:p w14:paraId="220D6522">
                  <w:pPr>
                    <w:pStyle w:val="36"/>
                    <w:keepNext w:val="0"/>
                    <w:keepLines w:val="0"/>
                    <w:suppressLineNumbers w:val="0"/>
                    <w:bidi w:val="0"/>
                    <w:spacing w:before="0" w:beforeAutospacing="0" w:after="0" w:afterAutospacing="0"/>
                    <w:ind w:left="0" w:right="0"/>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0.1898</w:t>
                  </w:r>
                </w:p>
              </w:tc>
              <w:tc>
                <w:tcPr>
                  <w:tcW w:w="814" w:type="pct"/>
                  <w:tcBorders>
                    <w:tl2br w:val="nil"/>
                    <w:tr2bl w:val="nil"/>
                  </w:tcBorders>
                  <w:noWrap w:val="0"/>
                  <w:vAlign w:val="center"/>
                </w:tcPr>
                <w:p w14:paraId="3A826013">
                  <w:pPr>
                    <w:pStyle w:val="36"/>
                    <w:keepNext w:val="0"/>
                    <w:keepLines w:val="0"/>
                    <w:suppressLineNumbers w:val="0"/>
                    <w:bidi w:val="0"/>
                    <w:spacing w:before="0" w:beforeAutospacing="0" w:after="0" w:afterAutospacing="0"/>
                    <w:ind w:left="0" w:right="0"/>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19800</w:t>
                  </w:r>
                </w:p>
              </w:tc>
              <w:tc>
                <w:tcPr>
                  <w:tcW w:w="803" w:type="pct"/>
                  <w:tcBorders>
                    <w:tl2br w:val="nil"/>
                    <w:tr2bl w:val="nil"/>
                  </w:tcBorders>
                  <w:noWrap w:val="0"/>
                  <w:vAlign w:val="center"/>
                </w:tcPr>
                <w:p w14:paraId="6A57F313">
                  <w:pPr>
                    <w:pStyle w:val="36"/>
                    <w:keepNext w:val="0"/>
                    <w:keepLines w:val="0"/>
                    <w:suppressLineNumbers w:val="0"/>
                    <w:bidi w:val="0"/>
                    <w:spacing w:before="0" w:beforeAutospacing="0" w:after="0" w:afterAutospacing="0"/>
                    <w:ind w:left="0" w:right="0"/>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9.6</w:t>
                  </w:r>
                </w:p>
              </w:tc>
            </w:tr>
          </w:tbl>
          <w:p w14:paraId="13D2ED6A">
            <w:pPr>
              <w:pStyle w:val="56"/>
              <w:keepNext w:val="0"/>
              <w:keepLines w:val="0"/>
              <w:suppressLineNumbers w:val="0"/>
              <w:bidi w:val="0"/>
              <w:spacing w:after="0"/>
              <w:ind w:left="0" w:right="0"/>
              <w:rPr>
                <w:rFonts w:hint="default"/>
                <w:color w:val="auto"/>
                <w:lang w:val="en-US" w:eastAsia="zh-CN"/>
              </w:rPr>
            </w:pPr>
            <w:r>
              <w:rPr>
                <w:rFonts w:hint="eastAsia"/>
                <w:color w:val="auto"/>
                <w:lang w:val="en-US" w:eastAsia="zh-CN"/>
              </w:rPr>
              <w:t>表4-12  清洗废水中N元素平衡</w:t>
            </w:r>
          </w:p>
          <w:tbl>
            <w:tblPr>
              <w:tblStyle w:val="2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04"/>
              <w:gridCol w:w="1281"/>
              <w:gridCol w:w="1294"/>
              <w:gridCol w:w="1294"/>
              <w:gridCol w:w="1294"/>
              <w:gridCol w:w="1276"/>
            </w:tblGrid>
            <w:tr w14:paraId="15585FD8">
              <w:tc>
                <w:tcPr>
                  <w:tcW w:w="946" w:type="pct"/>
                  <w:tcBorders>
                    <w:tl2br w:val="nil"/>
                    <w:tr2bl w:val="nil"/>
                  </w:tcBorders>
                  <w:noWrap w:val="0"/>
                  <w:vAlign w:val="center"/>
                </w:tcPr>
                <w:p w14:paraId="525186A5">
                  <w:pPr>
                    <w:pStyle w:val="36"/>
                    <w:keepNext w:val="0"/>
                    <w:keepLines w:val="0"/>
                    <w:suppressLineNumbers w:val="0"/>
                    <w:bidi w:val="0"/>
                    <w:spacing w:before="0" w:beforeAutospacing="0" w:after="0" w:afterAutospacing="0"/>
                    <w:ind w:left="0" w:right="0"/>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名称</w:t>
                  </w:r>
                </w:p>
              </w:tc>
              <w:tc>
                <w:tcPr>
                  <w:tcW w:w="806" w:type="pct"/>
                  <w:tcBorders>
                    <w:tl2br w:val="nil"/>
                    <w:tr2bl w:val="nil"/>
                  </w:tcBorders>
                  <w:noWrap w:val="0"/>
                  <w:vAlign w:val="center"/>
                </w:tcPr>
                <w:p w14:paraId="0383DA34">
                  <w:pPr>
                    <w:pStyle w:val="36"/>
                    <w:keepNext w:val="0"/>
                    <w:keepLines w:val="0"/>
                    <w:suppressLineNumbers w:val="0"/>
                    <w:bidi w:val="0"/>
                    <w:spacing w:before="0" w:beforeAutospacing="0" w:after="0" w:afterAutospacing="0"/>
                    <w:ind w:left="0" w:right="0"/>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原料量t/a</w:t>
                  </w:r>
                </w:p>
              </w:tc>
              <w:tc>
                <w:tcPr>
                  <w:tcW w:w="814" w:type="pct"/>
                  <w:tcBorders>
                    <w:tl2br w:val="nil"/>
                    <w:tr2bl w:val="nil"/>
                  </w:tcBorders>
                  <w:noWrap w:val="0"/>
                  <w:vAlign w:val="center"/>
                </w:tcPr>
                <w:p w14:paraId="36CFD1D2">
                  <w:pPr>
                    <w:pStyle w:val="36"/>
                    <w:keepNext w:val="0"/>
                    <w:keepLines w:val="0"/>
                    <w:suppressLineNumbers w:val="0"/>
                    <w:bidi w:val="0"/>
                    <w:spacing w:before="0" w:beforeAutospacing="0" w:after="0" w:afterAutospacing="0"/>
                    <w:ind w:left="0" w:right="0"/>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硝酸含量</w:t>
                  </w:r>
                </w:p>
              </w:tc>
              <w:tc>
                <w:tcPr>
                  <w:tcW w:w="814" w:type="pct"/>
                  <w:tcBorders>
                    <w:tl2br w:val="nil"/>
                    <w:tr2bl w:val="nil"/>
                  </w:tcBorders>
                  <w:noWrap w:val="0"/>
                  <w:vAlign w:val="center"/>
                </w:tcPr>
                <w:p w14:paraId="2361477C">
                  <w:pPr>
                    <w:pStyle w:val="36"/>
                    <w:keepNext w:val="0"/>
                    <w:keepLines w:val="0"/>
                    <w:suppressLineNumbers w:val="0"/>
                    <w:bidi w:val="0"/>
                    <w:spacing w:before="0" w:beforeAutospacing="0" w:after="0" w:afterAutospacing="0"/>
                    <w:ind w:left="0" w:right="0"/>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N质量t/a</w:t>
                  </w:r>
                </w:p>
              </w:tc>
              <w:tc>
                <w:tcPr>
                  <w:tcW w:w="814" w:type="pct"/>
                  <w:tcBorders>
                    <w:tl2br w:val="nil"/>
                    <w:tr2bl w:val="nil"/>
                  </w:tcBorders>
                  <w:noWrap w:val="0"/>
                  <w:vAlign w:val="center"/>
                </w:tcPr>
                <w:p w14:paraId="38197E54">
                  <w:pPr>
                    <w:pStyle w:val="36"/>
                    <w:keepNext w:val="0"/>
                    <w:keepLines w:val="0"/>
                    <w:suppressLineNumbers w:val="0"/>
                    <w:bidi w:val="0"/>
                    <w:spacing w:before="0" w:beforeAutospacing="0" w:after="0" w:afterAutospacing="0"/>
                    <w:ind w:left="0" w:right="0"/>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废水量m</w:t>
                  </w:r>
                  <w:r>
                    <w:rPr>
                      <w:rFonts w:hint="eastAsia" w:ascii="Times New Roman" w:hAnsi="Times New Roman" w:eastAsia="宋体"/>
                      <w:color w:val="auto"/>
                      <w:sz w:val="21"/>
                      <w:vertAlign w:val="superscript"/>
                      <w:lang w:val="en-US" w:eastAsia="zh-CN"/>
                    </w:rPr>
                    <w:t>3</w:t>
                  </w:r>
                  <w:r>
                    <w:rPr>
                      <w:rFonts w:hint="eastAsia" w:ascii="Times New Roman" w:hAnsi="Times New Roman" w:eastAsia="宋体"/>
                      <w:color w:val="auto"/>
                      <w:sz w:val="21"/>
                      <w:lang w:val="en-US" w:eastAsia="zh-CN"/>
                    </w:rPr>
                    <w:t>/a</w:t>
                  </w:r>
                </w:p>
              </w:tc>
              <w:tc>
                <w:tcPr>
                  <w:tcW w:w="803" w:type="pct"/>
                  <w:tcBorders>
                    <w:tl2br w:val="nil"/>
                    <w:tr2bl w:val="nil"/>
                  </w:tcBorders>
                  <w:noWrap w:val="0"/>
                  <w:vAlign w:val="center"/>
                </w:tcPr>
                <w:p w14:paraId="6F85D2FF">
                  <w:pPr>
                    <w:pStyle w:val="36"/>
                    <w:keepNext w:val="0"/>
                    <w:keepLines w:val="0"/>
                    <w:suppressLineNumbers w:val="0"/>
                    <w:bidi w:val="0"/>
                    <w:spacing w:before="0" w:beforeAutospacing="0" w:after="0" w:afterAutospacing="0"/>
                    <w:ind w:left="0" w:right="0"/>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废水N浓度mg/L</w:t>
                  </w:r>
                </w:p>
              </w:tc>
            </w:tr>
            <w:tr w14:paraId="305DBB18">
              <w:tc>
                <w:tcPr>
                  <w:tcW w:w="946" w:type="pct"/>
                  <w:tcBorders>
                    <w:tl2br w:val="nil"/>
                    <w:tr2bl w:val="nil"/>
                  </w:tcBorders>
                  <w:noWrap w:val="0"/>
                  <w:vAlign w:val="center"/>
                </w:tcPr>
                <w:p w14:paraId="58417271">
                  <w:pPr>
                    <w:pStyle w:val="36"/>
                    <w:keepNext w:val="0"/>
                    <w:keepLines w:val="0"/>
                    <w:suppressLineNumbers w:val="0"/>
                    <w:bidi w:val="0"/>
                    <w:spacing w:before="0" w:beforeAutospacing="0" w:after="0" w:afterAutospacing="0"/>
                    <w:ind w:left="0" w:right="0"/>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浩丽VN酸性清洗剂</w:t>
                  </w:r>
                </w:p>
              </w:tc>
              <w:tc>
                <w:tcPr>
                  <w:tcW w:w="806" w:type="pct"/>
                  <w:tcBorders>
                    <w:tl2br w:val="nil"/>
                    <w:tr2bl w:val="nil"/>
                  </w:tcBorders>
                  <w:noWrap w:val="0"/>
                  <w:vAlign w:val="center"/>
                </w:tcPr>
                <w:p w14:paraId="12A306D3">
                  <w:pPr>
                    <w:pStyle w:val="36"/>
                    <w:keepNext w:val="0"/>
                    <w:keepLines w:val="0"/>
                    <w:suppressLineNumbers w:val="0"/>
                    <w:bidi w:val="0"/>
                    <w:spacing w:before="0" w:beforeAutospacing="0" w:after="0" w:afterAutospacing="0"/>
                    <w:ind w:left="0" w:right="0"/>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6</w:t>
                  </w:r>
                </w:p>
              </w:tc>
              <w:tc>
                <w:tcPr>
                  <w:tcW w:w="814" w:type="pct"/>
                  <w:tcBorders>
                    <w:tl2br w:val="nil"/>
                    <w:tr2bl w:val="nil"/>
                  </w:tcBorders>
                  <w:noWrap w:val="0"/>
                  <w:vAlign w:val="center"/>
                </w:tcPr>
                <w:p w14:paraId="4BF9002A">
                  <w:pPr>
                    <w:pStyle w:val="36"/>
                    <w:keepNext w:val="0"/>
                    <w:keepLines w:val="0"/>
                    <w:suppressLineNumbers w:val="0"/>
                    <w:bidi w:val="0"/>
                    <w:spacing w:before="0" w:beforeAutospacing="0" w:after="0" w:afterAutospacing="0"/>
                    <w:ind w:left="0" w:right="0"/>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60%</w:t>
                  </w:r>
                </w:p>
              </w:tc>
              <w:tc>
                <w:tcPr>
                  <w:tcW w:w="814" w:type="pct"/>
                  <w:tcBorders>
                    <w:tl2br w:val="nil"/>
                    <w:tr2bl w:val="nil"/>
                  </w:tcBorders>
                  <w:noWrap w:val="0"/>
                  <w:vAlign w:val="center"/>
                </w:tcPr>
                <w:p w14:paraId="553167D8">
                  <w:pPr>
                    <w:pStyle w:val="36"/>
                    <w:keepNext w:val="0"/>
                    <w:keepLines w:val="0"/>
                    <w:suppressLineNumbers w:val="0"/>
                    <w:bidi w:val="0"/>
                    <w:spacing w:before="0" w:beforeAutospacing="0" w:after="0" w:afterAutospacing="0"/>
                    <w:ind w:left="0" w:right="0"/>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1.3333</w:t>
                  </w:r>
                </w:p>
              </w:tc>
              <w:tc>
                <w:tcPr>
                  <w:tcW w:w="814" w:type="pct"/>
                  <w:tcBorders>
                    <w:tl2br w:val="nil"/>
                    <w:tr2bl w:val="nil"/>
                  </w:tcBorders>
                  <w:noWrap w:val="0"/>
                  <w:vAlign w:val="center"/>
                </w:tcPr>
                <w:p w14:paraId="14F196CC">
                  <w:pPr>
                    <w:pStyle w:val="36"/>
                    <w:keepNext w:val="0"/>
                    <w:keepLines w:val="0"/>
                    <w:suppressLineNumbers w:val="0"/>
                    <w:bidi w:val="0"/>
                    <w:spacing w:before="0" w:beforeAutospacing="0" w:after="0" w:afterAutospacing="0"/>
                    <w:ind w:left="0" w:right="0"/>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19800</w:t>
                  </w:r>
                </w:p>
              </w:tc>
              <w:tc>
                <w:tcPr>
                  <w:tcW w:w="803" w:type="pct"/>
                  <w:tcBorders>
                    <w:tl2br w:val="nil"/>
                    <w:tr2bl w:val="nil"/>
                  </w:tcBorders>
                  <w:noWrap w:val="0"/>
                  <w:vAlign w:val="center"/>
                </w:tcPr>
                <w:p w14:paraId="64F54535">
                  <w:pPr>
                    <w:pStyle w:val="36"/>
                    <w:keepNext w:val="0"/>
                    <w:keepLines w:val="0"/>
                    <w:suppressLineNumbers w:val="0"/>
                    <w:bidi w:val="0"/>
                    <w:spacing w:before="0" w:beforeAutospacing="0" w:after="0" w:afterAutospacing="0"/>
                    <w:ind w:left="0" w:right="0"/>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67.3</w:t>
                  </w:r>
                </w:p>
              </w:tc>
            </w:tr>
          </w:tbl>
          <w:p w14:paraId="14D493BA">
            <w:pPr>
              <w:pStyle w:val="17"/>
              <w:keepNext w:val="0"/>
              <w:keepLines w:val="0"/>
              <w:pageBreakBefore w:val="0"/>
              <w:widowControl w:val="0"/>
              <w:kinsoku/>
              <w:wordWrap/>
              <w:overflowPunct/>
              <w:topLinePunct w:val="0"/>
              <w:bidi w:val="0"/>
              <w:spacing w:line="360" w:lineRule="auto"/>
              <w:ind w:firstLine="480"/>
              <w:jc w:val="both"/>
              <w:textAlignment w:val="auto"/>
              <w:rPr>
                <w:rFonts w:hint="default" w:ascii="Times New Roman" w:hAnsi="Times New Roman" w:eastAsia="宋体" w:cs="Times New Roman"/>
                <w:b w:val="0"/>
                <w:bCs/>
                <w:color w:val="auto"/>
                <w:lang w:val="en-US" w:eastAsia="zh-CN"/>
              </w:rPr>
            </w:pPr>
            <w:r>
              <w:rPr>
                <w:rFonts w:hint="eastAsia" w:ascii="Times New Roman" w:hAnsi="Times New Roman" w:cs="Times New Roman"/>
                <w:b w:val="0"/>
                <w:bCs/>
                <w:color w:val="auto"/>
                <w:lang w:val="en-US" w:eastAsia="zh-CN"/>
              </w:rPr>
              <w:t>凯氏氮由有机氮和氨氮组成，总氮包括凯氏氮、硝态氮和亚硝氮，则总氮产生浓度为93.9mg/L。根据上表得出，各项目污染物产生浓度：COD为1670mg/L、BOD</w:t>
            </w:r>
            <w:r>
              <w:rPr>
                <w:rFonts w:hint="eastAsia" w:ascii="Times New Roman" w:hAnsi="Times New Roman" w:cs="Times New Roman"/>
                <w:b w:val="0"/>
                <w:bCs/>
                <w:color w:val="auto"/>
                <w:vertAlign w:val="subscript"/>
                <w:lang w:val="en-US" w:eastAsia="zh-CN"/>
              </w:rPr>
              <w:t>5</w:t>
            </w:r>
            <w:r>
              <w:rPr>
                <w:rFonts w:hint="eastAsia" w:ascii="Times New Roman" w:hAnsi="Times New Roman" w:cs="Times New Roman"/>
                <w:b w:val="0"/>
                <w:bCs/>
                <w:color w:val="auto"/>
                <w:lang w:val="en-US" w:eastAsia="zh-CN"/>
              </w:rPr>
              <w:t>为805mg/L、NH</w:t>
            </w:r>
            <w:r>
              <w:rPr>
                <w:rFonts w:hint="eastAsia" w:ascii="Times New Roman" w:hAnsi="Times New Roman" w:cs="Times New Roman"/>
                <w:b w:val="0"/>
                <w:bCs/>
                <w:color w:val="auto"/>
                <w:vertAlign w:val="subscript"/>
                <w:lang w:val="en-US" w:eastAsia="zh-CN"/>
              </w:rPr>
              <w:t>3</w:t>
            </w:r>
            <w:r>
              <w:rPr>
                <w:rFonts w:hint="eastAsia" w:ascii="Times New Roman" w:hAnsi="Times New Roman" w:cs="Times New Roman"/>
                <w:b w:val="0"/>
                <w:bCs/>
                <w:color w:val="auto"/>
                <w:lang w:val="en-US" w:eastAsia="zh-CN"/>
              </w:rPr>
              <w:t>-N为26.6mg/L</w:t>
            </w:r>
            <w:r>
              <w:rPr>
                <w:rFonts w:hint="eastAsia"/>
                <w:b w:val="0"/>
                <w:bCs/>
                <w:color w:val="auto"/>
                <w:lang w:eastAsia="zh-CN"/>
              </w:rPr>
              <w:t>，</w:t>
            </w:r>
            <w:r>
              <w:rPr>
                <w:rFonts w:hint="eastAsia" w:ascii="Times New Roman" w:hAnsi="Times New Roman" w:cs="Times New Roman"/>
                <w:b w:val="0"/>
                <w:bCs/>
                <w:color w:val="auto"/>
                <w:lang w:val="en-US" w:eastAsia="zh-CN"/>
              </w:rPr>
              <w:t>TN93.9mg/L，TP9.6mg/L，SS取500mg/L。</w:t>
            </w:r>
          </w:p>
          <w:p w14:paraId="556B4D7E">
            <w:pPr>
              <w:pStyle w:val="17"/>
              <w:keepNext w:val="0"/>
              <w:keepLines w:val="0"/>
              <w:pageBreakBefore w:val="0"/>
              <w:widowControl w:val="0"/>
              <w:kinsoku/>
              <w:wordWrap/>
              <w:overflowPunct/>
              <w:topLinePunct w:val="0"/>
              <w:bidi w:val="0"/>
              <w:spacing w:line="360" w:lineRule="auto"/>
              <w:ind w:firstLine="480"/>
              <w:textAlignment w:val="auto"/>
              <w:rPr>
                <w:rFonts w:hint="eastAsia" w:ascii="Times New Roman" w:hAnsi="Times New Roman" w:eastAsia="宋体" w:cs="Times New Roman"/>
                <w:b w:val="0"/>
                <w:bCs/>
                <w:color w:val="auto"/>
                <w:lang w:eastAsia="zh-CN"/>
              </w:rPr>
            </w:pPr>
            <w:r>
              <w:rPr>
                <w:rFonts w:ascii="Times New Roman" w:hAnsi="Times New Roman" w:cs="Times New Roman"/>
                <w:b w:val="0"/>
                <w:bCs/>
                <w:color w:val="auto"/>
              </w:rPr>
              <w:t>（</w:t>
            </w:r>
            <w:r>
              <w:rPr>
                <w:rFonts w:hint="eastAsia" w:ascii="Times New Roman" w:hAnsi="Times New Roman" w:cs="Times New Roman"/>
                <w:b w:val="0"/>
                <w:bCs/>
                <w:color w:val="auto"/>
                <w:lang w:val="en-US" w:eastAsia="zh-CN"/>
              </w:rPr>
              <w:t>4</w:t>
            </w:r>
            <w:r>
              <w:rPr>
                <w:rFonts w:ascii="Times New Roman" w:hAnsi="Times New Roman" w:cs="Times New Roman"/>
                <w:b w:val="0"/>
                <w:bCs/>
                <w:color w:val="auto"/>
              </w:rPr>
              <w:t>）地面</w:t>
            </w:r>
            <w:r>
              <w:rPr>
                <w:rFonts w:hint="eastAsia" w:ascii="Times New Roman" w:hAnsi="Times New Roman" w:cs="Times New Roman"/>
                <w:b w:val="0"/>
                <w:bCs/>
                <w:color w:val="auto"/>
                <w:lang w:val="en-US" w:eastAsia="zh-CN"/>
              </w:rPr>
              <w:t>清洗废水</w:t>
            </w:r>
          </w:p>
          <w:p w14:paraId="053D1A64">
            <w:pPr>
              <w:pStyle w:val="17"/>
              <w:keepNext w:val="0"/>
              <w:keepLines w:val="0"/>
              <w:pageBreakBefore w:val="0"/>
              <w:widowControl w:val="0"/>
              <w:kinsoku/>
              <w:wordWrap/>
              <w:overflowPunct/>
              <w:topLinePunct w:val="0"/>
              <w:bidi w:val="0"/>
              <w:spacing w:line="360" w:lineRule="auto"/>
              <w:ind w:firstLine="480"/>
              <w:jc w:val="both"/>
              <w:textAlignment w:val="auto"/>
              <w:rPr>
                <w:rFonts w:ascii="Times New Roman" w:hAnsi="Times New Roman" w:cs="Times New Roman"/>
                <w:b w:val="0"/>
                <w:bCs/>
                <w:color w:val="auto"/>
              </w:rPr>
            </w:pPr>
            <w:r>
              <w:rPr>
                <w:rFonts w:ascii="Times New Roman" w:hAnsi="Times New Roman" w:cs="Times New Roman"/>
                <w:b w:val="0"/>
                <w:bCs/>
                <w:color w:val="auto"/>
              </w:rPr>
              <w:t>项目车间清洁废水产生量为</w:t>
            </w:r>
            <w:r>
              <w:rPr>
                <w:rFonts w:hint="eastAsia" w:ascii="Times New Roman" w:hAnsi="Times New Roman" w:cs="Times New Roman"/>
                <w:b w:val="0"/>
                <w:bCs/>
                <w:color w:val="auto"/>
                <w:lang w:val="en-US" w:eastAsia="zh-CN"/>
              </w:rPr>
              <w:t>2640m</w:t>
            </w:r>
            <w:r>
              <w:rPr>
                <w:rFonts w:hint="eastAsia" w:ascii="Times New Roman" w:hAnsi="Times New Roman" w:cs="Times New Roman"/>
                <w:b w:val="0"/>
                <w:bCs/>
                <w:color w:val="auto"/>
                <w:vertAlign w:val="superscript"/>
                <w:lang w:val="en-US" w:eastAsia="zh-CN"/>
              </w:rPr>
              <w:t>3</w:t>
            </w:r>
            <w:r>
              <w:rPr>
                <w:rFonts w:hint="eastAsia" w:ascii="Times New Roman" w:hAnsi="Times New Roman" w:cs="Times New Roman"/>
                <w:b w:val="0"/>
                <w:bCs/>
                <w:color w:val="auto"/>
                <w:lang w:val="en-US" w:eastAsia="zh-CN"/>
              </w:rPr>
              <w:t>/a，地面清洗废水经厂区污水处理站后接管至</w:t>
            </w:r>
            <w:r>
              <w:rPr>
                <w:rFonts w:hint="eastAsia" w:ascii="Times New Roman" w:hAnsi="Times New Roman" w:cs="Times New Roman"/>
                <w:b w:val="0"/>
                <w:bCs/>
                <w:color w:val="auto"/>
              </w:rPr>
              <w:t>涟水经济开发</w:t>
            </w:r>
            <w:r>
              <w:rPr>
                <w:rFonts w:hint="eastAsia" w:ascii="Times New Roman" w:hAnsi="Times New Roman" w:cs="Times New Roman"/>
                <w:b w:val="0"/>
                <w:bCs/>
                <w:color w:val="auto"/>
                <w:lang w:val="en-US" w:eastAsia="zh-CN"/>
              </w:rPr>
              <w:t>区</w:t>
            </w:r>
            <w:r>
              <w:rPr>
                <w:rFonts w:hint="eastAsia" w:ascii="Times New Roman" w:hAnsi="Times New Roman" w:cs="Times New Roman"/>
                <w:b w:val="0"/>
                <w:bCs/>
                <w:color w:val="auto"/>
              </w:rPr>
              <w:t>西区</w:t>
            </w:r>
            <w:r>
              <w:rPr>
                <w:rFonts w:ascii="Times New Roman" w:hAnsi="Times New Roman" w:cs="Times New Roman"/>
                <w:b w:val="0"/>
                <w:bCs/>
                <w:color w:val="auto"/>
              </w:rPr>
              <w:t>污水处理</w:t>
            </w:r>
            <w:r>
              <w:rPr>
                <w:rFonts w:hint="eastAsia" w:ascii="Times New Roman" w:hAnsi="Times New Roman" w:cs="Times New Roman"/>
                <w:b w:val="0"/>
                <w:bCs/>
                <w:color w:val="auto"/>
                <w:lang w:val="en-US" w:eastAsia="zh-CN"/>
              </w:rPr>
              <w:t>厂处理</w:t>
            </w:r>
            <w:r>
              <w:rPr>
                <w:rFonts w:ascii="Times New Roman" w:hAnsi="Times New Roman" w:cs="Times New Roman"/>
                <w:b w:val="0"/>
                <w:bCs/>
                <w:color w:val="auto"/>
              </w:rPr>
              <w:t>。</w:t>
            </w:r>
            <w:r>
              <w:rPr>
                <w:rFonts w:hint="eastAsia" w:ascii="Times New Roman" w:hAnsi="Times New Roman" w:cs="Times New Roman"/>
                <w:b w:val="0"/>
                <w:bCs/>
                <w:color w:val="auto"/>
              </w:rPr>
              <w:t>因车间地面清洁度较高，污染物浓度取COD</w:t>
            </w:r>
            <w:r>
              <w:rPr>
                <w:rFonts w:hint="eastAsia" w:ascii="Times New Roman" w:hAnsi="Times New Roman" w:cs="Times New Roman"/>
                <w:b w:val="0"/>
                <w:bCs/>
                <w:color w:val="auto"/>
                <w:lang w:val="en-US" w:eastAsia="zh-CN"/>
              </w:rPr>
              <w:t>400</w:t>
            </w:r>
            <w:r>
              <w:rPr>
                <w:rFonts w:hint="eastAsia" w:ascii="Times New Roman" w:hAnsi="Times New Roman" w:cs="Times New Roman"/>
                <w:b w:val="0"/>
                <w:bCs/>
                <w:color w:val="auto"/>
              </w:rPr>
              <w:t>mg/L，</w:t>
            </w:r>
            <w:r>
              <w:rPr>
                <w:rFonts w:hint="eastAsia" w:ascii="Times New Roman" w:hAnsi="Times New Roman" w:cs="Times New Roman"/>
                <w:b w:val="0"/>
                <w:bCs/>
                <w:color w:val="auto"/>
                <w:lang w:val="en-US" w:eastAsia="zh-CN"/>
              </w:rPr>
              <w:t>BOD</w:t>
            </w:r>
            <w:r>
              <w:rPr>
                <w:rFonts w:hint="eastAsia" w:ascii="Times New Roman" w:hAnsi="Times New Roman" w:cs="Times New Roman"/>
                <w:b w:val="0"/>
                <w:bCs/>
                <w:color w:val="auto"/>
                <w:vertAlign w:val="subscript"/>
                <w:lang w:val="en-US" w:eastAsia="zh-CN"/>
              </w:rPr>
              <w:t>5</w:t>
            </w:r>
            <w:r>
              <w:rPr>
                <w:rFonts w:hint="eastAsia" w:ascii="Times New Roman" w:hAnsi="Times New Roman" w:cs="Times New Roman"/>
                <w:b w:val="0"/>
                <w:bCs/>
                <w:color w:val="auto"/>
                <w:vertAlign w:val="baseline"/>
                <w:lang w:val="en-US" w:eastAsia="zh-CN"/>
              </w:rPr>
              <w:t>240</w:t>
            </w:r>
            <w:r>
              <w:rPr>
                <w:rFonts w:hint="eastAsia" w:ascii="Times New Roman" w:hAnsi="Times New Roman" w:cs="Times New Roman"/>
                <w:b w:val="0"/>
                <w:bCs/>
                <w:color w:val="auto"/>
              </w:rPr>
              <w:t>mg/L</w:t>
            </w:r>
            <w:r>
              <w:rPr>
                <w:rFonts w:hint="eastAsia" w:ascii="Times New Roman" w:hAnsi="Times New Roman" w:cs="Times New Roman"/>
                <w:b w:val="0"/>
                <w:bCs/>
                <w:color w:val="auto"/>
                <w:vertAlign w:val="baseline"/>
                <w:lang w:val="en-US" w:eastAsia="zh-CN"/>
              </w:rPr>
              <w:t>，</w:t>
            </w:r>
            <w:r>
              <w:rPr>
                <w:rFonts w:hint="eastAsia" w:ascii="Times New Roman" w:hAnsi="Times New Roman" w:cs="Times New Roman"/>
                <w:b w:val="0"/>
                <w:bCs/>
                <w:color w:val="auto"/>
              </w:rPr>
              <w:t>SS</w:t>
            </w:r>
            <w:r>
              <w:rPr>
                <w:rFonts w:hint="eastAsia" w:ascii="Times New Roman" w:hAnsi="Times New Roman" w:cs="Times New Roman"/>
                <w:b w:val="0"/>
                <w:bCs/>
                <w:color w:val="auto"/>
                <w:lang w:val="en-US" w:eastAsia="zh-CN"/>
              </w:rPr>
              <w:t>3</w:t>
            </w:r>
            <w:r>
              <w:rPr>
                <w:rFonts w:hint="eastAsia" w:ascii="Times New Roman" w:hAnsi="Times New Roman" w:cs="Times New Roman"/>
                <w:b w:val="0"/>
                <w:bCs/>
                <w:color w:val="auto"/>
              </w:rPr>
              <w:t>00mg/L，NH</w:t>
            </w:r>
            <w:r>
              <w:rPr>
                <w:rFonts w:hint="eastAsia" w:ascii="Times New Roman" w:hAnsi="Times New Roman" w:cs="Times New Roman"/>
                <w:b w:val="0"/>
                <w:bCs/>
                <w:color w:val="auto"/>
                <w:vertAlign w:val="subscript"/>
              </w:rPr>
              <w:t>3</w:t>
            </w:r>
            <w:r>
              <w:rPr>
                <w:rFonts w:hint="eastAsia" w:ascii="Times New Roman" w:hAnsi="Times New Roman" w:cs="Times New Roman"/>
                <w:b w:val="0"/>
                <w:bCs/>
                <w:color w:val="auto"/>
              </w:rPr>
              <w:t>-N20mg/L</w:t>
            </w:r>
            <w:r>
              <w:rPr>
                <w:rFonts w:hint="eastAsia" w:ascii="Times New Roman" w:hAnsi="Times New Roman" w:cs="Times New Roman"/>
                <w:b w:val="0"/>
                <w:bCs/>
                <w:color w:val="auto"/>
                <w:lang w:eastAsia="zh-CN"/>
              </w:rPr>
              <w:t>，TN30mg/L</w:t>
            </w:r>
            <w:r>
              <w:rPr>
                <w:rFonts w:hint="eastAsia" w:ascii="Times New Roman" w:hAnsi="Times New Roman" w:cs="Times New Roman"/>
                <w:b w:val="0"/>
                <w:bCs/>
                <w:color w:val="auto"/>
              </w:rPr>
              <w:t>。</w:t>
            </w:r>
          </w:p>
          <w:p w14:paraId="139CA45F">
            <w:pPr>
              <w:pStyle w:val="17"/>
              <w:keepNext w:val="0"/>
              <w:keepLines w:val="0"/>
              <w:pageBreakBefore w:val="0"/>
              <w:widowControl w:val="0"/>
              <w:kinsoku/>
              <w:wordWrap/>
              <w:overflowPunct/>
              <w:topLinePunct w:val="0"/>
              <w:bidi w:val="0"/>
              <w:spacing w:line="360" w:lineRule="auto"/>
              <w:ind w:firstLine="480"/>
              <w:textAlignment w:val="auto"/>
              <w:rPr>
                <w:rFonts w:hint="eastAsia" w:ascii="Times New Roman" w:hAnsi="Times New Roman" w:eastAsia="宋体" w:cs="Times New Roman"/>
                <w:b w:val="0"/>
                <w:bCs/>
                <w:color w:val="auto"/>
                <w:lang w:val="en-US" w:eastAsia="zh-CN"/>
              </w:rPr>
            </w:pPr>
            <w:r>
              <w:rPr>
                <w:rFonts w:ascii="Times New Roman" w:hAnsi="Times New Roman" w:cs="Times New Roman"/>
                <w:b w:val="0"/>
                <w:bCs/>
                <w:color w:val="auto"/>
              </w:rPr>
              <w:t>（</w:t>
            </w:r>
            <w:r>
              <w:rPr>
                <w:rFonts w:hint="eastAsia" w:ascii="Times New Roman" w:hAnsi="Times New Roman" w:cs="Times New Roman"/>
                <w:b w:val="0"/>
                <w:bCs/>
                <w:color w:val="auto"/>
                <w:lang w:val="en-US" w:eastAsia="zh-CN"/>
              </w:rPr>
              <w:t>5</w:t>
            </w:r>
            <w:r>
              <w:rPr>
                <w:rFonts w:ascii="Times New Roman" w:hAnsi="Times New Roman" w:cs="Times New Roman"/>
                <w:b w:val="0"/>
                <w:bCs/>
                <w:color w:val="auto"/>
              </w:rPr>
              <w:t>）纯水制备系统</w:t>
            </w:r>
            <w:r>
              <w:rPr>
                <w:rFonts w:hint="eastAsia" w:ascii="Times New Roman" w:hAnsi="Times New Roman" w:cs="Times New Roman"/>
                <w:b w:val="0"/>
                <w:bCs/>
                <w:color w:val="auto"/>
                <w:lang w:val="en-US" w:eastAsia="zh-CN"/>
              </w:rPr>
              <w:t>废水</w:t>
            </w:r>
          </w:p>
          <w:p w14:paraId="6666A257">
            <w:pPr>
              <w:pStyle w:val="17"/>
              <w:keepNext w:val="0"/>
              <w:keepLines w:val="0"/>
              <w:pageBreakBefore w:val="0"/>
              <w:widowControl w:val="0"/>
              <w:kinsoku/>
              <w:wordWrap/>
              <w:overflowPunct/>
              <w:topLinePunct w:val="0"/>
              <w:bidi w:val="0"/>
              <w:spacing w:line="360" w:lineRule="auto"/>
              <w:ind w:firstLine="480"/>
              <w:jc w:val="both"/>
              <w:textAlignment w:val="auto"/>
              <w:rPr>
                <w:rFonts w:ascii="Times New Roman" w:hAnsi="Times New Roman" w:cs="Times New Roman"/>
                <w:b w:val="0"/>
                <w:bCs/>
                <w:color w:val="auto"/>
              </w:rPr>
            </w:pPr>
            <w:r>
              <w:rPr>
                <w:rFonts w:ascii="Times New Roman" w:hAnsi="Times New Roman" w:cs="Times New Roman"/>
                <w:b w:val="0"/>
                <w:bCs/>
                <w:color w:val="auto"/>
              </w:rPr>
              <w:t>项目</w:t>
            </w:r>
            <w:r>
              <w:rPr>
                <w:rFonts w:hint="eastAsia" w:ascii="Times New Roman" w:hAnsi="Times New Roman" w:cs="Times New Roman"/>
                <w:b w:val="0"/>
                <w:bCs/>
                <w:color w:val="auto"/>
                <w:lang w:val="en-US" w:eastAsia="zh-CN"/>
              </w:rPr>
              <w:t>纯水制备废水</w:t>
            </w:r>
            <w:r>
              <w:rPr>
                <w:rFonts w:ascii="Times New Roman" w:hAnsi="Times New Roman" w:cs="Times New Roman"/>
                <w:b w:val="0"/>
                <w:bCs/>
                <w:color w:val="auto"/>
              </w:rPr>
              <w:t>产生量约</w:t>
            </w:r>
            <w:r>
              <w:rPr>
                <w:rFonts w:hint="eastAsia" w:ascii="Times New Roman" w:hAnsi="Times New Roman" w:cs="Times New Roman"/>
                <w:b w:val="0"/>
                <w:bCs/>
                <w:color w:val="auto"/>
                <w:lang w:val="en-US" w:eastAsia="zh-CN"/>
              </w:rPr>
              <w:t>58230m</w:t>
            </w:r>
            <w:r>
              <w:rPr>
                <w:rFonts w:hint="eastAsia" w:ascii="Times New Roman" w:hAnsi="Times New Roman" w:cs="Times New Roman"/>
                <w:b w:val="0"/>
                <w:bCs/>
                <w:color w:val="auto"/>
                <w:vertAlign w:val="superscript"/>
                <w:lang w:val="en-US" w:eastAsia="zh-CN"/>
              </w:rPr>
              <w:t>3</w:t>
            </w:r>
            <w:r>
              <w:rPr>
                <w:rFonts w:hint="eastAsia" w:ascii="Times New Roman" w:hAnsi="Times New Roman" w:cs="Times New Roman"/>
                <w:b w:val="0"/>
                <w:bCs/>
                <w:color w:val="auto"/>
                <w:lang w:val="en-US" w:eastAsia="zh-CN"/>
              </w:rPr>
              <w:t>/a</w:t>
            </w:r>
            <w:r>
              <w:rPr>
                <w:rFonts w:ascii="Times New Roman" w:hAnsi="Times New Roman" w:cs="Times New Roman"/>
                <w:b w:val="0"/>
                <w:bCs/>
                <w:color w:val="auto"/>
              </w:rPr>
              <w:t>，其中</w:t>
            </w:r>
            <w:r>
              <w:rPr>
                <w:rFonts w:hint="eastAsia" w:ascii="Times New Roman" w:hAnsi="Times New Roman" w:cs="Times New Roman"/>
                <w:b w:val="0"/>
                <w:bCs/>
                <w:color w:val="auto"/>
                <w:lang w:val="en-US" w:eastAsia="zh-CN"/>
              </w:rPr>
              <w:t>11880</w:t>
            </w:r>
            <w:r>
              <w:rPr>
                <w:rFonts w:ascii="Times New Roman" w:hAnsi="Times New Roman" w:cs="Times New Roman"/>
                <w:b w:val="0"/>
                <w:bCs/>
                <w:color w:val="auto"/>
              </w:rPr>
              <w:t>t/a用于酸雾喷淋塔，</w:t>
            </w:r>
            <w:r>
              <w:rPr>
                <w:rFonts w:hint="eastAsia" w:ascii="Times New Roman" w:hAnsi="Times New Roman" w:cs="Times New Roman"/>
                <w:b w:val="0"/>
                <w:bCs/>
                <w:color w:val="auto"/>
                <w:lang w:val="en-US" w:eastAsia="zh-CN"/>
              </w:rPr>
              <w:t>3300m</w:t>
            </w:r>
            <w:r>
              <w:rPr>
                <w:rFonts w:hint="eastAsia" w:ascii="Times New Roman" w:hAnsi="Times New Roman" w:cs="Times New Roman"/>
                <w:b w:val="0"/>
                <w:bCs/>
                <w:color w:val="auto"/>
                <w:vertAlign w:val="superscript"/>
                <w:lang w:val="en-US" w:eastAsia="zh-CN"/>
              </w:rPr>
              <w:t>3</w:t>
            </w:r>
            <w:r>
              <w:rPr>
                <w:rFonts w:hint="eastAsia" w:ascii="Times New Roman" w:hAnsi="Times New Roman" w:cs="Times New Roman"/>
                <w:b w:val="0"/>
                <w:bCs/>
                <w:color w:val="auto"/>
                <w:lang w:val="en-US" w:eastAsia="zh-CN"/>
              </w:rPr>
              <w:t>/a</w:t>
            </w:r>
            <w:r>
              <w:rPr>
                <w:rFonts w:ascii="Times New Roman" w:hAnsi="Times New Roman" w:cs="Times New Roman"/>
                <w:b w:val="0"/>
                <w:bCs/>
                <w:color w:val="auto"/>
              </w:rPr>
              <w:t>用于车间地面冲洗，剩余作为废水</w:t>
            </w:r>
            <w:r>
              <w:rPr>
                <w:rFonts w:hint="eastAsia" w:ascii="Times New Roman" w:hAnsi="Times New Roman" w:cs="Times New Roman"/>
                <w:b w:val="0"/>
                <w:bCs/>
                <w:color w:val="auto"/>
                <w:lang w:eastAsia="zh-CN"/>
              </w:rPr>
              <w:t>（</w:t>
            </w:r>
            <w:r>
              <w:rPr>
                <w:rFonts w:hint="eastAsia" w:ascii="Times New Roman" w:hAnsi="Times New Roman" w:cs="Times New Roman"/>
                <w:b w:val="0"/>
                <w:bCs/>
                <w:color w:val="auto"/>
                <w:lang w:val="en-US" w:eastAsia="zh-CN"/>
              </w:rPr>
              <w:t>不经厂区污水处理站处理</w:t>
            </w:r>
            <w:r>
              <w:rPr>
                <w:rFonts w:hint="eastAsia" w:ascii="Times New Roman" w:hAnsi="Times New Roman" w:cs="Times New Roman"/>
                <w:b w:val="0"/>
                <w:bCs/>
                <w:color w:val="auto"/>
                <w:lang w:eastAsia="zh-CN"/>
              </w:rPr>
              <w:t>）</w:t>
            </w:r>
            <w:r>
              <w:rPr>
                <w:rFonts w:hint="eastAsia" w:ascii="Times New Roman" w:hAnsi="Times New Roman" w:cs="Times New Roman"/>
                <w:b w:val="0"/>
                <w:bCs/>
                <w:color w:val="auto"/>
              </w:rPr>
              <w:t>接管涟水经济开发</w:t>
            </w:r>
            <w:r>
              <w:rPr>
                <w:rFonts w:hint="eastAsia" w:ascii="Times New Roman" w:hAnsi="Times New Roman" w:cs="Times New Roman"/>
                <w:b w:val="0"/>
                <w:bCs/>
                <w:color w:val="auto"/>
                <w:lang w:val="en-US" w:eastAsia="zh-CN"/>
              </w:rPr>
              <w:t>区</w:t>
            </w:r>
            <w:r>
              <w:rPr>
                <w:rFonts w:hint="eastAsia" w:ascii="Times New Roman" w:hAnsi="Times New Roman" w:cs="Times New Roman"/>
                <w:b w:val="0"/>
                <w:bCs/>
                <w:color w:val="auto"/>
              </w:rPr>
              <w:t>西区</w:t>
            </w:r>
            <w:r>
              <w:rPr>
                <w:rFonts w:ascii="Times New Roman" w:hAnsi="Times New Roman" w:cs="Times New Roman"/>
                <w:b w:val="0"/>
                <w:bCs/>
                <w:color w:val="auto"/>
              </w:rPr>
              <w:t>污水处理厂。</w:t>
            </w:r>
            <w:r>
              <w:rPr>
                <w:rFonts w:hint="eastAsia" w:ascii="Times New Roman" w:hAnsi="Times New Roman" w:cs="Times New Roman"/>
                <w:b w:val="0"/>
                <w:bCs/>
                <w:color w:val="auto"/>
              </w:rPr>
              <w:t>废水主要成分为无机盐、悬浮物等，不含氮、磷、有机物、重金属等，污染物浓度取COD</w:t>
            </w:r>
            <w:r>
              <w:rPr>
                <w:rFonts w:hint="eastAsia" w:ascii="Times New Roman" w:hAnsi="Times New Roman" w:cs="Times New Roman"/>
                <w:b w:val="0"/>
                <w:bCs/>
                <w:color w:val="auto"/>
                <w:lang w:val="en-US" w:eastAsia="zh-CN"/>
              </w:rPr>
              <w:t>15</w:t>
            </w:r>
            <w:r>
              <w:rPr>
                <w:rFonts w:hint="eastAsia" w:ascii="Times New Roman" w:hAnsi="Times New Roman" w:cs="Times New Roman"/>
                <w:b w:val="0"/>
                <w:bCs/>
                <w:color w:val="auto"/>
              </w:rPr>
              <w:t>mg/L、SS</w:t>
            </w:r>
            <w:r>
              <w:rPr>
                <w:rFonts w:hint="eastAsia" w:ascii="Times New Roman" w:hAnsi="Times New Roman" w:cs="Times New Roman"/>
                <w:b w:val="0"/>
                <w:bCs/>
                <w:color w:val="auto"/>
                <w:lang w:val="en-US" w:eastAsia="zh-CN"/>
              </w:rPr>
              <w:t>20</w:t>
            </w:r>
            <w:r>
              <w:rPr>
                <w:rFonts w:hint="eastAsia" w:ascii="Times New Roman" w:hAnsi="Times New Roman" w:cs="Times New Roman"/>
                <w:b w:val="0"/>
                <w:bCs/>
                <w:color w:val="auto"/>
              </w:rPr>
              <w:t>mg/L。</w:t>
            </w:r>
          </w:p>
          <w:p w14:paraId="27F05F78">
            <w:pPr>
              <w:pStyle w:val="17"/>
              <w:keepNext w:val="0"/>
              <w:keepLines w:val="0"/>
              <w:pageBreakBefore w:val="0"/>
              <w:widowControl w:val="0"/>
              <w:numPr>
                <w:ilvl w:val="0"/>
                <w:numId w:val="0"/>
              </w:numPr>
              <w:kinsoku/>
              <w:wordWrap/>
              <w:overflowPunct/>
              <w:topLinePunct w:val="0"/>
              <w:bidi w:val="0"/>
              <w:spacing w:after="0" w:line="360" w:lineRule="auto"/>
              <w:ind w:left="0" w:leftChars="0" w:right="0" w:rightChars="0" w:firstLine="480" w:firstLineChars="200"/>
              <w:textAlignment w:val="auto"/>
              <w:rPr>
                <w:rFonts w:hint="eastAsia" w:ascii="Times New Roman" w:hAnsi="Times New Roman" w:eastAsia="宋体" w:cs="Times New Roman"/>
                <w:b w:val="0"/>
                <w:color w:val="auto"/>
                <w:lang w:eastAsia="zh-CN"/>
              </w:rPr>
            </w:pPr>
            <w:r>
              <w:rPr>
                <w:rFonts w:hint="eastAsia" w:ascii="Times New Roman" w:hAnsi="Times New Roman" w:eastAsia="宋体" w:cs="Times New Roman"/>
                <w:b w:val="0"/>
                <w:color w:val="auto"/>
                <w:kern w:val="2"/>
                <w:sz w:val="24"/>
                <w:szCs w:val="24"/>
                <w:lang w:val="en-US" w:eastAsia="zh-CN" w:bidi="ar"/>
              </w:rPr>
              <w:t>（</w:t>
            </w:r>
            <w:r>
              <w:rPr>
                <w:rFonts w:hint="eastAsia" w:ascii="Times New Roman" w:hAnsi="Times New Roman" w:cs="Times New Roman"/>
                <w:b w:val="0"/>
                <w:color w:val="auto"/>
                <w:kern w:val="2"/>
                <w:sz w:val="24"/>
                <w:szCs w:val="24"/>
                <w:lang w:val="en-US" w:eastAsia="zh-CN" w:bidi="ar"/>
              </w:rPr>
              <w:t>6</w:t>
            </w:r>
            <w:r>
              <w:rPr>
                <w:rFonts w:hint="eastAsia" w:ascii="Times New Roman" w:hAnsi="Times New Roman" w:eastAsia="宋体" w:cs="Times New Roman"/>
                <w:b w:val="0"/>
                <w:color w:val="auto"/>
                <w:kern w:val="2"/>
                <w:sz w:val="24"/>
                <w:szCs w:val="24"/>
                <w:lang w:val="en-US" w:eastAsia="zh-CN" w:bidi="ar"/>
              </w:rPr>
              <w:t>）</w:t>
            </w:r>
            <w:r>
              <w:rPr>
                <w:rFonts w:hint="eastAsia" w:ascii="Times New Roman" w:hAnsi="Times New Roman" w:cs="Times New Roman"/>
                <w:b w:val="0"/>
                <w:color w:val="auto"/>
              </w:rPr>
              <w:t>生活</w:t>
            </w:r>
            <w:r>
              <w:rPr>
                <w:rFonts w:hint="eastAsia" w:ascii="Times New Roman" w:hAnsi="Times New Roman" w:cs="Times New Roman"/>
                <w:b w:val="0"/>
                <w:color w:val="auto"/>
                <w:lang w:val="en-US" w:eastAsia="zh-CN"/>
              </w:rPr>
              <w:t>污水</w:t>
            </w:r>
          </w:p>
          <w:p w14:paraId="6AFFC049">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Times New Roman" w:hAnsi="Times New Roman" w:cs="Times New Roman"/>
                <w:color w:val="auto"/>
                <w:sz w:val="24"/>
                <w:szCs w:val="24"/>
              </w:rPr>
            </w:pPr>
            <w:r>
              <w:rPr>
                <w:rFonts w:hint="eastAsia"/>
                <w:color w:val="auto"/>
                <w:sz w:val="24"/>
                <w:lang w:val="en-US" w:eastAsia="zh-CN"/>
              </w:rPr>
              <w:t>生活污水产生量为660</w:t>
            </w:r>
            <w:r>
              <w:rPr>
                <w:rFonts w:hint="eastAsia" w:ascii="Times New Roman" w:hAnsi="Times New Roman"/>
                <w:color w:val="auto"/>
                <w:sz w:val="24"/>
                <w:lang w:val="en-US" w:eastAsia="zh-CN"/>
              </w:rPr>
              <w:t>m</w:t>
            </w:r>
            <w:r>
              <w:rPr>
                <w:rFonts w:hint="eastAsia" w:ascii="Times New Roman" w:hAnsi="Times New Roman"/>
                <w:color w:val="auto"/>
                <w:sz w:val="24"/>
                <w:vertAlign w:val="superscript"/>
                <w:lang w:val="en-US" w:eastAsia="zh-CN"/>
              </w:rPr>
              <w:t>3</w:t>
            </w:r>
            <w:r>
              <w:rPr>
                <w:rFonts w:hint="eastAsia" w:ascii="Times New Roman" w:hAnsi="Times New Roman"/>
                <w:color w:val="auto"/>
                <w:sz w:val="24"/>
                <w:lang w:val="en-US" w:eastAsia="zh-CN"/>
              </w:rPr>
              <w:t>/a</w:t>
            </w:r>
            <w:r>
              <w:rPr>
                <w:rFonts w:ascii="Times New Roman" w:hAnsi="Times New Roman"/>
                <w:color w:val="auto"/>
                <w:sz w:val="24"/>
              </w:rPr>
              <w:t>。</w:t>
            </w:r>
            <w:r>
              <w:rPr>
                <w:rFonts w:ascii="Times New Roman" w:hAnsi="Times New Roman" w:cs="Times New Roman"/>
                <w:color w:val="auto"/>
                <w:sz w:val="24"/>
                <w:szCs w:val="24"/>
              </w:rPr>
              <w:t>废水中主要污染物为COD 350mg/L，</w:t>
            </w:r>
            <w:r>
              <w:rPr>
                <w:rFonts w:hint="eastAsia" w:ascii="Times New Roman" w:hAnsi="Times New Roman" w:cs="Times New Roman"/>
                <w:color w:val="auto"/>
                <w:sz w:val="24"/>
                <w:szCs w:val="24"/>
                <w:lang w:val="en-US" w:eastAsia="zh-CN"/>
              </w:rPr>
              <w:t>BOD</w:t>
            </w:r>
            <w:r>
              <w:rPr>
                <w:rFonts w:hint="eastAsia" w:ascii="Times New Roman" w:hAnsi="Times New Roman" w:cs="Times New Roman"/>
                <w:color w:val="auto"/>
                <w:sz w:val="24"/>
                <w:szCs w:val="24"/>
                <w:vertAlign w:val="subscript"/>
                <w:lang w:val="en-US" w:eastAsia="zh-CN"/>
              </w:rPr>
              <w:t>5</w:t>
            </w:r>
            <w:r>
              <w:rPr>
                <w:rFonts w:hint="eastAsia" w:ascii="Times New Roman" w:hAnsi="Times New Roman" w:cs="Times New Roman"/>
                <w:color w:val="auto"/>
                <w:sz w:val="24"/>
                <w:szCs w:val="24"/>
                <w:vertAlign w:val="baseline"/>
                <w:lang w:val="en-US" w:eastAsia="zh-CN"/>
              </w:rPr>
              <w:t>200</w:t>
            </w:r>
            <w:r>
              <w:rPr>
                <w:rFonts w:ascii="Times New Roman" w:hAnsi="Times New Roman" w:cs="Times New Roman"/>
                <w:color w:val="auto"/>
                <w:sz w:val="24"/>
                <w:szCs w:val="24"/>
              </w:rPr>
              <w:t>mg/L，SS 250mg/L，氨氮为30mg/L，</w:t>
            </w:r>
            <w:r>
              <w:rPr>
                <w:rFonts w:hint="eastAsia" w:ascii="Times New Roman" w:hAnsi="Times New Roman" w:cs="Times New Roman"/>
                <w:color w:val="auto"/>
                <w:sz w:val="24"/>
                <w:szCs w:val="24"/>
                <w:lang w:val="en-US" w:eastAsia="zh-CN"/>
              </w:rPr>
              <w:t>总氮35</w:t>
            </w:r>
            <w:r>
              <w:rPr>
                <w:rFonts w:ascii="Times New Roman" w:hAnsi="Times New Roman" w:cs="Times New Roman"/>
                <w:color w:val="auto"/>
                <w:sz w:val="24"/>
                <w:szCs w:val="24"/>
              </w:rPr>
              <w:t>mg/L</w:t>
            </w:r>
            <w:r>
              <w:rPr>
                <w:rFonts w:hint="eastAsia" w:ascii="Times New Roman" w:hAnsi="Times New Roman" w:cs="Times New Roman"/>
                <w:color w:val="auto"/>
                <w:sz w:val="24"/>
                <w:szCs w:val="24"/>
                <w:lang w:eastAsia="zh-CN"/>
              </w:rPr>
              <w:t>，</w:t>
            </w:r>
            <w:r>
              <w:rPr>
                <w:rFonts w:ascii="Times New Roman" w:hAnsi="Times New Roman" w:cs="Times New Roman"/>
                <w:color w:val="auto"/>
                <w:sz w:val="24"/>
                <w:szCs w:val="24"/>
              </w:rPr>
              <w:t>总磷为4mg/L。</w:t>
            </w:r>
          </w:p>
          <w:p w14:paraId="28C77426">
            <w:pPr>
              <w:pStyle w:val="9"/>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7</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食堂废水</w:t>
            </w:r>
          </w:p>
          <w:p w14:paraId="4CFDDA59">
            <w:pPr>
              <w:keepNext w:val="0"/>
              <w:keepLines w:val="0"/>
              <w:pageBreakBefore w:val="0"/>
              <w:widowControl w:val="0"/>
              <w:kinsoku/>
              <w:wordWrap/>
              <w:overflowPunct/>
              <w:topLinePunct w:val="0"/>
              <w:bidi w:val="0"/>
              <w:spacing w:line="360" w:lineRule="auto"/>
              <w:ind w:firstLine="480" w:firstLineChars="200"/>
              <w:jc w:val="both"/>
              <w:textAlignment w:val="auto"/>
              <w:rPr>
                <w:rFonts w:ascii="Times New Roman" w:hAnsi="Times New Roman" w:cs="Times New Roman"/>
                <w:color w:val="auto"/>
                <w:sz w:val="24"/>
                <w:szCs w:val="24"/>
              </w:rPr>
            </w:pPr>
            <w:r>
              <w:rPr>
                <w:rFonts w:hint="eastAsia" w:ascii="Times New Roman" w:hAnsi="Times New Roman" w:eastAsia="宋体" w:cs="Courier New"/>
                <w:color w:val="auto"/>
                <w:kern w:val="2"/>
                <w:sz w:val="24"/>
                <w:szCs w:val="21"/>
                <w:lang w:val="en-US" w:eastAsia="zh-CN" w:bidi="ar-SA"/>
              </w:rPr>
              <w:t>食堂废水产生量为</w:t>
            </w:r>
            <w:r>
              <w:rPr>
                <w:rFonts w:hint="eastAsia" w:cs="Courier New"/>
                <w:color w:val="auto"/>
                <w:kern w:val="2"/>
                <w:sz w:val="24"/>
                <w:szCs w:val="21"/>
                <w:lang w:val="en-US" w:eastAsia="zh-CN" w:bidi="ar-SA"/>
              </w:rPr>
              <w:t>660</w:t>
            </w:r>
            <w:r>
              <w:rPr>
                <w:rFonts w:hint="eastAsia" w:ascii="Times New Roman" w:hAnsi="Times New Roman"/>
                <w:color w:val="auto"/>
                <w:sz w:val="24"/>
                <w:szCs w:val="24"/>
                <w:lang w:val="en-US" w:eastAsia="zh-CN"/>
              </w:rPr>
              <w:t>m</w:t>
            </w:r>
            <w:r>
              <w:rPr>
                <w:rFonts w:hint="eastAsia" w:ascii="Times New Roman" w:hAnsi="Times New Roman"/>
                <w:color w:val="auto"/>
                <w:sz w:val="24"/>
                <w:szCs w:val="24"/>
                <w:vertAlign w:val="superscript"/>
                <w:lang w:val="en-US" w:eastAsia="zh-CN"/>
              </w:rPr>
              <w:t>3</w:t>
            </w:r>
            <w:r>
              <w:rPr>
                <w:rFonts w:hint="default" w:ascii="Times New Roman" w:hAnsi="Times New Roman"/>
                <w:color w:val="auto"/>
                <w:sz w:val="24"/>
                <w:szCs w:val="24"/>
              </w:rPr>
              <w:t>/a</w:t>
            </w:r>
            <w:r>
              <w:rPr>
                <w:rFonts w:ascii="Times New Roman" w:hAnsi="Times New Roman" w:eastAsia="宋体" w:cs="Courier New"/>
                <w:color w:val="auto"/>
                <w:kern w:val="2"/>
                <w:sz w:val="24"/>
                <w:szCs w:val="21"/>
                <w:lang w:val="en-US" w:eastAsia="zh-CN" w:bidi="ar-SA"/>
              </w:rPr>
              <w:t>。</w:t>
            </w:r>
            <w:r>
              <w:rPr>
                <w:rFonts w:ascii="Times New Roman" w:hAnsi="Times New Roman" w:cs="Times New Roman"/>
                <w:color w:val="auto"/>
                <w:sz w:val="24"/>
                <w:szCs w:val="24"/>
              </w:rPr>
              <w:t>废水中主要污染物为COD 350mg/L，</w:t>
            </w:r>
            <w:r>
              <w:rPr>
                <w:rFonts w:hint="eastAsia" w:ascii="Times New Roman" w:hAnsi="Times New Roman" w:cs="Times New Roman"/>
                <w:color w:val="auto"/>
                <w:sz w:val="24"/>
                <w:szCs w:val="24"/>
                <w:lang w:val="en-US" w:eastAsia="zh-CN"/>
              </w:rPr>
              <w:t>BOD</w:t>
            </w:r>
            <w:r>
              <w:rPr>
                <w:rFonts w:hint="eastAsia" w:ascii="Times New Roman" w:hAnsi="Times New Roman" w:cs="Times New Roman"/>
                <w:color w:val="auto"/>
                <w:sz w:val="24"/>
                <w:szCs w:val="24"/>
                <w:vertAlign w:val="subscript"/>
                <w:lang w:val="en-US" w:eastAsia="zh-CN"/>
              </w:rPr>
              <w:t>5</w:t>
            </w:r>
            <w:r>
              <w:rPr>
                <w:rFonts w:hint="eastAsia" w:ascii="Times New Roman" w:hAnsi="Times New Roman" w:cs="Times New Roman"/>
                <w:color w:val="auto"/>
                <w:sz w:val="24"/>
                <w:szCs w:val="24"/>
                <w:vertAlign w:val="baseline"/>
                <w:lang w:val="en-US" w:eastAsia="zh-CN"/>
              </w:rPr>
              <w:t>200</w:t>
            </w:r>
            <w:r>
              <w:rPr>
                <w:rFonts w:ascii="Times New Roman" w:hAnsi="Times New Roman" w:cs="Times New Roman"/>
                <w:color w:val="auto"/>
                <w:sz w:val="24"/>
                <w:szCs w:val="24"/>
              </w:rPr>
              <w:t>mg/L，SS 250mg/L，氨氮为30mg/L，</w:t>
            </w:r>
            <w:r>
              <w:rPr>
                <w:rFonts w:hint="eastAsia" w:ascii="Times New Roman" w:hAnsi="Times New Roman" w:cs="Times New Roman"/>
                <w:color w:val="auto"/>
                <w:sz w:val="24"/>
                <w:szCs w:val="24"/>
                <w:lang w:val="en-US" w:eastAsia="zh-CN"/>
              </w:rPr>
              <w:t>总氮35</w:t>
            </w:r>
            <w:r>
              <w:rPr>
                <w:rFonts w:ascii="Times New Roman" w:hAnsi="Times New Roman" w:cs="Times New Roman"/>
                <w:color w:val="auto"/>
                <w:sz w:val="24"/>
                <w:szCs w:val="24"/>
              </w:rPr>
              <w:t>mg/L</w:t>
            </w:r>
            <w:r>
              <w:rPr>
                <w:rFonts w:hint="eastAsia" w:ascii="Times New Roman" w:hAnsi="Times New Roman" w:cs="Times New Roman"/>
                <w:color w:val="auto"/>
                <w:sz w:val="24"/>
                <w:szCs w:val="24"/>
                <w:lang w:eastAsia="zh-CN"/>
              </w:rPr>
              <w:t>，</w:t>
            </w:r>
            <w:r>
              <w:rPr>
                <w:rFonts w:ascii="Times New Roman" w:hAnsi="Times New Roman" w:cs="Times New Roman"/>
                <w:color w:val="auto"/>
                <w:sz w:val="24"/>
                <w:szCs w:val="24"/>
              </w:rPr>
              <w:t>总磷为4mg/L</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动植物油150</w:t>
            </w:r>
            <w:r>
              <w:rPr>
                <w:rFonts w:ascii="Times New Roman" w:hAnsi="Times New Roman" w:cs="Times New Roman"/>
                <w:color w:val="auto"/>
                <w:sz w:val="24"/>
                <w:szCs w:val="24"/>
              </w:rPr>
              <w:t>mg/L。</w:t>
            </w:r>
          </w:p>
          <w:p w14:paraId="52F1E9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sz w:val="24"/>
                <w:vertAlign w:val="baseline"/>
                <w:lang w:val="en-US" w:eastAsia="zh-CN"/>
              </w:rPr>
            </w:pPr>
            <w:r>
              <w:rPr>
                <w:rFonts w:hint="eastAsia"/>
                <w:color w:val="auto"/>
                <w:sz w:val="24"/>
                <w:lang w:val="en-US" w:eastAsia="zh-CN"/>
              </w:rPr>
              <w:t>本项目进入污水处理站处理的废水为杀菌废水、</w:t>
            </w:r>
            <w:r>
              <w:rPr>
                <w:color w:val="auto"/>
                <w:sz w:val="24"/>
                <w:lang w:val="en-US" w:eastAsia="zh-CN"/>
              </w:rPr>
              <w:t>乙酸雾吸收废水</w:t>
            </w:r>
            <w:r>
              <w:rPr>
                <w:rFonts w:hint="eastAsia"/>
                <w:color w:val="auto"/>
                <w:sz w:val="24"/>
                <w:lang w:val="en-US" w:eastAsia="zh-CN"/>
              </w:rPr>
              <w:t>、</w:t>
            </w:r>
            <w:r>
              <w:rPr>
                <w:color w:val="auto"/>
                <w:sz w:val="24"/>
                <w:lang w:val="en-US" w:eastAsia="zh-CN"/>
              </w:rPr>
              <w:t>设备清洗废水</w:t>
            </w:r>
            <w:r>
              <w:rPr>
                <w:rFonts w:hint="eastAsia"/>
                <w:color w:val="auto"/>
                <w:sz w:val="24"/>
                <w:lang w:val="en-US" w:eastAsia="zh-CN"/>
              </w:rPr>
              <w:t>、</w:t>
            </w:r>
            <w:r>
              <w:rPr>
                <w:color w:val="auto"/>
                <w:sz w:val="24"/>
                <w:lang w:val="en-US" w:eastAsia="zh-CN"/>
              </w:rPr>
              <w:t>地面清洗废水</w:t>
            </w:r>
            <w:r>
              <w:rPr>
                <w:rFonts w:hint="eastAsia"/>
                <w:color w:val="auto"/>
                <w:sz w:val="24"/>
                <w:lang w:val="en-US" w:eastAsia="zh-CN"/>
              </w:rPr>
              <w:t>。根据《厌氧-缺氧-好氧活性污泥法污水处理工程技术规范》（HJ576-2010）表2污染物去除率，COD：70%～90%；BOD</w:t>
            </w:r>
            <w:r>
              <w:rPr>
                <w:rFonts w:hint="eastAsia"/>
                <w:color w:val="auto"/>
                <w:sz w:val="24"/>
                <w:vertAlign w:val="subscript"/>
                <w:lang w:val="en-US" w:eastAsia="zh-CN"/>
              </w:rPr>
              <w:t>5:</w:t>
            </w:r>
            <w:r>
              <w:rPr>
                <w:rFonts w:hint="eastAsia"/>
                <w:color w:val="auto"/>
                <w:sz w:val="24"/>
                <w:vertAlign w:val="baseline"/>
                <w:lang w:val="en-US" w:eastAsia="zh-CN"/>
              </w:rPr>
              <w:t>70%～90%；SS：70%～90%；NH</w:t>
            </w:r>
            <w:r>
              <w:rPr>
                <w:rFonts w:hint="eastAsia"/>
                <w:color w:val="auto"/>
                <w:sz w:val="24"/>
                <w:vertAlign w:val="subscript"/>
                <w:lang w:val="en-US" w:eastAsia="zh-CN"/>
              </w:rPr>
              <w:t>3</w:t>
            </w:r>
            <w:r>
              <w:rPr>
                <w:rFonts w:hint="eastAsia"/>
                <w:color w:val="auto"/>
                <w:sz w:val="24"/>
                <w:vertAlign w:val="baseline"/>
                <w:lang w:val="en-US" w:eastAsia="zh-CN"/>
              </w:rPr>
              <w:t>-N：80%～90%；TN：60%～80%；TP：60%～90%。本次环评取处理效率即</w:t>
            </w:r>
            <w:r>
              <w:rPr>
                <w:rFonts w:hint="eastAsia"/>
                <w:color w:val="auto"/>
                <w:sz w:val="24"/>
                <w:lang w:val="en-US" w:eastAsia="zh-CN"/>
              </w:rPr>
              <w:t>COD：70%；BOD</w:t>
            </w:r>
            <w:r>
              <w:rPr>
                <w:rFonts w:hint="eastAsia"/>
                <w:color w:val="auto"/>
                <w:sz w:val="24"/>
                <w:vertAlign w:val="subscript"/>
                <w:lang w:val="en-US" w:eastAsia="zh-CN"/>
              </w:rPr>
              <w:t>5:</w:t>
            </w:r>
            <w:r>
              <w:rPr>
                <w:rFonts w:hint="eastAsia"/>
                <w:color w:val="auto"/>
                <w:sz w:val="24"/>
                <w:vertAlign w:val="baseline"/>
                <w:lang w:val="en-US" w:eastAsia="zh-CN"/>
              </w:rPr>
              <w:t>70%；SS：70%；NH</w:t>
            </w:r>
            <w:r>
              <w:rPr>
                <w:rFonts w:hint="eastAsia"/>
                <w:color w:val="auto"/>
                <w:sz w:val="24"/>
                <w:vertAlign w:val="subscript"/>
                <w:lang w:val="en-US" w:eastAsia="zh-CN"/>
              </w:rPr>
              <w:t>3</w:t>
            </w:r>
            <w:r>
              <w:rPr>
                <w:rFonts w:hint="eastAsia"/>
                <w:color w:val="auto"/>
                <w:sz w:val="24"/>
                <w:vertAlign w:val="baseline"/>
                <w:lang w:val="en-US" w:eastAsia="zh-CN"/>
              </w:rPr>
              <w:t>-N：80%；TN：60%；TP：60%。</w:t>
            </w:r>
          </w:p>
          <w:p w14:paraId="0425D76B">
            <w:pPr>
              <w:pStyle w:val="9"/>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b/>
                <w:bCs/>
                <w:color w:val="auto"/>
                <w:sz w:val="21"/>
                <w:szCs w:val="21"/>
              </w:rPr>
            </w:pPr>
            <w:r>
              <w:rPr>
                <w:rFonts w:hint="eastAsia" w:ascii="Times New Roman" w:hAnsi="Times New Roman" w:eastAsia="宋体" w:cs="Times New Roman"/>
                <w:color w:val="auto"/>
                <w:kern w:val="0"/>
                <w:sz w:val="24"/>
                <w:szCs w:val="20"/>
                <w:lang w:val="en-US" w:eastAsia="zh-CN" w:bidi="ar-SA"/>
              </w:rPr>
              <w:t>本项目废水污染物具体产生及排放情况见下表。</w:t>
            </w:r>
          </w:p>
          <w:p w14:paraId="643E1140">
            <w:pPr>
              <w:pStyle w:val="16"/>
              <w:spacing w:after="0" w:line="240" w:lineRule="auto"/>
              <w:ind w:left="0" w:leftChars="0" w:firstLine="0" w:firstLineChars="0"/>
              <w:jc w:val="center"/>
              <w:rPr>
                <w:rFonts w:hint="eastAsia"/>
                <w:b/>
                <w:bCs/>
                <w:color w:val="auto"/>
                <w:sz w:val="21"/>
                <w:szCs w:val="21"/>
              </w:rPr>
            </w:pPr>
            <w:r>
              <w:rPr>
                <w:rFonts w:hint="eastAsia"/>
                <w:b/>
                <w:bCs/>
                <w:color w:val="auto"/>
                <w:sz w:val="21"/>
                <w:szCs w:val="21"/>
              </w:rPr>
              <w:t>表4-</w:t>
            </w:r>
            <w:r>
              <w:rPr>
                <w:rFonts w:hint="eastAsia"/>
                <w:b/>
                <w:bCs/>
                <w:color w:val="auto"/>
                <w:sz w:val="21"/>
                <w:szCs w:val="21"/>
                <w:lang w:val="en-US" w:eastAsia="zh-CN"/>
              </w:rPr>
              <w:t xml:space="preserve">13  </w:t>
            </w:r>
            <w:r>
              <w:rPr>
                <w:rFonts w:hint="eastAsia"/>
                <w:b/>
                <w:bCs/>
                <w:color w:val="auto"/>
                <w:sz w:val="21"/>
                <w:szCs w:val="21"/>
              </w:rPr>
              <w:t>本项目废水产生及排放情况一览表</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1087"/>
              <w:gridCol w:w="898"/>
              <w:gridCol w:w="11"/>
              <w:gridCol w:w="21"/>
              <w:gridCol w:w="1087"/>
              <w:gridCol w:w="790"/>
              <w:gridCol w:w="1060"/>
              <w:gridCol w:w="717"/>
              <w:gridCol w:w="17"/>
              <w:gridCol w:w="958"/>
              <w:gridCol w:w="650"/>
            </w:tblGrid>
            <w:tr w14:paraId="367E5C25">
              <w:trPr>
                <w:trHeight w:val="283" w:hRule="atLeast"/>
                <w:jc w:val="center"/>
              </w:trPr>
              <w:tc>
                <w:tcPr>
                  <w:tcW w:w="407" w:type="pct"/>
                  <w:vMerge w:val="restart"/>
                  <w:noWrap w:val="0"/>
                  <w:vAlign w:val="center"/>
                </w:tcPr>
                <w:p w14:paraId="3B0F4330">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废水类别</w:t>
                  </w:r>
                </w:p>
              </w:tc>
              <w:tc>
                <w:tcPr>
                  <w:tcW w:w="1953" w:type="pct"/>
                  <w:gridSpan w:val="5"/>
                  <w:noWrap w:val="0"/>
                  <w:vAlign w:val="center"/>
                </w:tcPr>
                <w:p w14:paraId="333E2E33">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污染物产生情况</w:t>
                  </w:r>
                </w:p>
              </w:tc>
              <w:tc>
                <w:tcPr>
                  <w:tcW w:w="497" w:type="pct"/>
                  <w:vMerge w:val="restart"/>
                  <w:noWrap w:val="0"/>
                  <w:vAlign w:val="center"/>
                </w:tcPr>
                <w:p w14:paraId="7D0475DB">
                  <w:pPr>
                    <w:pStyle w:val="16"/>
                    <w:keepNext w:val="0"/>
                    <w:keepLines w:val="0"/>
                    <w:pageBreakBefore w:val="0"/>
                    <w:widowControl w:val="0"/>
                    <w:tabs>
                      <w:tab w:val="left" w:pos="209"/>
                    </w:tabs>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治理措施</w:t>
                  </w:r>
                </w:p>
              </w:tc>
              <w:tc>
                <w:tcPr>
                  <w:tcW w:w="1732" w:type="pct"/>
                  <w:gridSpan w:val="4"/>
                  <w:noWrap w:val="0"/>
                  <w:vAlign w:val="center"/>
                </w:tcPr>
                <w:p w14:paraId="44322673">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污染物排放情况</w:t>
                  </w:r>
                </w:p>
              </w:tc>
              <w:tc>
                <w:tcPr>
                  <w:tcW w:w="409" w:type="pct"/>
                  <w:vMerge w:val="restart"/>
                  <w:noWrap w:val="0"/>
                  <w:vAlign w:val="center"/>
                </w:tcPr>
                <w:p w14:paraId="64560513">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排放去向</w:t>
                  </w:r>
                </w:p>
              </w:tc>
            </w:tr>
            <w:tr w14:paraId="68C006B0">
              <w:trPr>
                <w:trHeight w:val="283" w:hRule="atLeast"/>
                <w:jc w:val="center"/>
              </w:trPr>
              <w:tc>
                <w:tcPr>
                  <w:tcW w:w="407" w:type="pct"/>
                  <w:vMerge w:val="continue"/>
                  <w:noWrap w:val="0"/>
                  <w:vAlign w:val="center"/>
                </w:tcPr>
                <w:p w14:paraId="1F10EB6D">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p>
              </w:tc>
              <w:tc>
                <w:tcPr>
                  <w:tcW w:w="684" w:type="pct"/>
                  <w:noWrap w:val="0"/>
                  <w:vAlign w:val="center"/>
                </w:tcPr>
                <w:p w14:paraId="78924C89">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名称</w:t>
                  </w:r>
                </w:p>
              </w:tc>
              <w:tc>
                <w:tcPr>
                  <w:tcW w:w="565" w:type="pct"/>
                  <w:noWrap w:val="0"/>
                  <w:vAlign w:val="center"/>
                </w:tcPr>
                <w:p w14:paraId="4E093F31">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产生浓度mg/L</w:t>
                  </w:r>
                </w:p>
              </w:tc>
              <w:tc>
                <w:tcPr>
                  <w:tcW w:w="704" w:type="pct"/>
                  <w:gridSpan w:val="3"/>
                  <w:noWrap w:val="0"/>
                  <w:vAlign w:val="center"/>
                </w:tcPr>
                <w:p w14:paraId="7D16FB29">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产生量t/a</w:t>
                  </w:r>
                </w:p>
              </w:tc>
              <w:tc>
                <w:tcPr>
                  <w:tcW w:w="497" w:type="pct"/>
                  <w:vMerge w:val="continue"/>
                  <w:noWrap w:val="0"/>
                  <w:vAlign w:val="center"/>
                </w:tcPr>
                <w:p w14:paraId="4C262374">
                  <w:pPr>
                    <w:pStyle w:val="16"/>
                    <w:keepNext w:val="0"/>
                    <w:keepLines w:val="0"/>
                    <w:pageBreakBefore w:val="0"/>
                    <w:widowControl w:val="0"/>
                    <w:tabs>
                      <w:tab w:val="left" w:pos="209"/>
                    </w:tabs>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p>
              </w:tc>
              <w:tc>
                <w:tcPr>
                  <w:tcW w:w="667" w:type="pct"/>
                  <w:noWrap w:val="0"/>
                  <w:vAlign w:val="center"/>
                </w:tcPr>
                <w:p w14:paraId="212C0C7D">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名称</w:t>
                  </w:r>
                </w:p>
              </w:tc>
              <w:tc>
                <w:tcPr>
                  <w:tcW w:w="451" w:type="pct"/>
                  <w:noWrap w:val="0"/>
                  <w:vAlign w:val="center"/>
                </w:tcPr>
                <w:p w14:paraId="4788EFCC">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排放浓度mg/L</w:t>
                  </w:r>
                </w:p>
              </w:tc>
              <w:tc>
                <w:tcPr>
                  <w:tcW w:w="613" w:type="pct"/>
                  <w:gridSpan w:val="2"/>
                  <w:noWrap w:val="0"/>
                  <w:vAlign w:val="center"/>
                </w:tcPr>
                <w:p w14:paraId="22E2A981">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排放量t/a</w:t>
                  </w:r>
                </w:p>
              </w:tc>
              <w:tc>
                <w:tcPr>
                  <w:tcW w:w="409" w:type="pct"/>
                  <w:vMerge w:val="continue"/>
                  <w:noWrap w:val="0"/>
                  <w:vAlign w:val="center"/>
                </w:tcPr>
                <w:p w14:paraId="3BF4725F">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p>
              </w:tc>
            </w:tr>
            <w:tr w14:paraId="5B4FBE1A">
              <w:trPr>
                <w:trHeight w:val="283" w:hRule="atLeast"/>
                <w:jc w:val="center"/>
              </w:trPr>
              <w:tc>
                <w:tcPr>
                  <w:tcW w:w="407" w:type="pct"/>
                  <w:vMerge w:val="restart"/>
                  <w:noWrap w:val="0"/>
                  <w:vAlign w:val="center"/>
                </w:tcPr>
                <w:p w14:paraId="5A3C8FF8">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食堂废水</w:t>
                  </w:r>
                </w:p>
              </w:tc>
              <w:tc>
                <w:tcPr>
                  <w:tcW w:w="684" w:type="pct"/>
                  <w:noWrap w:val="0"/>
                  <w:vAlign w:val="center"/>
                </w:tcPr>
                <w:p w14:paraId="498F8121">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废水量</w:t>
                  </w:r>
                </w:p>
              </w:tc>
              <w:tc>
                <w:tcPr>
                  <w:tcW w:w="1269" w:type="pct"/>
                  <w:gridSpan w:val="4"/>
                  <w:noWrap w:val="0"/>
                  <w:vAlign w:val="center"/>
                </w:tcPr>
                <w:p w14:paraId="78503D47">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660</w:t>
                  </w:r>
                </w:p>
              </w:tc>
              <w:tc>
                <w:tcPr>
                  <w:tcW w:w="497" w:type="pct"/>
                  <w:vMerge w:val="restart"/>
                  <w:noWrap w:val="0"/>
                  <w:vAlign w:val="center"/>
                </w:tcPr>
                <w:p w14:paraId="02E442ED">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隔油池</w:t>
                  </w:r>
                </w:p>
              </w:tc>
              <w:tc>
                <w:tcPr>
                  <w:tcW w:w="667" w:type="pct"/>
                  <w:noWrap w:val="0"/>
                  <w:vAlign w:val="center"/>
                </w:tcPr>
                <w:p w14:paraId="57CE0903">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废水量</w:t>
                  </w:r>
                </w:p>
              </w:tc>
              <w:tc>
                <w:tcPr>
                  <w:tcW w:w="1065" w:type="pct"/>
                  <w:gridSpan w:val="3"/>
                  <w:noWrap w:val="0"/>
                  <w:vAlign w:val="center"/>
                </w:tcPr>
                <w:p w14:paraId="5DA02A7A">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660</w:t>
                  </w:r>
                </w:p>
              </w:tc>
              <w:tc>
                <w:tcPr>
                  <w:tcW w:w="409" w:type="pct"/>
                  <w:vMerge w:val="restart"/>
                  <w:noWrap w:val="0"/>
                  <w:vAlign w:val="center"/>
                </w:tcPr>
                <w:p w14:paraId="596B2564">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化粪池</w:t>
                  </w:r>
                </w:p>
              </w:tc>
            </w:tr>
            <w:tr w14:paraId="12634835">
              <w:trPr>
                <w:trHeight w:val="283" w:hRule="atLeast"/>
                <w:jc w:val="center"/>
              </w:trPr>
              <w:tc>
                <w:tcPr>
                  <w:tcW w:w="407" w:type="pct"/>
                  <w:vMerge w:val="continue"/>
                  <w:noWrap w:val="0"/>
                  <w:vAlign w:val="center"/>
                </w:tcPr>
                <w:p w14:paraId="42908282">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c>
                <w:tcPr>
                  <w:tcW w:w="684" w:type="pct"/>
                  <w:noWrap w:val="0"/>
                  <w:vAlign w:val="center"/>
                </w:tcPr>
                <w:p w14:paraId="6006DFFD">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572" w:type="pct"/>
                  <w:gridSpan w:val="2"/>
                  <w:noWrap w:val="0"/>
                  <w:vAlign w:val="center"/>
                </w:tcPr>
                <w:p w14:paraId="63584C5F">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400</w:t>
                  </w:r>
                </w:p>
              </w:tc>
              <w:tc>
                <w:tcPr>
                  <w:tcW w:w="697" w:type="pct"/>
                  <w:gridSpan w:val="2"/>
                  <w:noWrap w:val="0"/>
                  <w:vAlign w:val="center"/>
                </w:tcPr>
                <w:p w14:paraId="6BAAE9FB">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0.264 </w:t>
                  </w:r>
                </w:p>
              </w:tc>
              <w:tc>
                <w:tcPr>
                  <w:tcW w:w="497" w:type="pct"/>
                  <w:vMerge w:val="continue"/>
                  <w:noWrap w:val="0"/>
                  <w:vAlign w:val="center"/>
                </w:tcPr>
                <w:p w14:paraId="52CBE97A">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67" w:type="pct"/>
                  <w:noWrap w:val="0"/>
                  <w:vAlign w:val="center"/>
                </w:tcPr>
                <w:p w14:paraId="6FFF4540">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462" w:type="pct"/>
                  <w:gridSpan w:val="2"/>
                  <w:noWrap w:val="0"/>
                  <w:vAlign w:val="center"/>
                </w:tcPr>
                <w:p w14:paraId="0759884D">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360</w:t>
                  </w:r>
                </w:p>
              </w:tc>
              <w:tc>
                <w:tcPr>
                  <w:tcW w:w="603" w:type="pct"/>
                  <w:noWrap w:val="0"/>
                  <w:vAlign w:val="center"/>
                </w:tcPr>
                <w:p w14:paraId="47BF97D7">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0.238 </w:t>
                  </w:r>
                </w:p>
              </w:tc>
              <w:tc>
                <w:tcPr>
                  <w:tcW w:w="409" w:type="pct"/>
                  <w:vMerge w:val="continue"/>
                  <w:noWrap w:val="0"/>
                  <w:vAlign w:val="center"/>
                </w:tcPr>
                <w:p w14:paraId="4D954546">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r>
            <w:tr w14:paraId="334FB35C">
              <w:trPr>
                <w:trHeight w:val="283" w:hRule="atLeast"/>
                <w:jc w:val="center"/>
              </w:trPr>
              <w:tc>
                <w:tcPr>
                  <w:tcW w:w="407" w:type="pct"/>
                  <w:vMerge w:val="continue"/>
                  <w:noWrap w:val="0"/>
                  <w:vAlign w:val="center"/>
                </w:tcPr>
                <w:p w14:paraId="0F7FE5FE">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c>
                <w:tcPr>
                  <w:tcW w:w="684" w:type="pct"/>
                  <w:noWrap w:val="0"/>
                  <w:vAlign w:val="center"/>
                </w:tcPr>
                <w:p w14:paraId="1D9FC2AB">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572" w:type="pct"/>
                  <w:gridSpan w:val="2"/>
                  <w:noWrap w:val="0"/>
                  <w:vAlign w:val="center"/>
                </w:tcPr>
                <w:p w14:paraId="54B9B089">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w:t>
                  </w:r>
                </w:p>
              </w:tc>
              <w:tc>
                <w:tcPr>
                  <w:tcW w:w="697" w:type="pct"/>
                  <w:gridSpan w:val="2"/>
                  <w:noWrap w:val="0"/>
                  <w:vAlign w:val="center"/>
                </w:tcPr>
                <w:p w14:paraId="14DE7392">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0.132 </w:t>
                  </w:r>
                </w:p>
              </w:tc>
              <w:tc>
                <w:tcPr>
                  <w:tcW w:w="497" w:type="pct"/>
                  <w:vMerge w:val="continue"/>
                  <w:noWrap w:val="0"/>
                  <w:vAlign w:val="center"/>
                </w:tcPr>
                <w:p w14:paraId="37709521">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67" w:type="pct"/>
                  <w:noWrap w:val="0"/>
                  <w:vAlign w:val="center"/>
                </w:tcPr>
                <w:p w14:paraId="69EAB2A0">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462" w:type="pct"/>
                  <w:gridSpan w:val="2"/>
                  <w:noWrap w:val="0"/>
                  <w:vAlign w:val="center"/>
                </w:tcPr>
                <w:p w14:paraId="38A3269D">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w:t>
                  </w:r>
                </w:p>
              </w:tc>
              <w:tc>
                <w:tcPr>
                  <w:tcW w:w="603" w:type="pct"/>
                  <w:noWrap w:val="0"/>
                  <w:vAlign w:val="center"/>
                </w:tcPr>
                <w:p w14:paraId="3E148CCD">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0.132 </w:t>
                  </w:r>
                </w:p>
              </w:tc>
              <w:tc>
                <w:tcPr>
                  <w:tcW w:w="409" w:type="pct"/>
                  <w:vMerge w:val="continue"/>
                  <w:noWrap w:val="0"/>
                  <w:vAlign w:val="center"/>
                </w:tcPr>
                <w:p w14:paraId="5E6C3A87">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r>
            <w:tr w14:paraId="365950EB">
              <w:trPr>
                <w:trHeight w:val="283" w:hRule="atLeast"/>
                <w:jc w:val="center"/>
              </w:trPr>
              <w:tc>
                <w:tcPr>
                  <w:tcW w:w="407" w:type="pct"/>
                  <w:vMerge w:val="continue"/>
                  <w:noWrap w:val="0"/>
                  <w:vAlign w:val="center"/>
                </w:tcPr>
                <w:p w14:paraId="51DA5F3B">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c>
                <w:tcPr>
                  <w:tcW w:w="684" w:type="pct"/>
                  <w:noWrap w:val="0"/>
                  <w:vAlign w:val="center"/>
                </w:tcPr>
                <w:p w14:paraId="0D0D2996">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w:t>
                  </w:r>
                </w:p>
              </w:tc>
              <w:tc>
                <w:tcPr>
                  <w:tcW w:w="572" w:type="pct"/>
                  <w:gridSpan w:val="2"/>
                  <w:noWrap w:val="0"/>
                  <w:vAlign w:val="center"/>
                </w:tcPr>
                <w:p w14:paraId="21D87763">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w:t>
                  </w:r>
                </w:p>
              </w:tc>
              <w:tc>
                <w:tcPr>
                  <w:tcW w:w="697" w:type="pct"/>
                  <w:gridSpan w:val="2"/>
                  <w:noWrap w:val="0"/>
                  <w:vAlign w:val="center"/>
                </w:tcPr>
                <w:p w14:paraId="0F4B0852">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0.198 </w:t>
                  </w:r>
                </w:p>
              </w:tc>
              <w:tc>
                <w:tcPr>
                  <w:tcW w:w="497" w:type="pct"/>
                  <w:vMerge w:val="continue"/>
                  <w:noWrap w:val="0"/>
                  <w:vAlign w:val="center"/>
                </w:tcPr>
                <w:p w14:paraId="0DC21E05">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67" w:type="pct"/>
                  <w:noWrap w:val="0"/>
                  <w:vAlign w:val="center"/>
                </w:tcPr>
                <w:p w14:paraId="2A2C9978">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w:t>
                  </w:r>
                </w:p>
              </w:tc>
              <w:tc>
                <w:tcPr>
                  <w:tcW w:w="462" w:type="pct"/>
                  <w:gridSpan w:val="2"/>
                  <w:noWrap w:val="0"/>
                  <w:vAlign w:val="center"/>
                </w:tcPr>
                <w:p w14:paraId="20E2EFBA">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270</w:t>
                  </w:r>
                </w:p>
              </w:tc>
              <w:tc>
                <w:tcPr>
                  <w:tcW w:w="603" w:type="pct"/>
                  <w:noWrap w:val="0"/>
                  <w:vAlign w:val="center"/>
                </w:tcPr>
                <w:p w14:paraId="05ED6250">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0.178 </w:t>
                  </w:r>
                </w:p>
              </w:tc>
              <w:tc>
                <w:tcPr>
                  <w:tcW w:w="409" w:type="pct"/>
                  <w:vMerge w:val="continue"/>
                  <w:noWrap w:val="0"/>
                  <w:vAlign w:val="center"/>
                </w:tcPr>
                <w:p w14:paraId="0BE295FE">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r>
            <w:tr w14:paraId="08A547A7">
              <w:trPr>
                <w:trHeight w:val="283" w:hRule="atLeast"/>
                <w:jc w:val="center"/>
              </w:trPr>
              <w:tc>
                <w:tcPr>
                  <w:tcW w:w="407" w:type="pct"/>
                  <w:vMerge w:val="continue"/>
                  <w:noWrap w:val="0"/>
                  <w:vAlign w:val="center"/>
                </w:tcPr>
                <w:p w14:paraId="29098088">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c>
                <w:tcPr>
                  <w:tcW w:w="684" w:type="pct"/>
                  <w:noWrap w:val="0"/>
                  <w:vAlign w:val="center"/>
                </w:tcPr>
                <w:p w14:paraId="4F2600BE">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572" w:type="pct"/>
                  <w:gridSpan w:val="2"/>
                  <w:noWrap w:val="0"/>
                  <w:vAlign w:val="center"/>
                </w:tcPr>
                <w:p w14:paraId="3AEBD517">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w:t>
                  </w:r>
                </w:p>
              </w:tc>
              <w:tc>
                <w:tcPr>
                  <w:tcW w:w="697" w:type="pct"/>
                  <w:gridSpan w:val="2"/>
                  <w:noWrap w:val="0"/>
                  <w:vAlign w:val="center"/>
                </w:tcPr>
                <w:p w14:paraId="680B34EA">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0.023 </w:t>
                  </w:r>
                </w:p>
              </w:tc>
              <w:tc>
                <w:tcPr>
                  <w:tcW w:w="497" w:type="pct"/>
                  <w:vMerge w:val="continue"/>
                  <w:noWrap w:val="0"/>
                  <w:vAlign w:val="center"/>
                </w:tcPr>
                <w:p w14:paraId="06DBEBFF">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67" w:type="pct"/>
                  <w:noWrap w:val="0"/>
                  <w:vAlign w:val="center"/>
                </w:tcPr>
                <w:p w14:paraId="50EB328D">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462" w:type="pct"/>
                  <w:gridSpan w:val="2"/>
                  <w:noWrap w:val="0"/>
                  <w:vAlign w:val="center"/>
                </w:tcPr>
                <w:p w14:paraId="01BAD651">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c>
                <w:tcPr>
                  <w:tcW w:w="603" w:type="pct"/>
                  <w:noWrap w:val="0"/>
                  <w:vAlign w:val="center"/>
                </w:tcPr>
                <w:p w14:paraId="48A19D5F">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0.020 </w:t>
                  </w:r>
                </w:p>
              </w:tc>
              <w:tc>
                <w:tcPr>
                  <w:tcW w:w="409" w:type="pct"/>
                  <w:vMerge w:val="continue"/>
                  <w:noWrap w:val="0"/>
                  <w:vAlign w:val="center"/>
                </w:tcPr>
                <w:p w14:paraId="24DFC28E">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r>
            <w:tr w14:paraId="127CBD39">
              <w:trPr>
                <w:trHeight w:val="283" w:hRule="atLeast"/>
                <w:jc w:val="center"/>
              </w:trPr>
              <w:tc>
                <w:tcPr>
                  <w:tcW w:w="407" w:type="pct"/>
                  <w:vMerge w:val="continue"/>
                  <w:noWrap w:val="0"/>
                  <w:vAlign w:val="center"/>
                </w:tcPr>
                <w:p w14:paraId="4A8ADDE7">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c>
                <w:tcPr>
                  <w:tcW w:w="684" w:type="pct"/>
                  <w:noWrap w:val="0"/>
                  <w:vAlign w:val="center"/>
                </w:tcPr>
                <w:p w14:paraId="7A4AC7DA">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TN</w:t>
                  </w:r>
                </w:p>
              </w:tc>
              <w:tc>
                <w:tcPr>
                  <w:tcW w:w="572" w:type="pct"/>
                  <w:gridSpan w:val="2"/>
                  <w:noWrap w:val="0"/>
                  <w:vAlign w:val="center"/>
                </w:tcPr>
                <w:p w14:paraId="4E6FEB6F">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c>
                <w:tcPr>
                  <w:tcW w:w="697" w:type="pct"/>
                  <w:gridSpan w:val="2"/>
                  <w:noWrap w:val="0"/>
                  <w:vAlign w:val="center"/>
                </w:tcPr>
                <w:p w14:paraId="44CEAF1A">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0.033 </w:t>
                  </w:r>
                </w:p>
              </w:tc>
              <w:tc>
                <w:tcPr>
                  <w:tcW w:w="497" w:type="pct"/>
                  <w:vMerge w:val="continue"/>
                  <w:noWrap w:val="0"/>
                  <w:vAlign w:val="center"/>
                </w:tcPr>
                <w:p w14:paraId="55ECFB0A">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67" w:type="pct"/>
                  <w:noWrap w:val="0"/>
                  <w:vAlign w:val="center"/>
                </w:tcPr>
                <w:p w14:paraId="2A752244">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TN</w:t>
                  </w:r>
                </w:p>
              </w:tc>
              <w:tc>
                <w:tcPr>
                  <w:tcW w:w="462" w:type="pct"/>
                  <w:gridSpan w:val="2"/>
                  <w:noWrap w:val="0"/>
                  <w:vAlign w:val="center"/>
                </w:tcPr>
                <w:p w14:paraId="6ACF3ECB">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c>
                <w:tcPr>
                  <w:tcW w:w="603" w:type="pct"/>
                  <w:noWrap w:val="0"/>
                  <w:vAlign w:val="center"/>
                </w:tcPr>
                <w:p w14:paraId="4F43F88B">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0.026 </w:t>
                  </w:r>
                </w:p>
              </w:tc>
              <w:tc>
                <w:tcPr>
                  <w:tcW w:w="409" w:type="pct"/>
                  <w:vMerge w:val="continue"/>
                  <w:noWrap w:val="0"/>
                  <w:vAlign w:val="center"/>
                </w:tcPr>
                <w:p w14:paraId="6E92200E">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r>
            <w:tr w14:paraId="5ADB1B0C">
              <w:trPr>
                <w:trHeight w:val="283" w:hRule="atLeast"/>
                <w:jc w:val="center"/>
              </w:trPr>
              <w:tc>
                <w:tcPr>
                  <w:tcW w:w="407" w:type="pct"/>
                  <w:vMerge w:val="continue"/>
                  <w:noWrap w:val="0"/>
                  <w:vAlign w:val="center"/>
                </w:tcPr>
                <w:p w14:paraId="58633151">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c>
                <w:tcPr>
                  <w:tcW w:w="684" w:type="pct"/>
                  <w:noWrap w:val="0"/>
                  <w:vAlign w:val="center"/>
                </w:tcPr>
                <w:p w14:paraId="71520E97">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TP</w:t>
                  </w:r>
                </w:p>
              </w:tc>
              <w:tc>
                <w:tcPr>
                  <w:tcW w:w="572" w:type="pct"/>
                  <w:gridSpan w:val="2"/>
                  <w:noWrap w:val="0"/>
                  <w:vAlign w:val="center"/>
                </w:tcPr>
                <w:p w14:paraId="4EBBFCA2">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697" w:type="pct"/>
                  <w:gridSpan w:val="2"/>
                  <w:noWrap w:val="0"/>
                  <w:vAlign w:val="center"/>
                </w:tcPr>
                <w:p w14:paraId="52C86457">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0.003 </w:t>
                  </w:r>
                </w:p>
              </w:tc>
              <w:tc>
                <w:tcPr>
                  <w:tcW w:w="497" w:type="pct"/>
                  <w:vMerge w:val="continue"/>
                  <w:noWrap w:val="0"/>
                  <w:vAlign w:val="center"/>
                </w:tcPr>
                <w:p w14:paraId="6B69045C">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67" w:type="pct"/>
                  <w:noWrap w:val="0"/>
                  <w:vAlign w:val="center"/>
                </w:tcPr>
                <w:p w14:paraId="75ED6E2E">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TP</w:t>
                  </w:r>
                </w:p>
              </w:tc>
              <w:tc>
                <w:tcPr>
                  <w:tcW w:w="462" w:type="pct"/>
                  <w:gridSpan w:val="2"/>
                  <w:noWrap w:val="0"/>
                  <w:vAlign w:val="center"/>
                </w:tcPr>
                <w:p w14:paraId="68B45BE5">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603" w:type="pct"/>
                  <w:noWrap w:val="0"/>
                  <w:vAlign w:val="center"/>
                </w:tcPr>
                <w:p w14:paraId="0C0F3CAA">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0.003 </w:t>
                  </w:r>
                </w:p>
              </w:tc>
              <w:tc>
                <w:tcPr>
                  <w:tcW w:w="409" w:type="pct"/>
                  <w:vMerge w:val="continue"/>
                  <w:noWrap w:val="0"/>
                  <w:vAlign w:val="center"/>
                </w:tcPr>
                <w:p w14:paraId="651DB118">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r>
            <w:tr w14:paraId="4FD8D5B2">
              <w:trPr>
                <w:trHeight w:val="283" w:hRule="atLeast"/>
                <w:jc w:val="center"/>
              </w:trPr>
              <w:tc>
                <w:tcPr>
                  <w:tcW w:w="407" w:type="pct"/>
                  <w:vMerge w:val="continue"/>
                  <w:noWrap w:val="0"/>
                  <w:vAlign w:val="center"/>
                </w:tcPr>
                <w:p w14:paraId="1A32E283">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c>
                <w:tcPr>
                  <w:tcW w:w="684" w:type="pct"/>
                  <w:noWrap w:val="0"/>
                  <w:vAlign w:val="center"/>
                </w:tcPr>
                <w:p w14:paraId="03C6CA2D">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动植物油</w:t>
                  </w:r>
                </w:p>
              </w:tc>
              <w:tc>
                <w:tcPr>
                  <w:tcW w:w="572" w:type="pct"/>
                  <w:gridSpan w:val="2"/>
                  <w:noWrap w:val="0"/>
                  <w:vAlign w:val="center"/>
                </w:tcPr>
                <w:p w14:paraId="223FFC1B">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150</w:t>
                  </w:r>
                </w:p>
              </w:tc>
              <w:tc>
                <w:tcPr>
                  <w:tcW w:w="697" w:type="pct"/>
                  <w:gridSpan w:val="2"/>
                  <w:noWrap w:val="0"/>
                  <w:vAlign w:val="center"/>
                </w:tcPr>
                <w:p w14:paraId="5106F523">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0.099 </w:t>
                  </w:r>
                </w:p>
              </w:tc>
              <w:tc>
                <w:tcPr>
                  <w:tcW w:w="497" w:type="pct"/>
                  <w:vMerge w:val="continue"/>
                  <w:noWrap w:val="0"/>
                  <w:vAlign w:val="center"/>
                </w:tcPr>
                <w:p w14:paraId="6DCBF506">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67" w:type="pct"/>
                  <w:noWrap w:val="0"/>
                  <w:vAlign w:val="center"/>
                </w:tcPr>
                <w:p w14:paraId="0A7E0ACF">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动植物油</w:t>
                  </w:r>
                </w:p>
              </w:tc>
              <w:tc>
                <w:tcPr>
                  <w:tcW w:w="462" w:type="pct"/>
                  <w:gridSpan w:val="2"/>
                  <w:noWrap w:val="0"/>
                  <w:vAlign w:val="center"/>
                </w:tcPr>
                <w:p w14:paraId="20115C67">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c>
                <w:tcPr>
                  <w:tcW w:w="603" w:type="pct"/>
                  <w:noWrap w:val="0"/>
                  <w:vAlign w:val="center"/>
                </w:tcPr>
                <w:p w14:paraId="196E565D">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0.020 </w:t>
                  </w:r>
                </w:p>
              </w:tc>
              <w:tc>
                <w:tcPr>
                  <w:tcW w:w="409" w:type="pct"/>
                  <w:vMerge w:val="continue"/>
                  <w:noWrap w:val="0"/>
                  <w:vAlign w:val="center"/>
                </w:tcPr>
                <w:p w14:paraId="6F67C349">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r>
            <w:tr w14:paraId="162AD13D">
              <w:trPr>
                <w:trHeight w:val="283" w:hRule="atLeast"/>
                <w:jc w:val="center"/>
              </w:trPr>
              <w:tc>
                <w:tcPr>
                  <w:tcW w:w="407" w:type="pct"/>
                  <w:vMerge w:val="restart"/>
                  <w:noWrap w:val="0"/>
                  <w:vAlign w:val="center"/>
                </w:tcPr>
                <w:p w14:paraId="3FA6C3AF">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生活污水</w:t>
                  </w:r>
                </w:p>
              </w:tc>
              <w:tc>
                <w:tcPr>
                  <w:tcW w:w="684" w:type="pct"/>
                  <w:noWrap w:val="0"/>
                  <w:vAlign w:val="center"/>
                </w:tcPr>
                <w:p w14:paraId="7BD079B9">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废水量</w:t>
                  </w:r>
                </w:p>
              </w:tc>
              <w:tc>
                <w:tcPr>
                  <w:tcW w:w="1269" w:type="pct"/>
                  <w:gridSpan w:val="4"/>
                  <w:noWrap w:val="0"/>
                  <w:vAlign w:val="center"/>
                </w:tcPr>
                <w:p w14:paraId="4EA7E207">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660</w:t>
                  </w:r>
                </w:p>
              </w:tc>
              <w:tc>
                <w:tcPr>
                  <w:tcW w:w="497" w:type="pct"/>
                  <w:vMerge w:val="restart"/>
                  <w:noWrap w:val="0"/>
                  <w:vAlign w:val="center"/>
                </w:tcPr>
                <w:p w14:paraId="2874FF38">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732" w:type="pct"/>
                  <w:gridSpan w:val="4"/>
                  <w:vMerge w:val="restart"/>
                  <w:noWrap w:val="0"/>
                  <w:vAlign w:val="center"/>
                </w:tcPr>
                <w:p w14:paraId="7454F950">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409" w:type="pct"/>
                  <w:vMerge w:val="restart"/>
                  <w:noWrap w:val="0"/>
                  <w:vAlign w:val="center"/>
                </w:tcPr>
                <w:p w14:paraId="3CBBE1B1">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化粪池</w:t>
                  </w:r>
                </w:p>
              </w:tc>
            </w:tr>
            <w:tr w14:paraId="47B7B3EB">
              <w:trPr>
                <w:trHeight w:val="283" w:hRule="atLeast"/>
                <w:jc w:val="center"/>
              </w:trPr>
              <w:tc>
                <w:tcPr>
                  <w:tcW w:w="407" w:type="pct"/>
                  <w:vMerge w:val="continue"/>
                  <w:noWrap w:val="0"/>
                  <w:vAlign w:val="center"/>
                </w:tcPr>
                <w:p w14:paraId="5FBC0B59">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c>
                <w:tcPr>
                  <w:tcW w:w="684" w:type="pct"/>
                  <w:noWrap w:val="0"/>
                  <w:vAlign w:val="center"/>
                </w:tcPr>
                <w:p w14:paraId="13599DD6">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585" w:type="pct"/>
                  <w:gridSpan w:val="3"/>
                  <w:noWrap w:val="0"/>
                  <w:vAlign w:val="center"/>
                </w:tcPr>
                <w:p w14:paraId="736FF0E3">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350</w:t>
                  </w:r>
                </w:p>
              </w:tc>
              <w:tc>
                <w:tcPr>
                  <w:tcW w:w="684" w:type="pct"/>
                  <w:noWrap w:val="0"/>
                  <w:vAlign w:val="center"/>
                </w:tcPr>
                <w:p w14:paraId="5FB0B08A">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0.231 </w:t>
                  </w:r>
                </w:p>
              </w:tc>
              <w:tc>
                <w:tcPr>
                  <w:tcW w:w="497" w:type="pct"/>
                  <w:vMerge w:val="continue"/>
                  <w:noWrap w:val="0"/>
                  <w:vAlign w:val="center"/>
                </w:tcPr>
                <w:p w14:paraId="4F646967">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1732" w:type="pct"/>
                  <w:gridSpan w:val="4"/>
                  <w:vMerge w:val="continue"/>
                  <w:noWrap w:val="0"/>
                  <w:vAlign w:val="center"/>
                </w:tcPr>
                <w:p w14:paraId="18AC26D5">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409" w:type="pct"/>
                  <w:vMerge w:val="continue"/>
                  <w:noWrap w:val="0"/>
                  <w:vAlign w:val="center"/>
                </w:tcPr>
                <w:p w14:paraId="6F33AEDE">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r>
            <w:tr w14:paraId="5D629E33">
              <w:trPr>
                <w:trHeight w:val="283" w:hRule="atLeast"/>
                <w:jc w:val="center"/>
              </w:trPr>
              <w:tc>
                <w:tcPr>
                  <w:tcW w:w="407" w:type="pct"/>
                  <w:vMerge w:val="continue"/>
                  <w:noWrap w:val="0"/>
                  <w:vAlign w:val="center"/>
                </w:tcPr>
                <w:p w14:paraId="778D5A49">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c>
                <w:tcPr>
                  <w:tcW w:w="684" w:type="pct"/>
                  <w:noWrap w:val="0"/>
                  <w:vAlign w:val="center"/>
                </w:tcPr>
                <w:p w14:paraId="200573D7">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585" w:type="pct"/>
                  <w:gridSpan w:val="3"/>
                  <w:noWrap w:val="0"/>
                  <w:vAlign w:val="center"/>
                </w:tcPr>
                <w:p w14:paraId="61E75A6E">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w:t>
                  </w:r>
                </w:p>
              </w:tc>
              <w:tc>
                <w:tcPr>
                  <w:tcW w:w="684" w:type="pct"/>
                  <w:noWrap w:val="0"/>
                  <w:vAlign w:val="center"/>
                </w:tcPr>
                <w:p w14:paraId="298E91AD">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0.132 </w:t>
                  </w:r>
                </w:p>
              </w:tc>
              <w:tc>
                <w:tcPr>
                  <w:tcW w:w="497" w:type="pct"/>
                  <w:vMerge w:val="continue"/>
                  <w:noWrap w:val="0"/>
                  <w:vAlign w:val="center"/>
                </w:tcPr>
                <w:p w14:paraId="2491AA85">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1732" w:type="pct"/>
                  <w:gridSpan w:val="4"/>
                  <w:vMerge w:val="continue"/>
                  <w:noWrap w:val="0"/>
                  <w:vAlign w:val="center"/>
                </w:tcPr>
                <w:p w14:paraId="10D564EA">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409" w:type="pct"/>
                  <w:vMerge w:val="continue"/>
                  <w:noWrap w:val="0"/>
                  <w:vAlign w:val="center"/>
                </w:tcPr>
                <w:p w14:paraId="5DB10CCB">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r>
            <w:tr w14:paraId="5DC2CEB3">
              <w:trPr>
                <w:trHeight w:val="283" w:hRule="atLeast"/>
                <w:jc w:val="center"/>
              </w:trPr>
              <w:tc>
                <w:tcPr>
                  <w:tcW w:w="407" w:type="pct"/>
                  <w:vMerge w:val="continue"/>
                  <w:noWrap w:val="0"/>
                  <w:vAlign w:val="center"/>
                </w:tcPr>
                <w:p w14:paraId="4F662DE6">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c>
                <w:tcPr>
                  <w:tcW w:w="684" w:type="pct"/>
                  <w:noWrap w:val="0"/>
                  <w:vAlign w:val="center"/>
                </w:tcPr>
                <w:p w14:paraId="0B780AAD">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w:t>
                  </w:r>
                </w:p>
              </w:tc>
              <w:tc>
                <w:tcPr>
                  <w:tcW w:w="585" w:type="pct"/>
                  <w:gridSpan w:val="3"/>
                  <w:noWrap w:val="0"/>
                  <w:vAlign w:val="center"/>
                </w:tcPr>
                <w:p w14:paraId="5B4DE063">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250</w:t>
                  </w:r>
                </w:p>
              </w:tc>
              <w:tc>
                <w:tcPr>
                  <w:tcW w:w="684" w:type="pct"/>
                  <w:noWrap w:val="0"/>
                  <w:vAlign w:val="center"/>
                </w:tcPr>
                <w:p w14:paraId="48646925">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0.165 </w:t>
                  </w:r>
                </w:p>
              </w:tc>
              <w:tc>
                <w:tcPr>
                  <w:tcW w:w="497" w:type="pct"/>
                  <w:vMerge w:val="continue"/>
                  <w:noWrap w:val="0"/>
                  <w:vAlign w:val="center"/>
                </w:tcPr>
                <w:p w14:paraId="04679828">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1732" w:type="pct"/>
                  <w:gridSpan w:val="4"/>
                  <w:vMerge w:val="continue"/>
                  <w:noWrap w:val="0"/>
                  <w:vAlign w:val="center"/>
                </w:tcPr>
                <w:p w14:paraId="214E87E1">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409" w:type="pct"/>
                  <w:vMerge w:val="continue"/>
                  <w:noWrap w:val="0"/>
                  <w:vAlign w:val="center"/>
                </w:tcPr>
                <w:p w14:paraId="361230AA">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r>
            <w:tr w14:paraId="2A99FFCD">
              <w:trPr>
                <w:trHeight w:val="283" w:hRule="atLeast"/>
                <w:jc w:val="center"/>
              </w:trPr>
              <w:tc>
                <w:tcPr>
                  <w:tcW w:w="407" w:type="pct"/>
                  <w:vMerge w:val="continue"/>
                  <w:noWrap w:val="0"/>
                  <w:vAlign w:val="center"/>
                </w:tcPr>
                <w:p w14:paraId="50C16B32">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c>
                <w:tcPr>
                  <w:tcW w:w="684" w:type="pct"/>
                  <w:noWrap w:val="0"/>
                  <w:vAlign w:val="center"/>
                </w:tcPr>
                <w:p w14:paraId="686C566B">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585" w:type="pct"/>
                  <w:gridSpan w:val="3"/>
                  <w:noWrap w:val="0"/>
                  <w:vAlign w:val="center"/>
                </w:tcPr>
                <w:p w14:paraId="69886D8A">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684" w:type="pct"/>
                  <w:noWrap w:val="0"/>
                  <w:vAlign w:val="center"/>
                </w:tcPr>
                <w:p w14:paraId="7C8E247E">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0.017 </w:t>
                  </w:r>
                </w:p>
              </w:tc>
              <w:tc>
                <w:tcPr>
                  <w:tcW w:w="497" w:type="pct"/>
                  <w:vMerge w:val="continue"/>
                  <w:noWrap w:val="0"/>
                  <w:vAlign w:val="center"/>
                </w:tcPr>
                <w:p w14:paraId="03485E28">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1732" w:type="pct"/>
                  <w:gridSpan w:val="4"/>
                  <w:vMerge w:val="continue"/>
                  <w:noWrap w:val="0"/>
                  <w:vAlign w:val="center"/>
                </w:tcPr>
                <w:p w14:paraId="65ED9815">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409" w:type="pct"/>
                  <w:vMerge w:val="continue"/>
                  <w:noWrap w:val="0"/>
                  <w:vAlign w:val="center"/>
                </w:tcPr>
                <w:p w14:paraId="16A4E53B">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r>
            <w:tr w14:paraId="713E8CC2">
              <w:trPr>
                <w:trHeight w:val="283" w:hRule="atLeast"/>
                <w:jc w:val="center"/>
              </w:trPr>
              <w:tc>
                <w:tcPr>
                  <w:tcW w:w="407" w:type="pct"/>
                  <w:vMerge w:val="continue"/>
                  <w:noWrap w:val="0"/>
                  <w:vAlign w:val="center"/>
                </w:tcPr>
                <w:p w14:paraId="5ED747B2">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c>
                <w:tcPr>
                  <w:tcW w:w="684" w:type="pct"/>
                  <w:noWrap w:val="0"/>
                  <w:vAlign w:val="center"/>
                </w:tcPr>
                <w:p w14:paraId="106C87BC">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TN</w:t>
                  </w:r>
                </w:p>
              </w:tc>
              <w:tc>
                <w:tcPr>
                  <w:tcW w:w="585" w:type="pct"/>
                  <w:gridSpan w:val="3"/>
                  <w:noWrap w:val="0"/>
                  <w:vAlign w:val="center"/>
                </w:tcPr>
                <w:p w14:paraId="34E029DD">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w:t>
                  </w:r>
                </w:p>
              </w:tc>
              <w:tc>
                <w:tcPr>
                  <w:tcW w:w="684" w:type="pct"/>
                  <w:noWrap w:val="0"/>
                  <w:vAlign w:val="center"/>
                </w:tcPr>
                <w:p w14:paraId="61580B69">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0.023 </w:t>
                  </w:r>
                </w:p>
              </w:tc>
              <w:tc>
                <w:tcPr>
                  <w:tcW w:w="497" w:type="pct"/>
                  <w:vMerge w:val="continue"/>
                  <w:noWrap w:val="0"/>
                  <w:vAlign w:val="center"/>
                </w:tcPr>
                <w:p w14:paraId="3C7AE1FE">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1732" w:type="pct"/>
                  <w:gridSpan w:val="4"/>
                  <w:vMerge w:val="continue"/>
                  <w:noWrap w:val="0"/>
                  <w:vAlign w:val="center"/>
                </w:tcPr>
                <w:p w14:paraId="5AA96061">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409" w:type="pct"/>
                  <w:vMerge w:val="continue"/>
                  <w:noWrap w:val="0"/>
                  <w:vAlign w:val="center"/>
                </w:tcPr>
                <w:p w14:paraId="2EC70284">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r>
            <w:tr w14:paraId="2B44CE19">
              <w:trPr>
                <w:trHeight w:val="283" w:hRule="atLeast"/>
                <w:jc w:val="center"/>
              </w:trPr>
              <w:tc>
                <w:tcPr>
                  <w:tcW w:w="407" w:type="pct"/>
                  <w:vMerge w:val="continue"/>
                  <w:noWrap w:val="0"/>
                  <w:vAlign w:val="center"/>
                </w:tcPr>
                <w:p w14:paraId="0C1BEF96">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c>
                <w:tcPr>
                  <w:tcW w:w="684" w:type="pct"/>
                  <w:noWrap w:val="0"/>
                  <w:vAlign w:val="center"/>
                </w:tcPr>
                <w:p w14:paraId="09FE6252">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TP</w:t>
                  </w:r>
                </w:p>
              </w:tc>
              <w:tc>
                <w:tcPr>
                  <w:tcW w:w="585" w:type="pct"/>
                  <w:gridSpan w:val="3"/>
                  <w:noWrap w:val="0"/>
                  <w:vAlign w:val="center"/>
                </w:tcPr>
                <w:p w14:paraId="7C422ED2">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684" w:type="pct"/>
                  <w:noWrap w:val="0"/>
                  <w:vAlign w:val="center"/>
                </w:tcPr>
                <w:p w14:paraId="4442CEB1">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0.003 </w:t>
                  </w:r>
                </w:p>
              </w:tc>
              <w:tc>
                <w:tcPr>
                  <w:tcW w:w="497" w:type="pct"/>
                  <w:vMerge w:val="continue"/>
                  <w:noWrap w:val="0"/>
                  <w:vAlign w:val="center"/>
                </w:tcPr>
                <w:p w14:paraId="6318A080">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1732" w:type="pct"/>
                  <w:gridSpan w:val="4"/>
                  <w:vMerge w:val="continue"/>
                  <w:noWrap w:val="0"/>
                  <w:vAlign w:val="center"/>
                </w:tcPr>
                <w:p w14:paraId="0E452D1F">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409" w:type="pct"/>
                  <w:vMerge w:val="continue"/>
                  <w:noWrap w:val="0"/>
                  <w:vAlign w:val="center"/>
                </w:tcPr>
                <w:p w14:paraId="5A23D10C">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r>
            <w:tr w14:paraId="4DFD88F2">
              <w:trPr>
                <w:trHeight w:val="283" w:hRule="atLeast"/>
                <w:jc w:val="center"/>
              </w:trPr>
              <w:tc>
                <w:tcPr>
                  <w:tcW w:w="407" w:type="pct"/>
                  <w:vMerge w:val="restart"/>
                  <w:noWrap w:val="0"/>
                  <w:vAlign w:val="center"/>
                </w:tcPr>
                <w:p w14:paraId="3AA56D60">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生活污水（含食堂废水）</w:t>
                  </w:r>
                </w:p>
              </w:tc>
              <w:tc>
                <w:tcPr>
                  <w:tcW w:w="684" w:type="pct"/>
                  <w:noWrap w:val="0"/>
                  <w:vAlign w:val="center"/>
                </w:tcPr>
                <w:p w14:paraId="571EE555">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废水量</w:t>
                  </w:r>
                </w:p>
              </w:tc>
              <w:tc>
                <w:tcPr>
                  <w:tcW w:w="1269" w:type="pct"/>
                  <w:gridSpan w:val="4"/>
                  <w:noWrap w:val="0"/>
                  <w:vAlign w:val="center"/>
                </w:tcPr>
                <w:p w14:paraId="27554C80">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1320</w:t>
                  </w:r>
                </w:p>
              </w:tc>
              <w:tc>
                <w:tcPr>
                  <w:tcW w:w="497" w:type="pct"/>
                  <w:vMerge w:val="restart"/>
                  <w:noWrap w:val="0"/>
                  <w:vAlign w:val="center"/>
                </w:tcPr>
                <w:p w14:paraId="77C2E8B4">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化粪池</w:t>
                  </w:r>
                </w:p>
              </w:tc>
              <w:tc>
                <w:tcPr>
                  <w:tcW w:w="667" w:type="pct"/>
                  <w:noWrap w:val="0"/>
                  <w:vAlign w:val="center"/>
                </w:tcPr>
                <w:p w14:paraId="4595527F">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废水量</w:t>
                  </w:r>
                </w:p>
              </w:tc>
              <w:tc>
                <w:tcPr>
                  <w:tcW w:w="1065" w:type="pct"/>
                  <w:gridSpan w:val="3"/>
                  <w:noWrap w:val="0"/>
                  <w:vAlign w:val="center"/>
                </w:tcPr>
                <w:p w14:paraId="6A3AB6DD">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1320</w:t>
                  </w:r>
                </w:p>
              </w:tc>
              <w:tc>
                <w:tcPr>
                  <w:tcW w:w="409" w:type="pct"/>
                  <w:vMerge w:val="restart"/>
                  <w:noWrap w:val="0"/>
                  <w:vAlign w:val="center"/>
                </w:tcPr>
                <w:p w14:paraId="7A8CD08B">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接管至涟水经济开发区西区污水处理厂</w:t>
                  </w:r>
                </w:p>
              </w:tc>
            </w:tr>
            <w:tr w14:paraId="5DB1DFC3">
              <w:trPr>
                <w:trHeight w:val="283" w:hRule="atLeast"/>
                <w:jc w:val="center"/>
              </w:trPr>
              <w:tc>
                <w:tcPr>
                  <w:tcW w:w="407" w:type="pct"/>
                  <w:vMerge w:val="continue"/>
                  <w:noWrap w:val="0"/>
                  <w:vAlign w:val="center"/>
                </w:tcPr>
                <w:p w14:paraId="5AB4841B">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4" w:type="pct"/>
                  <w:noWrap w:val="0"/>
                  <w:vAlign w:val="center"/>
                </w:tcPr>
                <w:p w14:paraId="3BAD8C82">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565" w:type="pct"/>
                  <w:noWrap w:val="0"/>
                  <w:vAlign w:val="center"/>
                </w:tcPr>
                <w:p w14:paraId="1AC0754C">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355</w:t>
                  </w:r>
                </w:p>
              </w:tc>
              <w:tc>
                <w:tcPr>
                  <w:tcW w:w="704" w:type="pct"/>
                  <w:gridSpan w:val="3"/>
                  <w:noWrap w:val="0"/>
                  <w:vAlign w:val="center"/>
                </w:tcPr>
                <w:p w14:paraId="08DD7E14">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0.469 </w:t>
                  </w:r>
                </w:p>
              </w:tc>
              <w:tc>
                <w:tcPr>
                  <w:tcW w:w="497" w:type="pct"/>
                  <w:vMerge w:val="continue"/>
                  <w:noWrap w:val="0"/>
                  <w:vAlign w:val="center"/>
                </w:tcPr>
                <w:p w14:paraId="2FCB14AB">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67" w:type="pct"/>
                  <w:noWrap w:val="0"/>
                  <w:vAlign w:val="center"/>
                </w:tcPr>
                <w:p w14:paraId="4B8FD09C">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451" w:type="pct"/>
                  <w:noWrap w:val="0"/>
                  <w:vAlign w:val="center"/>
                </w:tcPr>
                <w:p w14:paraId="7C093948">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250</w:t>
                  </w:r>
                </w:p>
              </w:tc>
              <w:tc>
                <w:tcPr>
                  <w:tcW w:w="613" w:type="pct"/>
                  <w:gridSpan w:val="2"/>
                  <w:noWrap w:val="0"/>
                  <w:vAlign w:val="center"/>
                </w:tcPr>
                <w:p w14:paraId="07CB6E25">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0.330 </w:t>
                  </w:r>
                </w:p>
              </w:tc>
              <w:tc>
                <w:tcPr>
                  <w:tcW w:w="409" w:type="pct"/>
                  <w:vMerge w:val="continue"/>
                  <w:noWrap w:val="0"/>
                  <w:vAlign w:val="center"/>
                </w:tcPr>
                <w:p w14:paraId="73597CCD">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57B48962">
              <w:trPr>
                <w:trHeight w:val="283" w:hRule="atLeast"/>
                <w:jc w:val="center"/>
              </w:trPr>
              <w:tc>
                <w:tcPr>
                  <w:tcW w:w="407" w:type="pct"/>
                  <w:vMerge w:val="continue"/>
                  <w:noWrap w:val="0"/>
                  <w:vAlign w:val="center"/>
                </w:tcPr>
                <w:p w14:paraId="7E608E63">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4" w:type="pct"/>
                  <w:noWrap w:val="0"/>
                  <w:vAlign w:val="center"/>
                </w:tcPr>
                <w:p w14:paraId="0B8E6BC7">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565" w:type="pct"/>
                  <w:noWrap w:val="0"/>
                  <w:vAlign w:val="center"/>
                </w:tcPr>
                <w:p w14:paraId="4A878003">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704" w:type="pct"/>
                  <w:gridSpan w:val="3"/>
                  <w:noWrap w:val="0"/>
                  <w:vAlign w:val="center"/>
                </w:tcPr>
                <w:p w14:paraId="1B303597">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0.264 </w:t>
                  </w:r>
                </w:p>
              </w:tc>
              <w:tc>
                <w:tcPr>
                  <w:tcW w:w="497" w:type="pct"/>
                  <w:vMerge w:val="continue"/>
                  <w:noWrap w:val="0"/>
                  <w:vAlign w:val="center"/>
                </w:tcPr>
                <w:p w14:paraId="5A637847">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67" w:type="pct"/>
                  <w:noWrap w:val="0"/>
                  <w:vAlign w:val="center"/>
                </w:tcPr>
                <w:p w14:paraId="5A077275">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451" w:type="pct"/>
                  <w:noWrap w:val="0"/>
                  <w:vAlign w:val="center"/>
                </w:tcPr>
                <w:p w14:paraId="21F96A41">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160</w:t>
                  </w:r>
                </w:p>
              </w:tc>
              <w:tc>
                <w:tcPr>
                  <w:tcW w:w="613" w:type="pct"/>
                  <w:gridSpan w:val="2"/>
                  <w:noWrap w:val="0"/>
                  <w:vAlign w:val="center"/>
                </w:tcPr>
                <w:p w14:paraId="50AF1C81">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0.211 </w:t>
                  </w:r>
                </w:p>
              </w:tc>
              <w:tc>
                <w:tcPr>
                  <w:tcW w:w="409" w:type="pct"/>
                  <w:vMerge w:val="continue"/>
                  <w:noWrap w:val="0"/>
                  <w:vAlign w:val="center"/>
                </w:tcPr>
                <w:p w14:paraId="2C659648">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25D0B8F3">
              <w:trPr>
                <w:trHeight w:val="283" w:hRule="atLeast"/>
                <w:jc w:val="center"/>
              </w:trPr>
              <w:tc>
                <w:tcPr>
                  <w:tcW w:w="407" w:type="pct"/>
                  <w:vMerge w:val="continue"/>
                  <w:noWrap w:val="0"/>
                  <w:vAlign w:val="center"/>
                </w:tcPr>
                <w:p w14:paraId="5801DD70">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4" w:type="pct"/>
                  <w:noWrap w:val="0"/>
                  <w:vAlign w:val="center"/>
                </w:tcPr>
                <w:p w14:paraId="2DB9D252">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w:t>
                  </w:r>
                </w:p>
              </w:tc>
              <w:tc>
                <w:tcPr>
                  <w:tcW w:w="565" w:type="pct"/>
                  <w:noWrap w:val="0"/>
                  <w:vAlign w:val="center"/>
                </w:tcPr>
                <w:p w14:paraId="4688C3F4">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260</w:t>
                  </w:r>
                </w:p>
              </w:tc>
              <w:tc>
                <w:tcPr>
                  <w:tcW w:w="704" w:type="pct"/>
                  <w:gridSpan w:val="3"/>
                  <w:noWrap w:val="0"/>
                  <w:vAlign w:val="center"/>
                </w:tcPr>
                <w:p w14:paraId="631B5704">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0.343 </w:t>
                  </w:r>
                </w:p>
              </w:tc>
              <w:tc>
                <w:tcPr>
                  <w:tcW w:w="497" w:type="pct"/>
                  <w:vMerge w:val="continue"/>
                  <w:noWrap w:val="0"/>
                  <w:vAlign w:val="center"/>
                </w:tcPr>
                <w:p w14:paraId="7A570CD3">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67" w:type="pct"/>
                  <w:noWrap w:val="0"/>
                  <w:vAlign w:val="center"/>
                </w:tcPr>
                <w:p w14:paraId="208EA626">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w:t>
                  </w:r>
                </w:p>
              </w:tc>
              <w:tc>
                <w:tcPr>
                  <w:tcW w:w="451" w:type="pct"/>
                  <w:noWrap w:val="0"/>
                  <w:vAlign w:val="center"/>
                </w:tcPr>
                <w:p w14:paraId="7D24B57A">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180</w:t>
                  </w:r>
                </w:p>
              </w:tc>
              <w:tc>
                <w:tcPr>
                  <w:tcW w:w="613" w:type="pct"/>
                  <w:gridSpan w:val="2"/>
                  <w:noWrap w:val="0"/>
                  <w:vAlign w:val="center"/>
                </w:tcPr>
                <w:p w14:paraId="4A723177">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0.238 </w:t>
                  </w:r>
                </w:p>
              </w:tc>
              <w:tc>
                <w:tcPr>
                  <w:tcW w:w="409" w:type="pct"/>
                  <w:vMerge w:val="continue"/>
                  <w:noWrap w:val="0"/>
                  <w:vAlign w:val="center"/>
                </w:tcPr>
                <w:p w14:paraId="3D11ACB9">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550BB365">
              <w:trPr>
                <w:trHeight w:val="283" w:hRule="atLeast"/>
                <w:jc w:val="center"/>
              </w:trPr>
              <w:tc>
                <w:tcPr>
                  <w:tcW w:w="407" w:type="pct"/>
                  <w:vMerge w:val="continue"/>
                  <w:noWrap w:val="0"/>
                  <w:vAlign w:val="center"/>
                </w:tcPr>
                <w:p w14:paraId="7C908687">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4" w:type="pct"/>
                  <w:noWrap w:val="0"/>
                  <w:vAlign w:val="center"/>
                </w:tcPr>
                <w:p w14:paraId="2189D1BD">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565" w:type="pct"/>
                  <w:noWrap w:val="0"/>
                  <w:vAlign w:val="center"/>
                </w:tcPr>
                <w:p w14:paraId="678F4352">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27.5</w:t>
                  </w:r>
                </w:p>
              </w:tc>
              <w:tc>
                <w:tcPr>
                  <w:tcW w:w="704" w:type="pct"/>
                  <w:gridSpan w:val="3"/>
                  <w:noWrap w:val="0"/>
                  <w:vAlign w:val="center"/>
                </w:tcPr>
                <w:p w14:paraId="76C66600">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0.036 </w:t>
                  </w:r>
                </w:p>
              </w:tc>
              <w:tc>
                <w:tcPr>
                  <w:tcW w:w="497" w:type="pct"/>
                  <w:vMerge w:val="continue"/>
                  <w:noWrap w:val="0"/>
                  <w:vAlign w:val="center"/>
                </w:tcPr>
                <w:p w14:paraId="43DC03D3">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67" w:type="pct"/>
                  <w:noWrap w:val="0"/>
                  <w:vAlign w:val="center"/>
                </w:tcPr>
                <w:p w14:paraId="512CBDE9">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451" w:type="pct"/>
                  <w:noWrap w:val="0"/>
                  <w:vAlign w:val="center"/>
                </w:tcPr>
                <w:p w14:paraId="7E37036E">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25</w:t>
                  </w:r>
                </w:p>
              </w:tc>
              <w:tc>
                <w:tcPr>
                  <w:tcW w:w="613" w:type="pct"/>
                  <w:gridSpan w:val="2"/>
                  <w:noWrap w:val="0"/>
                  <w:vAlign w:val="center"/>
                </w:tcPr>
                <w:p w14:paraId="02E3E30F">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0.033 </w:t>
                  </w:r>
                </w:p>
              </w:tc>
              <w:tc>
                <w:tcPr>
                  <w:tcW w:w="409" w:type="pct"/>
                  <w:vMerge w:val="continue"/>
                  <w:noWrap w:val="0"/>
                  <w:vAlign w:val="center"/>
                </w:tcPr>
                <w:p w14:paraId="7222D5F0">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734B0D4C">
              <w:trPr>
                <w:trHeight w:val="283" w:hRule="atLeast"/>
                <w:jc w:val="center"/>
              </w:trPr>
              <w:tc>
                <w:tcPr>
                  <w:tcW w:w="407" w:type="pct"/>
                  <w:vMerge w:val="continue"/>
                  <w:noWrap w:val="0"/>
                  <w:vAlign w:val="center"/>
                </w:tcPr>
                <w:p w14:paraId="7E9FCF64">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4" w:type="pct"/>
                  <w:noWrap w:val="0"/>
                  <w:vAlign w:val="center"/>
                </w:tcPr>
                <w:p w14:paraId="3AC37764">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TN</w:t>
                  </w:r>
                </w:p>
              </w:tc>
              <w:tc>
                <w:tcPr>
                  <w:tcW w:w="565" w:type="pct"/>
                  <w:noWrap w:val="0"/>
                  <w:vAlign w:val="center"/>
                </w:tcPr>
                <w:p w14:paraId="23BAAD8B">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37.5</w:t>
                  </w:r>
                </w:p>
              </w:tc>
              <w:tc>
                <w:tcPr>
                  <w:tcW w:w="704" w:type="pct"/>
                  <w:gridSpan w:val="3"/>
                  <w:noWrap w:val="0"/>
                  <w:vAlign w:val="center"/>
                </w:tcPr>
                <w:p w14:paraId="21873568">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0.050 </w:t>
                  </w:r>
                </w:p>
              </w:tc>
              <w:tc>
                <w:tcPr>
                  <w:tcW w:w="497" w:type="pct"/>
                  <w:vMerge w:val="continue"/>
                  <w:noWrap w:val="0"/>
                  <w:vAlign w:val="center"/>
                </w:tcPr>
                <w:p w14:paraId="3A4AFFD9">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67" w:type="pct"/>
                  <w:noWrap w:val="0"/>
                  <w:vAlign w:val="center"/>
                </w:tcPr>
                <w:p w14:paraId="42AC19AF">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TN</w:t>
                  </w:r>
                </w:p>
              </w:tc>
              <w:tc>
                <w:tcPr>
                  <w:tcW w:w="451" w:type="pct"/>
                  <w:noWrap w:val="0"/>
                  <w:vAlign w:val="center"/>
                </w:tcPr>
                <w:p w14:paraId="24EF363D">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35</w:t>
                  </w:r>
                </w:p>
              </w:tc>
              <w:tc>
                <w:tcPr>
                  <w:tcW w:w="613" w:type="pct"/>
                  <w:gridSpan w:val="2"/>
                  <w:noWrap w:val="0"/>
                  <w:vAlign w:val="center"/>
                </w:tcPr>
                <w:p w14:paraId="778C02FA">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0.046 </w:t>
                  </w:r>
                </w:p>
              </w:tc>
              <w:tc>
                <w:tcPr>
                  <w:tcW w:w="409" w:type="pct"/>
                  <w:vMerge w:val="continue"/>
                  <w:noWrap w:val="0"/>
                  <w:vAlign w:val="center"/>
                </w:tcPr>
                <w:p w14:paraId="56FB27A5">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36704A2C">
              <w:trPr>
                <w:trHeight w:val="283" w:hRule="atLeast"/>
                <w:jc w:val="center"/>
              </w:trPr>
              <w:tc>
                <w:tcPr>
                  <w:tcW w:w="407" w:type="pct"/>
                  <w:vMerge w:val="continue"/>
                  <w:noWrap w:val="0"/>
                  <w:vAlign w:val="center"/>
                </w:tcPr>
                <w:p w14:paraId="1D457269">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4" w:type="pct"/>
                  <w:noWrap w:val="0"/>
                  <w:vAlign w:val="center"/>
                </w:tcPr>
                <w:p w14:paraId="3C78BFF6">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TP</w:t>
                  </w:r>
                </w:p>
              </w:tc>
              <w:tc>
                <w:tcPr>
                  <w:tcW w:w="565" w:type="pct"/>
                  <w:noWrap w:val="0"/>
                  <w:vAlign w:val="center"/>
                </w:tcPr>
                <w:p w14:paraId="0AE6AAEB">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w:t>
                  </w:r>
                </w:p>
              </w:tc>
              <w:tc>
                <w:tcPr>
                  <w:tcW w:w="704" w:type="pct"/>
                  <w:gridSpan w:val="3"/>
                  <w:noWrap w:val="0"/>
                  <w:vAlign w:val="center"/>
                </w:tcPr>
                <w:p w14:paraId="65ED3EDA">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0.005 </w:t>
                  </w:r>
                </w:p>
              </w:tc>
              <w:tc>
                <w:tcPr>
                  <w:tcW w:w="497" w:type="pct"/>
                  <w:vMerge w:val="continue"/>
                  <w:noWrap w:val="0"/>
                  <w:vAlign w:val="center"/>
                </w:tcPr>
                <w:p w14:paraId="7D5B2470">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67" w:type="pct"/>
                  <w:noWrap w:val="0"/>
                  <w:vAlign w:val="center"/>
                </w:tcPr>
                <w:p w14:paraId="290D80E4">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TP</w:t>
                  </w:r>
                </w:p>
              </w:tc>
              <w:tc>
                <w:tcPr>
                  <w:tcW w:w="451" w:type="pct"/>
                  <w:noWrap w:val="0"/>
                  <w:vAlign w:val="center"/>
                </w:tcPr>
                <w:p w14:paraId="285A2624">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w:t>
                  </w:r>
                </w:p>
              </w:tc>
              <w:tc>
                <w:tcPr>
                  <w:tcW w:w="613" w:type="pct"/>
                  <w:gridSpan w:val="2"/>
                  <w:noWrap w:val="0"/>
                  <w:vAlign w:val="center"/>
                </w:tcPr>
                <w:p w14:paraId="2A907DC6">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0.005 </w:t>
                  </w:r>
                </w:p>
              </w:tc>
              <w:tc>
                <w:tcPr>
                  <w:tcW w:w="409" w:type="pct"/>
                  <w:vMerge w:val="continue"/>
                  <w:noWrap w:val="0"/>
                  <w:vAlign w:val="center"/>
                </w:tcPr>
                <w:p w14:paraId="3A906C07">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05EB1445">
              <w:trPr>
                <w:trHeight w:val="283" w:hRule="atLeast"/>
                <w:jc w:val="center"/>
              </w:trPr>
              <w:tc>
                <w:tcPr>
                  <w:tcW w:w="407" w:type="pct"/>
                  <w:vMerge w:val="continue"/>
                  <w:noWrap w:val="0"/>
                  <w:vAlign w:val="center"/>
                </w:tcPr>
                <w:p w14:paraId="383592C8">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4" w:type="pct"/>
                  <w:noWrap w:val="0"/>
                  <w:vAlign w:val="center"/>
                </w:tcPr>
                <w:p w14:paraId="3D852136">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动植物油</w:t>
                  </w:r>
                </w:p>
              </w:tc>
              <w:tc>
                <w:tcPr>
                  <w:tcW w:w="565" w:type="pct"/>
                  <w:noWrap w:val="0"/>
                  <w:vAlign w:val="center"/>
                </w:tcPr>
                <w:p w14:paraId="40B7DB90">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15</w:t>
                  </w:r>
                </w:p>
              </w:tc>
              <w:tc>
                <w:tcPr>
                  <w:tcW w:w="704" w:type="pct"/>
                  <w:gridSpan w:val="3"/>
                  <w:noWrap w:val="0"/>
                  <w:vAlign w:val="center"/>
                </w:tcPr>
                <w:p w14:paraId="18E2B348">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0.020 </w:t>
                  </w:r>
                </w:p>
              </w:tc>
              <w:tc>
                <w:tcPr>
                  <w:tcW w:w="497" w:type="pct"/>
                  <w:vMerge w:val="continue"/>
                  <w:noWrap w:val="0"/>
                  <w:vAlign w:val="center"/>
                </w:tcPr>
                <w:p w14:paraId="51B1C739">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67" w:type="pct"/>
                  <w:noWrap w:val="0"/>
                  <w:vAlign w:val="center"/>
                </w:tcPr>
                <w:p w14:paraId="4F936BA0">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动植物油</w:t>
                  </w:r>
                </w:p>
              </w:tc>
              <w:tc>
                <w:tcPr>
                  <w:tcW w:w="451" w:type="pct"/>
                  <w:noWrap w:val="0"/>
                  <w:vAlign w:val="center"/>
                </w:tcPr>
                <w:p w14:paraId="41EC67C1">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15</w:t>
                  </w:r>
                </w:p>
              </w:tc>
              <w:tc>
                <w:tcPr>
                  <w:tcW w:w="613" w:type="pct"/>
                  <w:gridSpan w:val="2"/>
                  <w:noWrap w:val="0"/>
                  <w:vAlign w:val="center"/>
                </w:tcPr>
                <w:p w14:paraId="219FB654">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0.020 </w:t>
                  </w:r>
                </w:p>
              </w:tc>
              <w:tc>
                <w:tcPr>
                  <w:tcW w:w="409" w:type="pct"/>
                  <w:vMerge w:val="continue"/>
                  <w:noWrap w:val="0"/>
                  <w:vAlign w:val="center"/>
                </w:tcPr>
                <w:p w14:paraId="76F9717B">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1D49886D">
              <w:trPr>
                <w:trHeight w:val="283" w:hRule="atLeast"/>
                <w:jc w:val="center"/>
              </w:trPr>
              <w:tc>
                <w:tcPr>
                  <w:tcW w:w="407" w:type="pct"/>
                  <w:vMerge w:val="restart"/>
                  <w:noWrap w:val="0"/>
                  <w:vAlign w:val="center"/>
                </w:tcPr>
                <w:p w14:paraId="59B754A9">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杀菌废水</w:t>
                  </w:r>
                </w:p>
              </w:tc>
              <w:tc>
                <w:tcPr>
                  <w:tcW w:w="684" w:type="pct"/>
                  <w:noWrap w:val="0"/>
                  <w:vAlign w:val="center"/>
                </w:tcPr>
                <w:p w14:paraId="2F3CD50C">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废水量</w:t>
                  </w:r>
                </w:p>
              </w:tc>
              <w:tc>
                <w:tcPr>
                  <w:tcW w:w="1269" w:type="pct"/>
                  <w:gridSpan w:val="4"/>
                  <w:noWrap w:val="0"/>
                  <w:vAlign w:val="center"/>
                </w:tcPr>
                <w:p w14:paraId="0655A4F5">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21384</w:t>
                  </w:r>
                </w:p>
              </w:tc>
              <w:tc>
                <w:tcPr>
                  <w:tcW w:w="497" w:type="pct"/>
                  <w:vMerge w:val="restart"/>
                  <w:noWrap w:val="0"/>
                  <w:vAlign w:val="center"/>
                </w:tcPr>
                <w:p w14:paraId="36126CC6">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污水处理站</w:t>
                  </w:r>
                </w:p>
              </w:tc>
              <w:tc>
                <w:tcPr>
                  <w:tcW w:w="667" w:type="pct"/>
                  <w:noWrap w:val="0"/>
                  <w:vAlign w:val="center"/>
                </w:tcPr>
                <w:p w14:paraId="4C14029B">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废水量</w:t>
                  </w:r>
                </w:p>
              </w:tc>
              <w:tc>
                <w:tcPr>
                  <w:tcW w:w="1065" w:type="pct"/>
                  <w:gridSpan w:val="3"/>
                  <w:noWrap w:val="0"/>
                  <w:vAlign w:val="center"/>
                </w:tcPr>
                <w:p w14:paraId="341FDD43">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21384</w:t>
                  </w:r>
                </w:p>
              </w:tc>
              <w:tc>
                <w:tcPr>
                  <w:tcW w:w="409" w:type="pct"/>
                  <w:vMerge w:val="restart"/>
                  <w:noWrap w:val="0"/>
                  <w:vAlign w:val="center"/>
                </w:tcPr>
                <w:p w14:paraId="090BDC25">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接管至涟水经济开发区西区污水处理厂</w:t>
                  </w:r>
                </w:p>
              </w:tc>
            </w:tr>
            <w:tr w14:paraId="51F3E656">
              <w:trPr>
                <w:trHeight w:val="283" w:hRule="atLeast"/>
                <w:jc w:val="center"/>
              </w:trPr>
              <w:tc>
                <w:tcPr>
                  <w:tcW w:w="407" w:type="pct"/>
                  <w:vMerge w:val="continue"/>
                  <w:noWrap w:val="0"/>
                  <w:vAlign w:val="center"/>
                </w:tcPr>
                <w:p w14:paraId="09422A03">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4" w:type="pct"/>
                  <w:noWrap w:val="0"/>
                  <w:vAlign w:val="center"/>
                </w:tcPr>
                <w:p w14:paraId="611A68D3">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565" w:type="pct"/>
                  <w:noWrap w:val="0"/>
                  <w:vAlign w:val="center"/>
                </w:tcPr>
                <w:p w14:paraId="4532F100">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25</w:t>
                  </w:r>
                </w:p>
              </w:tc>
              <w:tc>
                <w:tcPr>
                  <w:tcW w:w="704" w:type="pct"/>
                  <w:gridSpan w:val="3"/>
                  <w:noWrap w:val="0"/>
                  <w:vAlign w:val="center"/>
                </w:tcPr>
                <w:p w14:paraId="3644242F">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0.535 </w:t>
                  </w:r>
                </w:p>
              </w:tc>
              <w:tc>
                <w:tcPr>
                  <w:tcW w:w="497" w:type="pct"/>
                  <w:vMerge w:val="continue"/>
                  <w:noWrap w:val="0"/>
                  <w:vAlign w:val="center"/>
                </w:tcPr>
                <w:p w14:paraId="5374D4AB">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67" w:type="pct"/>
                  <w:noWrap w:val="0"/>
                  <w:vAlign w:val="center"/>
                </w:tcPr>
                <w:p w14:paraId="61B9180E">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451" w:type="pct"/>
                  <w:noWrap w:val="0"/>
                  <w:vAlign w:val="center"/>
                </w:tcPr>
                <w:p w14:paraId="6E808815">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7.5</w:t>
                  </w:r>
                </w:p>
              </w:tc>
              <w:tc>
                <w:tcPr>
                  <w:tcW w:w="613" w:type="pct"/>
                  <w:gridSpan w:val="2"/>
                  <w:noWrap w:val="0"/>
                  <w:vAlign w:val="center"/>
                </w:tcPr>
                <w:p w14:paraId="00CF9AD9">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0.160 </w:t>
                  </w:r>
                </w:p>
              </w:tc>
              <w:tc>
                <w:tcPr>
                  <w:tcW w:w="409" w:type="pct"/>
                  <w:vMerge w:val="continue"/>
                  <w:noWrap w:val="0"/>
                  <w:vAlign w:val="center"/>
                </w:tcPr>
                <w:p w14:paraId="2958F214">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6B4EDE16">
              <w:trPr>
                <w:trHeight w:val="283" w:hRule="atLeast"/>
                <w:jc w:val="center"/>
              </w:trPr>
              <w:tc>
                <w:tcPr>
                  <w:tcW w:w="407" w:type="pct"/>
                  <w:vMerge w:val="continue"/>
                  <w:noWrap w:val="0"/>
                  <w:vAlign w:val="center"/>
                </w:tcPr>
                <w:p w14:paraId="249A1E0C">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4" w:type="pct"/>
                  <w:noWrap w:val="0"/>
                  <w:vAlign w:val="center"/>
                </w:tcPr>
                <w:p w14:paraId="31F95E30">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SS</w:t>
                  </w:r>
                </w:p>
              </w:tc>
              <w:tc>
                <w:tcPr>
                  <w:tcW w:w="565" w:type="pct"/>
                  <w:noWrap w:val="0"/>
                  <w:vAlign w:val="center"/>
                </w:tcPr>
                <w:p w14:paraId="0A5BC516">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30</w:t>
                  </w:r>
                </w:p>
              </w:tc>
              <w:tc>
                <w:tcPr>
                  <w:tcW w:w="704" w:type="pct"/>
                  <w:gridSpan w:val="3"/>
                  <w:noWrap w:val="0"/>
                  <w:vAlign w:val="center"/>
                </w:tcPr>
                <w:p w14:paraId="24699C14">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0.642 </w:t>
                  </w:r>
                </w:p>
              </w:tc>
              <w:tc>
                <w:tcPr>
                  <w:tcW w:w="497" w:type="pct"/>
                  <w:vMerge w:val="continue"/>
                  <w:noWrap w:val="0"/>
                  <w:vAlign w:val="center"/>
                </w:tcPr>
                <w:p w14:paraId="1420AC7B">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67" w:type="pct"/>
                  <w:noWrap w:val="0"/>
                  <w:vAlign w:val="center"/>
                </w:tcPr>
                <w:p w14:paraId="11D951A9">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SS</w:t>
                  </w:r>
                </w:p>
              </w:tc>
              <w:tc>
                <w:tcPr>
                  <w:tcW w:w="451" w:type="pct"/>
                  <w:noWrap w:val="0"/>
                  <w:vAlign w:val="center"/>
                </w:tcPr>
                <w:p w14:paraId="0973718A">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9</w:t>
                  </w:r>
                </w:p>
              </w:tc>
              <w:tc>
                <w:tcPr>
                  <w:tcW w:w="613" w:type="pct"/>
                  <w:gridSpan w:val="2"/>
                  <w:noWrap w:val="0"/>
                  <w:vAlign w:val="center"/>
                </w:tcPr>
                <w:p w14:paraId="293F8523">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0.192 </w:t>
                  </w:r>
                </w:p>
              </w:tc>
              <w:tc>
                <w:tcPr>
                  <w:tcW w:w="409" w:type="pct"/>
                  <w:vMerge w:val="continue"/>
                  <w:noWrap w:val="0"/>
                  <w:vAlign w:val="center"/>
                </w:tcPr>
                <w:p w14:paraId="275D83FD">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7E1E9279">
              <w:trPr>
                <w:trHeight w:val="90" w:hRule="atLeast"/>
                <w:jc w:val="center"/>
              </w:trPr>
              <w:tc>
                <w:tcPr>
                  <w:tcW w:w="407" w:type="pct"/>
                  <w:vMerge w:val="restart"/>
                  <w:noWrap w:val="0"/>
                  <w:vAlign w:val="center"/>
                </w:tcPr>
                <w:p w14:paraId="10A00652">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乙酸雾吸收废水</w:t>
                  </w:r>
                </w:p>
              </w:tc>
              <w:tc>
                <w:tcPr>
                  <w:tcW w:w="684" w:type="pct"/>
                  <w:noWrap w:val="0"/>
                  <w:vAlign w:val="center"/>
                </w:tcPr>
                <w:p w14:paraId="6B156EC4">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废水量</w:t>
                  </w:r>
                </w:p>
              </w:tc>
              <w:tc>
                <w:tcPr>
                  <w:tcW w:w="1269" w:type="pct"/>
                  <w:gridSpan w:val="4"/>
                  <w:noWrap w:val="0"/>
                  <w:vAlign w:val="center"/>
                </w:tcPr>
                <w:p w14:paraId="7D832718">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11880</w:t>
                  </w:r>
                </w:p>
              </w:tc>
              <w:tc>
                <w:tcPr>
                  <w:tcW w:w="497" w:type="pct"/>
                  <w:vMerge w:val="continue"/>
                  <w:noWrap w:val="0"/>
                  <w:vAlign w:val="center"/>
                </w:tcPr>
                <w:p w14:paraId="71F510A9">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67" w:type="pct"/>
                  <w:noWrap w:val="0"/>
                  <w:vAlign w:val="center"/>
                </w:tcPr>
                <w:p w14:paraId="3A60A6B4">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废水量</w:t>
                  </w:r>
                </w:p>
              </w:tc>
              <w:tc>
                <w:tcPr>
                  <w:tcW w:w="1065" w:type="pct"/>
                  <w:gridSpan w:val="3"/>
                  <w:noWrap w:val="0"/>
                  <w:vAlign w:val="center"/>
                </w:tcPr>
                <w:p w14:paraId="19D91EAA">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11880</w:t>
                  </w:r>
                </w:p>
              </w:tc>
              <w:tc>
                <w:tcPr>
                  <w:tcW w:w="409" w:type="pct"/>
                  <w:vMerge w:val="continue"/>
                  <w:noWrap w:val="0"/>
                  <w:vAlign w:val="center"/>
                </w:tcPr>
                <w:p w14:paraId="658D3137">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76EBC19F">
              <w:trPr>
                <w:trHeight w:val="283" w:hRule="atLeast"/>
                <w:jc w:val="center"/>
              </w:trPr>
              <w:tc>
                <w:tcPr>
                  <w:tcW w:w="407" w:type="pct"/>
                  <w:vMerge w:val="continue"/>
                  <w:noWrap w:val="0"/>
                  <w:vAlign w:val="center"/>
                </w:tcPr>
                <w:p w14:paraId="128C81B6">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c>
                <w:tcPr>
                  <w:tcW w:w="684" w:type="pct"/>
                  <w:noWrap w:val="0"/>
                  <w:vAlign w:val="center"/>
                </w:tcPr>
                <w:p w14:paraId="0D782706">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pH</w:t>
                  </w:r>
                </w:p>
              </w:tc>
              <w:tc>
                <w:tcPr>
                  <w:tcW w:w="1269" w:type="pct"/>
                  <w:gridSpan w:val="4"/>
                  <w:noWrap w:val="0"/>
                  <w:vAlign w:val="center"/>
                </w:tcPr>
                <w:p w14:paraId="7B22EA0E">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9-10</w:t>
                  </w:r>
                </w:p>
              </w:tc>
              <w:tc>
                <w:tcPr>
                  <w:tcW w:w="497" w:type="pct"/>
                  <w:vMerge w:val="continue"/>
                  <w:noWrap w:val="0"/>
                  <w:vAlign w:val="center"/>
                </w:tcPr>
                <w:p w14:paraId="315A6731">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67" w:type="pct"/>
                  <w:noWrap w:val="0"/>
                  <w:vAlign w:val="center"/>
                </w:tcPr>
                <w:p w14:paraId="29C8AA03">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pH</w:t>
                  </w:r>
                </w:p>
              </w:tc>
              <w:tc>
                <w:tcPr>
                  <w:tcW w:w="1065" w:type="pct"/>
                  <w:gridSpan w:val="3"/>
                  <w:noWrap w:val="0"/>
                  <w:vAlign w:val="center"/>
                </w:tcPr>
                <w:p w14:paraId="5B83AFD8">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6-7</w:t>
                  </w:r>
                </w:p>
              </w:tc>
              <w:tc>
                <w:tcPr>
                  <w:tcW w:w="409" w:type="pct"/>
                  <w:vMerge w:val="continue"/>
                  <w:noWrap w:val="0"/>
                  <w:vAlign w:val="center"/>
                </w:tcPr>
                <w:p w14:paraId="282BC46D">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053062A8">
              <w:trPr>
                <w:trHeight w:val="283" w:hRule="atLeast"/>
                <w:jc w:val="center"/>
              </w:trPr>
              <w:tc>
                <w:tcPr>
                  <w:tcW w:w="407" w:type="pct"/>
                  <w:vMerge w:val="continue"/>
                  <w:noWrap w:val="0"/>
                  <w:vAlign w:val="center"/>
                </w:tcPr>
                <w:p w14:paraId="4408E76F">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4" w:type="pct"/>
                  <w:noWrap w:val="0"/>
                  <w:vAlign w:val="center"/>
                </w:tcPr>
                <w:p w14:paraId="59AFB2FA">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565" w:type="pct"/>
                  <w:noWrap w:val="0"/>
                  <w:vAlign w:val="center"/>
                </w:tcPr>
                <w:p w14:paraId="695386B1">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i w:val="0"/>
                      <w:iCs w:val="0"/>
                      <w:color w:val="auto"/>
                      <w:kern w:val="0"/>
                      <w:sz w:val="21"/>
                      <w:szCs w:val="21"/>
                      <w:u w:val="none"/>
                      <w:lang w:val="en-US" w:eastAsia="zh-CN" w:bidi="ar"/>
                    </w:rPr>
                    <w:t>446.2</w:t>
                  </w:r>
                </w:p>
              </w:tc>
              <w:tc>
                <w:tcPr>
                  <w:tcW w:w="704" w:type="pct"/>
                  <w:gridSpan w:val="3"/>
                  <w:noWrap w:val="0"/>
                  <w:vAlign w:val="center"/>
                </w:tcPr>
                <w:p w14:paraId="112949F4">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i w:val="0"/>
                      <w:iCs w:val="0"/>
                      <w:color w:val="auto"/>
                      <w:kern w:val="0"/>
                      <w:sz w:val="21"/>
                      <w:szCs w:val="21"/>
                      <w:u w:val="none"/>
                      <w:lang w:val="en-US" w:eastAsia="zh-CN" w:bidi="ar"/>
                    </w:rPr>
                    <w:t>5.301</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497" w:type="pct"/>
                  <w:vMerge w:val="continue"/>
                  <w:noWrap w:val="0"/>
                  <w:vAlign w:val="center"/>
                </w:tcPr>
                <w:p w14:paraId="59E4AF24">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67" w:type="pct"/>
                  <w:noWrap w:val="0"/>
                  <w:vAlign w:val="center"/>
                </w:tcPr>
                <w:p w14:paraId="03AA1E39">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451" w:type="pct"/>
                  <w:noWrap w:val="0"/>
                  <w:vAlign w:val="center"/>
                </w:tcPr>
                <w:p w14:paraId="3410C13C">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i w:val="0"/>
                      <w:iCs w:val="0"/>
                      <w:color w:val="auto"/>
                      <w:kern w:val="0"/>
                      <w:sz w:val="21"/>
                      <w:szCs w:val="21"/>
                      <w:u w:val="none"/>
                      <w:lang w:val="en-US" w:eastAsia="zh-CN" w:bidi="ar"/>
                    </w:rPr>
                    <w:t>133.9</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613" w:type="pct"/>
                  <w:gridSpan w:val="2"/>
                  <w:noWrap w:val="0"/>
                  <w:vAlign w:val="center"/>
                </w:tcPr>
                <w:p w14:paraId="26A66274">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i w:val="0"/>
                      <w:iCs w:val="0"/>
                      <w:color w:val="auto"/>
                      <w:kern w:val="0"/>
                      <w:sz w:val="21"/>
                      <w:szCs w:val="21"/>
                      <w:u w:val="none"/>
                      <w:lang w:val="en-US" w:eastAsia="zh-CN" w:bidi="ar"/>
                    </w:rPr>
                    <w:t>1.59</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409" w:type="pct"/>
                  <w:vMerge w:val="continue"/>
                  <w:noWrap w:val="0"/>
                  <w:vAlign w:val="center"/>
                </w:tcPr>
                <w:p w14:paraId="417CFB4B">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6E6D59AD">
              <w:trPr>
                <w:trHeight w:val="283" w:hRule="atLeast"/>
                <w:jc w:val="center"/>
              </w:trPr>
              <w:tc>
                <w:tcPr>
                  <w:tcW w:w="407" w:type="pct"/>
                  <w:vMerge w:val="continue"/>
                  <w:noWrap w:val="0"/>
                  <w:vAlign w:val="center"/>
                </w:tcPr>
                <w:p w14:paraId="5E999401">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4" w:type="pct"/>
                  <w:noWrap w:val="0"/>
                  <w:vAlign w:val="center"/>
                </w:tcPr>
                <w:p w14:paraId="5378DB70">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SS</w:t>
                  </w:r>
                </w:p>
              </w:tc>
              <w:tc>
                <w:tcPr>
                  <w:tcW w:w="565" w:type="pct"/>
                  <w:noWrap w:val="0"/>
                  <w:vAlign w:val="center"/>
                </w:tcPr>
                <w:p w14:paraId="314438C8">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704" w:type="pct"/>
                  <w:gridSpan w:val="3"/>
                  <w:noWrap w:val="0"/>
                  <w:vAlign w:val="center"/>
                </w:tcPr>
                <w:p w14:paraId="57643366">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1.782 </w:t>
                  </w:r>
                </w:p>
              </w:tc>
              <w:tc>
                <w:tcPr>
                  <w:tcW w:w="497" w:type="pct"/>
                  <w:vMerge w:val="continue"/>
                  <w:noWrap w:val="0"/>
                  <w:vAlign w:val="center"/>
                </w:tcPr>
                <w:p w14:paraId="4713E329">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67" w:type="pct"/>
                  <w:noWrap w:val="0"/>
                  <w:vAlign w:val="center"/>
                </w:tcPr>
                <w:p w14:paraId="1BAB3308">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SS</w:t>
                  </w:r>
                </w:p>
              </w:tc>
              <w:tc>
                <w:tcPr>
                  <w:tcW w:w="451" w:type="pct"/>
                  <w:noWrap w:val="0"/>
                  <w:vAlign w:val="center"/>
                </w:tcPr>
                <w:p w14:paraId="7768E8C5">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45</w:t>
                  </w:r>
                </w:p>
              </w:tc>
              <w:tc>
                <w:tcPr>
                  <w:tcW w:w="613" w:type="pct"/>
                  <w:gridSpan w:val="2"/>
                  <w:noWrap w:val="0"/>
                  <w:vAlign w:val="center"/>
                </w:tcPr>
                <w:p w14:paraId="66EBAAFB">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0.535 </w:t>
                  </w:r>
                </w:p>
              </w:tc>
              <w:tc>
                <w:tcPr>
                  <w:tcW w:w="409" w:type="pct"/>
                  <w:vMerge w:val="continue"/>
                  <w:noWrap w:val="0"/>
                  <w:vAlign w:val="center"/>
                </w:tcPr>
                <w:p w14:paraId="66CC88F8">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7A287028">
              <w:trPr>
                <w:trHeight w:val="283" w:hRule="atLeast"/>
                <w:jc w:val="center"/>
              </w:trPr>
              <w:tc>
                <w:tcPr>
                  <w:tcW w:w="407" w:type="pct"/>
                  <w:vMerge w:val="continue"/>
                  <w:noWrap w:val="0"/>
                  <w:vAlign w:val="center"/>
                </w:tcPr>
                <w:p w14:paraId="16AF99AF">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4" w:type="pct"/>
                  <w:noWrap w:val="0"/>
                  <w:vAlign w:val="center"/>
                </w:tcPr>
                <w:p w14:paraId="2DC9A33C">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565" w:type="pct"/>
                  <w:noWrap w:val="0"/>
                  <w:vAlign w:val="center"/>
                </w:tcPr>
                <w:p w14:paraId="20CBBCC4">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18</w:t>
                  </w:r>
                </w:p>
              </w:tc>
              <w:tc>
                <w:tcPr>
                  <w:tcW w:w="704" w:type="pct"/>
                  <w:gridSpan w:val="3"/>
                  <w:noWrap w:val="0"/>
                  <w:vAlign w:val="center"/>
                </w:tcPr>
                <w:p w14:paraId="45D29A25">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0.214 </w:t>
                  </w:r>
                </w:p>
              </w:tc>
              <w:tc>
                <w:tcPr>
                  <w:tcW w:w="497" w:type="pct"/>
                  <w:vMerge w:val="continue"/>
                  <w:noWrap w:val="0"/>
                  <w:vAlign w:val="center"/>
                </w:tcPr>
                <w:p w14:paraId="45BE01C1">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67" w:type="pct"/>
                  <w:noWrap w:val="0"/>
                  <w:vAlign w:val="center"/>
                </w:tcPr>
                <w:p w14:paraId="3052CB0F">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451" w:type="pct"/>
                  <w:noWrap w:val="0"/>
                  <w:vAlign w:val="center"/>
                </w:tcPr>
                <w:p w14:paraId="05A2D5A4">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3.6</w:t>
                  </w:r>
                </w:p>
              </w:tc>
              <w:tc>
                <w:tcPr>
                  <w:tcW w:w="613" w:type="pct"/>
                  <w:gridSpan w:val="2"/>
                  <w:noWrap w:val="0"/>
                  <w:vAlign w:val="center"/>
                </w:tcPr>
                <w:p w14:paraId="55815628">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0.043 </w:t>
                  </w:r>
                </w:p>
              </w:tc>
              <w:tc>
                <w:tcPr>
                  <w:tcW w:w="409" w:type="pct"/>
                  <w:vMerge w:val="continue"/>
                  <w:noWrap w:val="0"/>
                  <w:vAlign w:val="center"/>
                </w:tcPr>
                <w:p w14:paraId="1496584B">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39FD2C7D">
              <w:trPr>
                <w:trHeight w:val="283" w:hRule="atLeast"/>
                <w:jc w:val="center"/>
              </w:trPr>
              <w:tc>
                <w:tcPr>
                  <w:tcW w:w="407" w:type="pct"/>
                  <w:vMerge w:val="continue"/>
                  <w:noWrap w:val="0"/>
                  <w:vAlign w:val="center"/>
                </w:tcPr>
                <w:p w14:paraId="080646EC">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4" w:type="pct"/>
                  <w:noWrap w:val="0"/>
                  <w:vAlign w:val="center"/>
                </w:tcPr>
                <w:p w14:paraId="614D4B28">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TN</w:t>
                  </w:r>
                </w:p>
              </w:tc>
              <w:tc>
                <w:tcPr>
                  <w:tcW w:w="565" w:type="pct"/>
                  <w:noWrap w:val="0"/>
                  <w:vAlign w:val="center"/>
                </w:tcPr>
                <w:p w14:paraId="7506F0E2">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26</w:t>
                  </w:r>
                </w:p>
              </w:tc>
              <w:tc>
                <w:tcPr>
                  <w:tcW w:w="704" w:type="pct"/>
                  <w:gridSpan w:val="3"/>
                  <w:noWrap w:val="0"/>
                  <w:vAlign w:val="center"/>
                </w:tcPr>
                <w:p w14:paraId="140260E4">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0.309 </w:t>
                  </w:r>
                </w:p>
              </w:tc>
              <w:tc>
                <w:tcPr>
                  <w:tcW w:w="497" w:type="pct"/>
                  <w:vMerge w:val="continue"/>
                  <w:noWrap w:val="0"/>
                  <w:vAlign w:val="center"/>
                </w:tcPr>
                <w:p w14:paraId="22B9221F">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67" w:type="pct"/>
                  <w:noWrap w:val="0"/>
                  <w:vAlign w:val="center"/>
                </w:tcPr>
                <w:p w14:paraId="60960221">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TN</w:t>
                  </w:r>
                </w:p>
              </w:tc>
              <w:tc>
                <w:tcPr>
                  <w:tcW w:w="451" w:type="pct"/>
                  <w:noWrap w:val="0"/>
                  <w:vAlign w:val="center"/>
                </w:tcPr>
                <w:p w14:paraId="5AE6B0F5">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10.4</w:t>
                  </w:r>
                </w:p>
              </w:tc>
              <w:tc>
                <w:tcPr>
                  <w:tcW w:w="613" w:type="pct"/>
                  <w:gridSpan w:val="2"/>
                  <w:noWrap w:val="0"/>
                  <w:vAlign w:val="center"/>
                </w:tcPr>
                <w:p w14:paraId="1B732B29">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0.124 </w:t>
                  </w:r>
                </w:p>
              </w:tc>
              <w:tc>
                <w:tcPr>
                  <w:tcW w:w="409" w:type="pct"/>
                  <w:vMerge w:val="continue"/>
                  <w:noWrap w:val="0"/>
                  <w:vAlign w:val="center"/>
                </w:tcPr>
                <w:p w14:paraId="7206507F">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7E8A11E2">
              <w:trPr>
                <w:trHeight w:val="283" w:hRule="atLeast"/>
                <w:jc w:val="center"/>
              </w:trPr>
              <w:tc>
                <w:tcPr>
                  <w:tcW w:w="407" w:type="pct"/>
                  <w:vMerge w:val="restart"/>
                  <w:noWrap w:val="0"/>
                  <w:vAlign w:val="center"/>
                </w:tcPr>
                <w:p w14:paraId="07C4B530">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设备清洗废水</w:t>
                  </w:r>
                </w:p>
              </w:tc>
              <w:tc>
                <w:tcPr>
                  <w:tcW w:w="684" w:type="pct"/>
                  <w:noWrap w:val="0"/>
                  <w:vAlign w:val="center"/>
                </w:tcPr>
                <w:p w14:paraId="632D7E71">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废水量</w:t>
                  </w:r>
                </w:p>
              </w:tc>
              <w:tc>
                <w:tcPr>
                  <w:tcW w:w="1269" w:type="pct"/>
                  <w:gridSpan w:val="4"/>
                  <w:noWrap w:val="0"/>
                  <w:vAlign w:val="center"/>
                </w:tcPr>
                <w:p w14:paraId="45FF713B">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19800</w:t>
                  </w:r>
                </w:p>
              </w:tc>
              <w:tc>
                <w:tcPr>
                  <w:tcW w:w="497" w:type="pct"/>
                  <w:vMerge w:val="continue"/>
                  <w:noWrap w:val="0"/>
                  <w:vAlign w:val="center"/>
                </w:tcPr>
                <w:p w14:paraId="7346F955">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67" w:type="pct"/>
                  <w:noWrap w:val="0"/>
                  <w:vAlign w:val="center"/>
                </w:tcPr>
                <w:p w14:paraId="59066552">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废水量</w:t>
                  </w:r>
                </w:p>
              </w:tc>
              <w:tc>
                <w:tcPr>
                  <w:tcW w:w="1065" w:type="pct"/>
                  <w:gridSpan w:val="3"/>
                  <w:noWrap w:val="0"/>
                  <w:vAlign w:val="center"/>
                </w:tcPr>
                <w:p w14:paraId="509E1D52">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19800</w:t>
                  </w:r>
                </w:p>
              </w:tc>
              <w:tc>
                <w:tcPr>
                  <w:tcW w:w="409" w:type="pct"/>
                  <w:vMerge w:val="continue"/>
                  <w:noWrap w:val="0"/>
                  <w:vAlign w:val="center"/>
                </w:tcPr>
                <w:p w14:paraId="3656095A">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451440CD">
              <w:trPr>
                <w:trHeight w:val="283" w:hRule="atLeast"/>
                <w:jc w:val="center"/>
              </w:trPr>
              <w:tc>
                <w:tcPr>
                  <w:tcW w:w="407" w:type="pct"/>
                  <w:vMerge w:val="continue"/>
                  <w:noWrap w:val="0"/>
                  <w:vAlign w:val="center"/>
                </w:tcPr>
                <w:p w14:paraId="3F5C22CF">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4" w:type="pct"/>
                  <w:noWrap w:val="0"/>
                  <w:vAlign w:val="center"/>
                </w:tcPr>
                <w:p w14:paraId="4A69F8C3">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565" w:type="pct"/>
                  <w:noWrap w:val="0"/>
                  <w:vAlign w:val="center"/>
                </w:tcPr>
                <w:p w14:paraId="22FCDB66">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1670</w:t>
                  </w:r>
                </w:p>
              </w:tc>
              <w:tc>
                <w:tcPr>
                  <w:tcW w:w="704" w:type="pct"/>
                  <w:gridSpan w:val="3"/>
                  <w:noWrap w:val="0"/>
                  <w:vAlign w:val="center"/>
                </w:tcPr>
                <w:p w14:paraId="40CEF9AA">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33.066 </w:t>
                  </w:r>
                </w:p>
              </w:tc>
              <w:tc>
                <w:tcPr>
                  <w:tcW w:w="497" w:type="pct"/>
                  <w:vMerge w:val="continue"/>
                  <w:noWrap w:val="0"/>
                  <w:vAlign w:val="center"/>
                </w:tcPr>
                <w:p w14:paraId="7C8ACDF1">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67" w:type="pct"/>
                  <w:noWrap w:val="0"/>
                  <w:vAlign w:val="center"/>
                </w:tcPr>
                <w:p w14:paraId="6D8FCFE8">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451" w:type="pct"/>
                  <w:noWrap w:val="0"/>
                  <w:vAlign w:val="center"/>
                </w:tcPr>
                <w:p w14:paraId="774D3041">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501</w:t>
                  </w:r>
                </w:p>
              </w:tc>
              <w:tc>
                <w:tcPr>
                  <w:tcW w:w="613" w:type="pct"/>
                  <w:gridSpan w:val="2"/>
                  <w:noWrap w:val="0"/>
                  <w:vAlign w:val="center"/>
                </w:tcPr>
                <w:p w14:paraId="75A08268">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9.920 </w:t>
                  </w:r>
                </w:p>
              </w:tc>
              <w:tc>
                <w:tcPr>
                  <w:tcW w:w="409" w:type="pct"/>
                  <w:vMerge w:val="continue"/>
                  <w:noWrap w:val="0"/>
                  <w:vAlign w:val="center"/>
                </w:tcPr>
                <w:p w14:paraId="77F712EC">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01C71FF2">
              <w:trPr>
                <w:trHeight w:val="283" w:hRule="atLeast"/>
                <w:jc w:val="center"/>
              </w:trPr>
              <w:tc>
                <w:tcPr>
                  <w:tcW w:w="407" w:type="pct"/>
                  <w:vMerge w:val="continue"/>
                  <w:noWrap w:val="0"/>
                  <w:vAlign w:val="center"/>
                </w:tcPr>
                <w:p w14:paraId="554F7049">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4" w:type="pct"/>
                  <w:noWrap w:val="0"/>
                  <w:vAlign w:val="center"/>
                </w:tcPr>
                <w:p w14:paraId="28710E14">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w:t>
                  </w:r>
                </w:p>
              </w:tc>
              <w:tc>
                <w:tcPr>
                  <w:tcW w:w="565" w:type="pct"/>
                  <w:noWrap w:val="0"/>
                  <w:vAlign w:val="center"/>
                </w:tcPr>
                <w:p w14:paraId="6C6AFC5D">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704" w:type="pct"/>
                  <w:gridSpan w:val="3"/>
                  <w:noWrap w:val="0"/>
                  <w:vAlign w:val="center"/>
                </w:tcPr>
                <w:p w14:paraId="527B4EE8">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9.900 </w:t>
                  </w:r>
                </w:p>
              </w:tc>
              <w:tc>
                <w:tcPr>
                  <w:tcW w:w="497" w:type="pct"/>
                  <w:vMerge w:val="continue"/>
                  <w:noWrap w:val="0"/>
                  <w:vAlign w:val="center"/>
                </w:tcPr>
                <w:p w14:paraId="1D7DE995">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67" w:type="pct"/>
                  <w:noWrap w:val="0"/>
                  <w:vAlign w:val="center"/>
                </w:tcPr>
                <w:p w14:paraId="76EF2FDF">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w:t>
                  </w:r>
                </w:p>
              </w:tc>
              <w:tc>
                <w:tcPr>
                  <w:tcW w:w="451" w:type="pct"/>
                  <w:noWrap w:val="0"/>
                  <w:vAlign w:val="center"/>
                </w:tcPr>
                <w:p w14:paraId="4F0F4F07">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613" w:type="pct"/>
                  <w:gridSpan w:val="2"/>
                  <w:noWrap w:val="0"/>
                  <w:vAlign w:val="center"/>
                </w:tcPr>
                <w:p w14:paraId="4AD4F8BA">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2.970 </w:t>
                  </w:r>
                </w:p>
              </w:tc>
              <w:tc>
                <w:tcPr>
                  <w:tcW w:w="409" w:type="pct"/>
                  <w:vMerge w:val="continue"/>
                  <w:noWrap w:val="0"/>
                  <w:vAlign w:val="center"/>
                </w:tcPr>
                <w:p w14:paraId="1ECEF236">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52158D4F">
              <w:trPr>
                <w:trHeight w:val="283" w:hRule="atLeast"/>
                <w:jc w:val="center"/>
              </w:trPr>
              <w:tc>
                <w:tcPr>
                  <w:tcW w:w="407" w:type="pct"/>
                  <w:vMerge w:val="continue"/>
                  <w:noWrap w:val="0"/>
                  <w:vAlign w:val="center"/>
                </w:tcPr>
                <w:p w14:paraId="50D566F6">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4" w:type="pct"/>
                  <w:noWrap w:val="0"/>
                  <w:vAlign w:val="center"/>
                </w:tcPr>
                <w:p w14:paraId="780EA8CC">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565" w:type="pct"/>
                  <w:noWrap w:val="0"/>
                  <w:vAlign w:val="center"/>
                </w:tcPr>
                <w:p w14:paraId="72790C42">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805</w:t>
                  </w:r>
                </w:p>
              </w:tc>
              <w:tc>
                <w:tcPr>
                  <w:tcW w:w="704" w:type="pct"/>
                  <w:gridSpan w:val="3"/>
                  <w:noWrap w:val="0"/>
                  <w:vAlign w:val="center"/>
                </w:tcPr>
                <w:p w14:paraId="69D381B2">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15.939 </w:t>
                  </w:r>
                </w:p>
              </w:tc>
              <w:tc>
                <w:tcPr>
                  <w:tcW w:w="497" w:type="pct"/>
                  <w:vMerge w:val="continue"/>
                  <w:noWrap w:val="0"/>
                  <w:vAlign w:val="center"/>
                </w:tcPr>
                <w:p w14:paraId="4E64B3F7">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67" w:type="pct"/>
                  <w:noWrap w:val="0"/>
                  <w:vAlign w:val="center"/>
                </w:tcPr>
                <w:p w14:paraId="21E65A3B">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451" w:type="pct"/>
                  <w:noWrap w:val="0"/>
                  <w:vAlign w:val="center"/>
                </w:tcPr>
                <w:p w14:paraId="1BA07157">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241.5</w:t>
                  </w:r>
                </w:p>
              </w:tc>
              <w:tc>
                <w:tcPr>
                  <w:tcW w:w="613" w:type="pct"/>
                  <w:gridSpan w:val="2"/>
                  <w:noWrap w:val="0"/>
                  <w:vAlign w:val="center"/>
                </w:tcPr>
                <w:p w14:paraId="2E9A90CE">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4.782 </w:t>
                  </w:r>
                </w:p>
              </w:tc>
              <w:tc>
                <w:tcPr>
                  <w:tcW w:w="409" w:type="pct"/>
                  <w:vMerge w:val="continue"/>
                  <w:noWrap w:val="0"/>
                  <w:vAlign w:val="center"/>
                </w:tcPr>
                <w:p w14:paraId="0C7EB6CD">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7622F3DD">
              <w:trPr>
                <w:trHeight w:val="283" w:hRule="atLeast"/>
                <w:jc w:val="center"/>
              </w:trPr>
              <w:tc>
                <w:tcPr>
                  <w:tcW w:w="407" w:type="pct"/>
                  <w:vMerge w:val="continue"/>
                  <w:noWrap w:val="0"/>
                  <w:vAlign w:val="center"/>
                </w:tcPr>
                <w:p w14:paraId="66B83DDF">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4" w:type="pct"/>
                  <w:noWrap w:val="0"/>
                  <w:vAlign w:val="center"/>
                </w:tcPr>
                <w:p w14:paraId="23B41FDE">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565" w:type="pct"/>
                  <w:noWrap w:val="0"/>
                  <w:vAlign w:val="center"/>
                </w:tcPr>
                <w:p w14:paraId="01FB7124">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26.6</w:t>
                  </w:r>
                </w:p>
              </w:tc>
              <w:tc>
                <w:tcPr>
                  <w:tcW w:w="704" w:type="pct"/>
                  <w:gridSpan w:val="3"/>
                  <w:noWrap w:val="0"/>
                  <w:vAlign w:val="center"/>
                </w:tcPr>
                <w:p w14:paraId="57EFE874">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0.527 </w:t>
                  </w:r>
                </w:p>
              </w:tc>
              <w:tc>
                <w:tcPr>
                  <w:tcW w:w="497" w:type="pct"/>
                  <w:vMerge w:val="continue"/>
                  <w:noWrap w:val="0"/>
                  <w:vAlign w:val="center"/>
                </w:tcPr>
                <w:p w14:paraId="7913C766">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67" w:type="pct"/>
                  <w:noWrap w:val="0"/>
                  <w:vAlign w:val="center"/>
                </w:tcPr>
                <w:p w14:paraId="501D956E">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451" w:type="pct"/>
                  <w:noWrap w:val="0"/>
                  <w:vAlign w:val="center"/>
                </w:tcPr>
                <w:p w14:paraId="00611C16">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5.32</w:t>
                  </w:r>
                </w:p>
              </w:tc>
              <w:tc>
                <w:tcPr>
                  <w:tcW w:w="613" w:type="pct"/>
                  <w:gridSpan w:val="2"/>
                  <w:noWrap w:val="0"/>
                  <w:vAlign w:val="center"/>
                </w:tcPr>
                <w:p w14:paraId="64C6C73A">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0.105 </w:t>
                  </w:r>
                </w:p>
              </w:tc>
              <w:tc>
                <w:tcPr>
                  <w:tcW w:w="409" w:type="pct"/>
                  <w:vMerge w:val="continue"/>
                  <w:noWrap w:val="0"/>
                  <w:vAlign w:val="center"/>
                </w:tcPr>
                <w:p w14:paraId="2D8526FD">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542F68E4">
              <w:trPr>
                <w:trHeight w:val="283" w:hRule="atLeast"/>
                <w:jc w:val="center"/>
              </w:trPr>
              <w:tc>
                <w:tcPr>
                  <w:tcW w:w="407" w:type="pct"/>
                  <w:vMerge w:val="continue"/>
                  <w:noWrap w:val="0"/>
                  <w:vAlign w:val="center"/>
                </w:tcPr>
                <w:p w14:paraId="141ECC4E">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4" w:type="pct"/>
                  <w:noWrap w:val="0"/>
                  <w:vAlign w:val="center"/>
                </w:tcPr>
                <w:p w14:paraId="60BF86DB">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TN</w:t>
                  </w:r>
                </w:p>
              </w:tc>
              <w:tc>
                <w:tcPr>
                  <w:tcW w:w="565" w:type="pct"/>
                  <w:noWrap w:val="0"/>
                  <w:vAlign w:val="center"/>
                </w:tcPr>
                <w:p w14:paraId="79B84585">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93.9</w:t>
                  </w:r>
                </w:p>
              </w:tc>
              <w:tc>
                <w:tcPr>
                  <w:tcW w:w="704" w:type="pct"/>
                  <w:gridSpan w:val="3"/>
                  <w:noWrap w:val="0"/>
                  <w:vAlign w:val="center"/>
                </w:tcPr>
                <w:p w14:paraId="68AA10F2">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1.859 </w:t>
                  </w:r>
                </w:p>
              </w:tc>
              <w:tc>
                <w:tcPr>
                  <w:tcW w:w="497" w:type="pct"/>
                  <w:vMerge w:val="continue"/>
                  <w:noWrap w:val="0"/>
                  <w:vAlign w:val="center"/>
                </w:tcPr>
                <w:p w14:paraId="2274E682">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67" w:type="pct"/>
                  <w:noWrap w:val="0"/>
                  <w:vAlign w:val="center"/>
                </w:tcPr>
                <w:p w14:paraId="70DC2E71">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TN</w:t>
                  </w:r>
                </w:p>
              </w:tc>
              <w:tc>
                <w:tcPr>
                  <w:tcW w:w="451" w:type="pct"/>
                  <w:noWrap w:val="0"/>
                  <w:vAlign w:val="center"/>
                </w:tcPr>
                <w:p w14:paraId="3BAE4378">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37.56</w:t>
                  </w:r>
                </w:p>
              </w:tc>
              <w:tc>
                <w:tcPr>
                  <w:tcW w:w="613" w:type="pct"/>
                  <w:gridSpan w:val="2"/>
                  <w:noWrap w:val="0"/>
                  <w:vAlign w:val="center"/>
                </w:tcPr>
                <w:p w14:paraId="2A8ED53E">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0.744 </w:t>
                  </w:r>
                </w:p>
              </w:tc>
              <w:tc>
                <w:tcPr>
                  <w:tcW w:w="409" w:type="pct"/>
                  <w:vMerge w:val="continue"/>
                  <w:noWrap w:val="0"/>
                  <w:vAlign w:val="center"/>
                </w:tcPr>
                <w:p w14:paraId="2B70EFD4">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69BB0CC1">
              <w:trPr>
                <w:trHeight w:val="283" w:hRule="atLeast"/>
                <w:jc w:val="center"/>
              </w:trPr>
              <w:tc>
                <w:tcPr>
                  <w:tcW w:w="407" w:type="pct"/>
                  <w:vMerge w:val="continue"/>
                  <w:noWrap w:val="0"/>
                  <w:vAlign w:val="center"/>
                </w:tcPr>
                <w:p w14:paraId="41492525">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4" w:type="pct"/>
                  <w:noWrap w:val="0"/>
                  <w:vAlign w:val="center"/>
                </w:tcPr>
                <w:p w14:paraId="2720C177">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w:t>
                  </w:r>
                  <w:r>
                    <w:rPr>
                      <w:rFonts w:hint="eastAsia" w:ascii="Times New Roman" w:hAnsi="Times New Roman" w:eastAsia="宋体" w:cs="Times New Roman"/>
                      <w:color w:val="auto"/>
                      <w:sz w:val="21"/>
                      <w:szCs w:val="21"/>
                      <w:lang w:val="en-US" w:eastAsia="zh-CN"/>
                    </w:rPr>
                    <w:t>P</w:t>
                  </w:r>
                </w:p>
              </w:tc>
              <w:tc>
                <w:tcPr>
                  <w:tcW w:w="565" w:type="pct"/>
                  <w:noWrap w:val="0"/>
                  <w:vAlign w:val="center"/>
                </w:tcPr>
                <w:p w14:paraId="4DEF556B">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9.6</w:t>
                  </w:r>
                </w:p>
              </w:tc>
              <w:tc>
                <w:tcPr>
                  <w:tcW w:w="704" w:type="pct"/>
                  <w:gridSpan w:val="3"/>
                  <w:noWrap w:val="0"/>
                  <w:vAlign w:val="center"/>
                </w:tcPr>
                <w:p w14:paraId="3013C464">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0.190 </w:t>
                  </w:r>
                </w:p>
              </w:tc>
              <w:tc>
                <w:tcPr>
                  <w:tcW w:w="497" w:type="pct"/>
                  <w:vMerge w:val="continue"/>
                  <w:noWrap w:val="0"/>
                  <w:vAlign w:val="center"/>
                </w:tcPr>
                <w:p w14:paraId="3C439EF9">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67" w:type="pct"/>
                  <w:noWrap w:val="0"/>
                  <w:vAlign w:val="center"/>
                </w:tcPr>
                <w:p w14:paraId="7AF10724">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w:t>
                  </w:r>
                  <w:r>
                    <w:rPr>
                      <w:rFonts w:hint="eastAsia" w:ascii="Times New Roman" w:hAnsi="Times New Roman" w:eastAsia="宋体" w:cs="Times New Roman"/>
                      <w:color w:val="auto"/>
                      <w:sz w:val="21"/>
                      <w:szCs w:val="21"/>
                      <w:lang w:val="en-US" w:eastAsia="zh-CN"/>
                    </w:rPr>
                    <w:t>P</w:t>
                  </w:r>
                </w:p>
              </w:tc>
              <w:tc>
                <w:tcPr>
                  <w:tcW w:w="451" w:type="pct"/>
                  <w:noWrap w:val="0"/>
                  <w:vAlign w:val="center"/>
                </w:tcPr>
                <w:p w14:paraId="133B235D">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3.84</w:t>
                  </w:r>
                </w:p>
              </w:tc>
              <w:tc>
                <w:tcPr>
                  <w:tcW w:w="613" w:type="pct"/>
                  <w:gridSpan w:val="2"/>
                  <w:noWrap w:val="0"/>
                  <w:vAlign w:val="center"/>
                </w:tcPr>
                <w:p w14:paraId="6B8059E5">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0.076 </w:t>
                  </w:r>
                </w:p>
              </w:tc>
              <w:tc>
                <w:tcPr>
                  <w:tcW w:w="409" w:type="pct"/>
                  <w:vMerge w:val="continue"/>
                  <w:noWrap w:val="0"/>
                  <w:vAlign w:val="center"/>
                </w:tcPr>
                <w:p w14:paraId="28E81007">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149CE497">
              <w:trPr>
                <w:trHeight w:val="283" w:hRule="atLeast"/>
                <w:jc w:val="center"/>
              </w:trPr>
              <w:tc>
                <w:tcPr>
                  <w:tcW w:w="407" w:type="pct"/>
                  <w:vMerge w:val="restart"/>
                  <w:noWrap w:val="0"/>
                  <w:vAlign w:val="center"/>
                </w:tcPr>
                <w:p w14:paraId="793588C8">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地面清洗废水</w:t>
                  </w:r>
                </w:p>
              </w:tc>
              <w:tc>
                <w:tcPr>
                  <w:tcW w:w="684" w:type="pct"/>
                  <w:noWrap w:val="0"/>
                  <w:vAlign w:val="center"/>
                </w:tcPr>
                <w:p w14:paraId="3B6D3148">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废水量</w:t>
                  </w:r>
                </w:p>
              </w:tc>
              <w:tc>
                <w:tcPr>
                  <w:tcW w:w="1269" w:type="pct"/>
                  <w:gridSpan w:val="4"/>
                  <w:noWrap w:val="0"/>
                  <w:vAlign w:val="center"/>
                </w:tcPr>
                <w:p w14:paraId="05256E39">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2640</w:t>
                  </w:r>
                </w:p>
              </w:tc>
              <w:tc>
                <w:tcPr>
                  <w:tcW w:w="497" w:type="pct"/>
                  <w:vMerge w:val="continue"/>
                  <w:noWrap w:val="0"/>
                  <w:vAlign w:val="center"/>
                </w:tcPr>
                <w:p w14:paraId="48DD7DA2">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67" w:type="pct"/>
                  <w:noWrap w:val="0"/>
                  <w:vAlign w:val="center"/>
                </w:tcPr>
                <w:p w14:paraId="0EADBBED">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废水量</w:t>
                  </w:r>
                </w:p>
              </w:tc>
              <w:tc>
                <w:tcPr>
                  <w:tcW w:w="1065" w:type="pct"/>
                  <w:gridSpan w:val="3"/>
                  <w:noWrap w:val="0"/>
                  <w:vAlign w:val="center"/>
                </w:tcPr>
                <w:p w14:paraId="27D1D412">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2640</w:t>
                  </w:r>
                </w:p>
              </w:tc>
              <w:tc>
                <w:tcPr>
                  <w:tcW w:w="409" w:type="pct"/>
                  <w:vMerge w:val="continue"/>
                  <w:noWrap w:val="0"/>
                  <w:vAlign w:val="center"/>
                </w:tcPr>
                <w:p w14:paraId="0D2EDBFB">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4199CDAE">
              <w:trPr>
                <w:trHeight w:val="283" w:hRule="atLeast"/>
                <w:jc w:val="center"/>
              </w:trPr>
              <w:tc>
                <w:tcPr>
                  <w:tcW w:w="407" w:type="pct"/>
                  <w:vMerge w:val="continue"/>
                  <w:noWrap w:val="0"/>
                  <w:vAlign w:val="center"/>
                </w:tcPr>
                <w:p w14:paraId="2E5D7B73">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4" w:type="pct"/>
                  <w:noWrap w:val="0"/>
                  <w:vAlign w:val="center"/>
                </w:tcPr>
                <w:p w14:paraId="2610032D">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565" w:type="pct"/>
                  <w:noWrap w:val="0"/>
                  <w:vAlign w:val="center"/>
                </w:tcPr>
                <w:p w14:paraId="534B4F7F">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704" w:type="pct"/>
                  <w:gridSpan w:val="3"/>
                  <w:noWrap w:val="0"/>
                  <w:vAlign w:val="center"/>
                </w:tcPr>
                <w:p w14:paraId="07053BAE">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1.056 </w:t>
                  </w:r>
                </w:p>
              </w:tc>
              <w:tc>
                <w:tcPr>
                  <w:tcW w:w="497" w:type="pct"/>
                  <w:vMerge w:val="continue"/>
                  <w:noWrap w:val="0"/>
                  <w:vAlign w:val="center"/>
                </w:tcPr>
                <w:p w14:paraId="712F632C">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67" w:type="pct"/>
                  <w:noWrap w:val="0"/>
                  <w:vAlign w:val="center"/>
                </w:tcPr>
                <w:p w14:paraId="39BEA67B">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451" w:type="pct"/>
                  <w:noWrap w:val="0"/>
                  <w:vAlign w:val="center"/>
                </w:tcPr>
                <w:p w14:paraId="27ADE130">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120</w:t>
                  </w:r>
                </w:p>
              </w:tc>
              <w:tc>
                <w:tcPr>
                  <w:tcW w:w="613" w:type="pct"/>
                  <w:gridSpan w:val="2"/>
                  <w:noWrap w:val="0"/>
                  <w:vAlign w:val="center"/>
                </w:tcPr>
                <w:p w14:paraId="7C8B358A">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0.317 </w:t>
                  </w:r>
                </w:p>
              </w:tc>
              <w:tc>
                <w:tcPr>
                  <w:tcW w:w="409" w:type="pct"/>
                  <w:vMerge w:val="continue"/>
                  <w:noWrap w:val="0"/>
                  <w:vAlign w:val="center"/>
                </w:tcPr>
                <w:p w14:paraId="592ED71F">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1673EACA">
              <w:trPr>
                <w:trHeight w:val="283" w:hRule="atLeast"/>
                <w:jc w:val="center"/>
              </w:trPr>
              <w:tc>
                <w:tcPr>
                  <w:tcW w:w="407" w:type="pct"/>
                  <w:vMerge w:val="continue"/>
                  <w:noWrap w:val="0"/>
                  <w:vAlign w:val="center"/>
                </w:tcPr>
                <w:p w14:paraId="655ADE9D">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4" w:type="pct"/>
                  <w:noWrap w:val="0"/>
                  <w:vAlign w:val="center"/>
                </w:tcPr>
                <w:p w14:paraId="47A70915">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w:t>
                  </w:r>
                </w:p>
              </w:tc>
              <w:tc>
                <w:tcPr>
                  <w:tcW w:w="565" w:type="pct"/>
                  <w:noWrap w:val="0"/>
                  <w:vAlign w:val="center"/>
                </w:tcPr>
                <w:p w14:paraId="26BDB9FC">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704" w:type="pct"/>
                  <w:gridSpan w:val="3"/>
                  <w:noWrap w:val="0"/>
                  <w:vAlign w:val="center"/>
                </w:tcPr>
                <w:p w14:paraId="0C874DC9">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0.792 </w:t>
                  </w:r>
                </w:p>
              </w:tc>
              <w:tc>
                <w:tcPr>
                  <w:tcW w:w="497" w:type="pct"/>
                  <w:vMerge w:val="continue"/>
                  <w:noWrap w:val="0"/>
                  <w:vAlign w:val="center"/>
                </w:tcPr>
                <w:p w14:paraId="2B74546A">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67" w:type="pct"/>
                  <w:noWrap w:val="0"/>
                  <w:vAlign w:val="center"/>
                </w:tcPr>
                <w:p w14:paraId="12A87967">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w:t>
                  </w:r>
                </w:p>
              </w:tc>
              <w:tc>
                <w:tcPr>
                  <w:tcW w:w="451" w:type="pct"/>
                  <w:noWrap w:val="0"/>
                  <w:vAlign w:val="center"/>
                </w:tcPr>
                <w:p w14:paraId="352C038A">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90</w:t>
                  </w:r>
                </w:p>
              </w:tc>
              <w:tc>
                <w:tcPr>
                  <w:tcW w:w="613" w:type="pct"/>
                  <w:gridSpan w:val="2"/>
                  <w:noWrap w:val="0"/>
                  <w:vAlign w:val="center"/>
                </w:tcPr>
                <w:p w14:paraId="6F053E52">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0.238 </w:t>
                  </w:r>
                </w:p>
              </w:tc>
              <w:tc>
                <w:tcPr>
                  <w:tcW w:w="409" w:type="pct"/>
                  <w:vMerge w:val="continue"/>
                  <w:noWrap w:val="0"/>
                  <w:vAlign w:val="center"/>
                </w:tcPr>
                <w:p w14:paraId="473270CD">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6C857659">
              <w:trPr>
                <w:trHeight w:val="283" w:hRule="atLeast"/>
                <w:jc w:val="center"/>
              </w:trPr>
              <w:tc>
                <w:tcPr>
                  <w:tcW w:w="407" w:type="pct"/>
                  <w:vMerge w:val="continue"/>
                  <w:noWrap w:val="0"/>
                  <w:vAlign w:val="center"/>
                </w:tcPr>
                <w:p w14:paraId="111B2F9F">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4" w:type="pct"/>
                  <w:noWrap w:val="0"/>
                  <w:vAlign w:val="center"/>
                </w:tcPr>
                <w:p w14:paraId="590172D6">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565" w:type="pct"/>
                  <w:noWrap w:val="0"/>
                  <w:vAlign w:val="center"/>
                </w:tcPr>
                <w:p w14:paraId="1958C417">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240</w:t>
                  </w:r>
                </w:p>
              </w:tc>
              <w:tc>
                <w:tcPr>
                  <w:tcW w:w="704" w:type="pct"/>
                  <w:gridSpan w:val="3"/>
                  <w:noWrap w:val="0"/>
                  <w:vAlign w:val="center"/>
                </w:tcPr>
                <w:p w14:paraId="24A25006">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0.634 </w:t>
                  </w:r>
                </w:p>
              </w:tc>
              <w:tc>
                <w:tcPr>
                  <w:tcW w:w="497" w:type="pct"/>
                  <w:vMerge w:val="continue"/>
                  <w:noWrap w:val="0"/>
                  <w:vAlign w:val="center"/>
                </w:tcPr>
                <w:p w14:paraId="0BFCC81A">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67" w:type="pct"/>
                  <w:noWrap w:val="0"/>
                  <w:vAlign w:val="center"/>
                </w:tcPr>
                <w:p w14:paraId="73AE0251">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451" w:type="pct"/>
                  <w:noWrap w:val="0"/>
                  <w:vAlign w:val="center"/>
                </w:tcPr>
                <w:p w14:paraId="5FB957A8">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72</w:t>
                  </w:r>
                </w:p>
              </w:tc>
              <w:tc>
                <w:tcPr>
                  <w:tcW w:w="613" w:type="pct"/>
                  <w:gridSpan w:val="2"/>
                  <w:noWrap w:val="0"/>
                  <w:vAlign w:val="center"/>
                </w:tcPr>
                <w:p w14:paraId="5164B824">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0.190 </w:t>
                  </w:r>
                </w:p>
              </w:tc>
              <w:tc>
                <w:tcPr>
                  <w:tcW w:w="409" w:type="pct"/>
                  <w:vMerge w:val="continue"/>
                  <w:noWrap w:val="0"/>
                  <w:vAlign w:val="center"/>
                </w:tcPr>
                <w:p w14:paraId="0EC16BF2">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779369A0">
              <w:trPr>
                <w:trHeight w:val="283" w:hRule="atLeast"/>
                <w:jc w:val="center"/>
              </w:trPr>
              <w:tc>
                <w:tcPr>
                  <w:tcW w:w="407" w:type="pct"/>
                  <w:vMerge w:val="continue"/>
                  <w:noWrap w:val="0"/>
                  <w:vAlign w:val="center"/>
                </w:tcPr>
                <w:p w14:paraId="2C30E8D5">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4" w:type="pct"/>
                  <w:noWrap w:val="0"/>
                  <w:vAlign w:val="center"/>
                </w:tcPr>
                <w:p w14:paraId="4419E5EE">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565" w:type="pct"/>
                  <w:noWrap w:val="0"/>
                  <w:vAlign w:val="center"/>
                </w:tcPr>
                <w:p w14:paraId="03184D5F">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20</w:t>
                  </w:r>
                </w:p>
              </w:tc>
              <w:tc>
                <w:tcPr>
                  <w:tcW w:w="704" w:type="pct"/>
                  <w:gridSpan w:val="3"/>
                  <w:noWrap w:val="0"/>
                  <w:vAlign w:val="center"/>
                </w:tcPr>
                <w:p w14:paraId="3DDAF1D9">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0.053 </w:t>
                  </w:r>
                </w:p>
              </w:tc>
              <w:tc>
                <w:tcPr>
                  <w:tcW w:w="497" w:type="pct"/>
                  <w:vMerge w:val="continue"/>
                  <w:noWrap w:val="0"/>
                  <w:vAlign w:val="center"/>
                </w:tcPr>
                <w:p w14:paraId="7A6ACAF6">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67" w:type="pct"/>
                  <w:noWrap w:val="0"/>
                  <w:vAlign w:val="center"/>
                </w:tcPr>
                <w:p w14:paraId="6B646BB2">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451" w:type="pct"/>
                  <w:noWrap w:val="0"/>
                  <w:vAlign w:val="center"/>
                </w:tcPr>
                <w:p w14:paraId="623D5191">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w:t>
                  </w:r>
                </w:p>
              </w:tc>
              <w:tc>
                <w:tcPr>
                  <w:tcW w:w="613" w:type="pct"/>
                  <w:gridSpan w:val="2"/>
                  <w:noWrap w:val="0"/>
                  <w:vAlign w:val="center"/>
                </w:tcPr>
                <w:p w14:paraId="3FC59F28">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0.011 </w:t>
                  </w:r>
                </w:p>
              </w:tc>
              <w:tc>
                <w:tcPr>
                  <w:tcW w:w="409" w:type="pct"/>
                  <w:vMerge w:val="continue"/>
                  <w:noWrap w:val="0"/>
                  <w:vAlign w:val="center"/>
                </w:tcPr>
                <w:p w14:paraId="269628CC">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59F13A06">
              <w:trPr>
                <w:trHeight w:val="283" w:hRule="atLeast"/>
                <w:jc w:val="center"/>
              </w:trPr>
              <w:tc>
                <w:tcPr>
                  <w:tcW w:w="407" w:type="pct"/>
                  <w:vMerge w:val="continue"/>
                  <w:noWrap w:val="0"/>
                  <w:vAlign w:val="center"/>
                </w:tcPr>
                <w:p w14:paraId="1D2BD388">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4" w:type="pct"/>
                  <w:noWrap w:val="0"/>
                  <w:vAlign w:val="center"/>
                </w:tcPr>
                <w:p w14:paraId="3756B755">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TN</w:t>
                  </w:r>
                </w:p>
              </w:tc>
              <w:tc>
                <w:tcPr>
                  <w:tcW w:w="565" w:type="pct"/>
                  <w:noWrap w:val="0"/>
                  <w:vAlign w:val="center"/>
                </w:tcPr>
                <w:p w14:paraId="03E47E08">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30</w:t>
                  </w:r>
                </w:p>
              </w:tc>
              <w:tc>
                <w:tcPr>
                  <w:tcW w:w="704" w:type="pct"/>
                  <w:gridSpan w:val="3"/>
                  <w:noWrap w:val="0"/>
                  <w:vAlign w:val="center"/>
                </w:tcPr>
                <w:p w14:paraId="33DCAC76">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0.079 </w:t>
                  </w:r>
                </w:p>
              </w:tc>
              <w:tc>
                <w:tcPr>
                  <w:tcW w:w="497" w:type="pct"/>
                  <w:vMerge w:val="continue"/>
                  <w:noWrap w:val="0"/>
                  <w:vAlign w:val="center"/>
                </w:tcPr>
                <w:p w14:paraId="1D1EF4FF">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67" w:type="pct"/>
                  <w:noWrap w:val="0"/>
                  <w:vAlign w:val="center"/>
                </w:tcPr>
                <w:p w14:paraId="30C6BD82">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TN</w:t>
                  </w:r>
                </w:p>
              </w:tc>
              <w:tc>
                <w:tcPr>
                  <w:tcW w:w="451" w:type="pct"/>
                  <w:noWrap w:val="0"/>
                  <w:vAlign w:val="center"/>
                </w:tcPr>
                <w:p w14:paraId="23185F52">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12</w:t>
                  </w:r>
                </w:p>
              </w:tc>
              <w:tc>
                <w:tcPr>
                  <w:tcW w:w="613" w:type="pct"/>
                  <w:gridSpan w:val="2"/>
                  <w:noWrap w:val="0"/>
                  <w:vAlign w:val="center"/>
                </w:tcPr>
                <w:p w14:paraId="2148FAF7">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0.032 </w:t>
                  </w:r>
                </w:p>
              </w:tc>
              <w:tc>
                <w:tcPr>
                  <w:tcW w:w="409" w:type="pct"/>
                  <w:vMerge w:val="continue"/>
                  <w:noWrap w:val="0"/>
                  <w:vAlign w:val="center"/>
                </w:tcPr>
                <w:p w14:paraId="3C58F776">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0EC3F0D4">
              <w:trPr>
                <w:trHeight w:val="283" w:hRule="atLeast"/>
                <w:jc w:val="center"/>
              </w:trPr>
              <w:tc>
                <w:tcPr>
                  <w:tcW w:w="407" w:type="pct"/>
                  <w:vMerge w:val="restart"/>
                  <w:noWrap w:val="0"/>
                  <w:vAlign w:val="center"/>
                </w:tcPr>
                <w:p w14:paraId="2D82E968">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生产废水</w:t>
                  </w:r>
                </w:p>
              </w:tc>
              <w:tc>
                <w:tcPr>
                  <w:tcW w:w="684" w:type="pct"/>
                  <w:noWrap w:val="0"/>
                  <w:vAlign w:val="center"/>
                </w:tcPr>
                <w:p w14:paraId="18700BEC">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废水量</w:t>
                  </w:r>
                </w:p>
              </w:tc>
              <w:tc>
                <w:tcPr>
                  <w:tcW w:w="1269" w:type="pct"/>
                  <w:gridSpan w:val="4"/>
                  <w:noWrap w:val="0"/>
                  <w:vAlign w:val="center"/>
                </w:tcPr>
                <w:p w14:paraId="1BA522EE">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55704</w:t>
                  </w:r>
                </w:p>
              </w:tc>
              <w:tc>
                <w:tcPr>
                  <w:tcW w:w="497" w:type="pct"/>
                  <w:vMerge w:val="restart"/>
                  <w:noWrap w:val="0"/>
                  <w:vAlign w:val="center"/>
                </w:tcPr>
                <w:p w14:paraId="2B1D8164">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污水处理站</w:t>
                  </w:r>
                </w:p>
              </w:tc>
              <w:tc>
                <w:tcPr>
                  <w:tcW w:w="667" w:type="pct"/>
                  <w:noWrap w:val="0"/>
                  <w:vAlign w:val="center"/>
                </w:tcPr>
                <w:p w14:paraId="73F4CCD4">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废水量</w:t>
                  </w:r>
                </w:p>
              </w:tc>
              <w:tc>
                <w:tcPr>
                  <w:tcW w:w="1065" w:type="pct"/>
                  <w:gridSpan w:val="3"/>
                  <w:noWrap w:val="0"/>
                  <w:vAlign w:val="center"/>
                </w:tcPr>
                <w:p w14:paraId="5209EABB">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55704</w:t>
                  </w:r>
                </w:p>
              </w:tc>
              <w:tc>
                <w:tcPr>
                  <w:tcW w:w="409" w:type="pct"/>
                  <w:vMerge w:val="continue"/>
                  <w:noWrap w:val="0"/>
                  <w:vAlign w:val="center"/>
                </w:tcPr>
                <w:p w14:paraId="2D71D9D6">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0C82C7BD">
              <w:trPr>
                <w:trHeight w:val="283" w:hRule="atLeast"/>
                <w:jc w:val="center"/>
              </w:trPr>
              <w:tc>
                <w:tcPr>
                  <w:tcW w:w="407" w:type="pct"/>
                  <w:vMerge w:val="continue"/>
                  <w:noWrap w:val="0"/>
                  <w:vAlign w:val="center"/>
                </w:tcPr>
                <w:p w14:paraId="2DD97A75">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4" w:type="pct"/>
                  <w:noWrap w:val="0"/>
                  <w:vAlign w:val="center"/>
                </w:tcPr>
                <w:p w14:paraId="71336DC5">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898" w:type="dxa"/>
                  <w:noWrap w:val="0"/>
                  <w:vAlign w:val="center"/>
                </w:tcPr>
                <w:p w14:paraId="0C8E2A1D">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i w:val="0"/>
                      <w:iCs w:val="0"/>
                      <w:color w:val="auto"/>
                      <w:kern w:val="0"/>
                      <w:sz w:val="21"/>
                      <w:szCs w:val="21"/>
                      <w:u w:val="none"/>
                      <w:lang w:val="en-US" w:eastAsia="zh-CN" w:bidi="ar"/>
                    </w:rPr>
                    <w:t>717.3</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1119" w:type="dxa"/>
                  <w:gridSpan w:val="3"/>
                  <w:noWrap w:val="0"/>
                  <w:vAlign w:val="center"/>
                </w:tcPr>
                <w:p w14:paraId="35D3EF96">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i w:val="0"/>
                      <w:iCs w:val="0"/>
                      <w:color w:val="auto"/>
                      <w:kern w:val="0"/>
                      <w:sz w:val="21"/>
                      <w:szCs w:val="21"/>
                      <w:u w:val="none"/>
                      <w:lang w:val="en-US" w:eastAsia="zh-CN" w:bidi="ar"/>
                    </w:rPr>
                    <w:t>39.957</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497" w:type="pct"/>
                  <w:vMerge w:val="continue"/>
                  <w:noWrap w:val="0"/>
                  <w:vAlign w:val="center"/>
                </w:tcPr>
                <w:p w14:paraId="58004159">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67" w:type="pct"/>
                  <w:noWrap w:val="0"/>
                  <w:vAlign w:val="center"/>
                </w:tcPr>
                <w:p w14:paraId="61FB827F">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717" w:type="dxa"/>
                  <w:noWrap w:val="0"/>
                  <w:vAlign w:val="center"/>
                </w:tcPr>
                <w:p w14:paraId="66641AB8">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i w:val="0"/>
                      <w:iCs w:val="0"/>
                      <w:color w:val="auto"/>
                      <w:kern w:val="0"/>
                      <w:sz w:val="21"/>
                      <w:szCs w:val="21"/>
                      <w:u w:val="none"/>
                      <w:lang w:val="en-US" w:eastAsia="zh-CN" w:bidi="ar"/>
                    </w:rPr>
                    <w:t>215.2</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975" w:type="dxa"/>
                  <w:gridSpan w:val="2"/>
                  <w:noWrap w:val="0"/>
                  <w:vAlign w:val="center"/>
                </w:tcPr>
                <w:p w14:paraId="05B09F05">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i w:val="0"/>
                      <w:iCs w:val="0"/>
                      <w:color w:val="auto"/>
                      <w:kern w:val="0"/>
                      <w:sz w:val="21"/>
                      <w:szCs w:val="21"/>
                      <w:u w:val="none"/>
                      <w:lang w:val="en-US" w:eastAsia="zh-CN" w:bidi="ar"/>
                    </w:rPr>
                    <w:t>11.987</w:t>
                  </w:r>
                </w:p>
              </w:tc>
              <w:tc>
                <w:tcPr>
                  <w:tcW w:w="409" w:type="pct"/>
                  <w:vMerge w:val="continue"/>
                  <w:noWrap w:val="0"/>
                  <w:vAlign w:val="center"/>
                </w:tcPr>
                <w:p w14:paraId="2567849F">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7F710380">
              <w:trPr>
                <w:trHeight w:val="283" w:hRule="atLeast"/>
                <w:jc w:val="center"/>
              </w:trPr>
              <w:tc>
                <w:tcPr>
                  <w:tcW w:w="407" w:type="pct"/>
                  <w:vMerge w:val="continue"/>
                  <w:noWrap w:val="0"/>
                  <w:vAlign w:val="center"/>
                </w:tcPr>
                <w:p w14:paraId="4BE867E4">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4" w:type="pct"/>
                  <w:noWrap w:val="0"/>
                  <w:vAlign w:val="center"/>
                </w:tcPr>
                <w:p w14:paraId="408E621A">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SS</w:t>
                  </w:r>
                </w:p>
              </w:tc>
              <w:tc>
                <w:tcPr>
                  <w:tcW w:w="898" w:type="dxa"/>
                  <w:noWrap w:val="0"/>
                  <w:vAlign w:val="center"/>
                </w:tcPr>
                <w:p w14:paraId="247686D4">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235.5 </w:t>
                  </w:r>
                </w:p>
              </w:tc>
              <w:tc>
                <w:tcPr>
                  <w:tcW w:w="1119" w:type="dxa"/>
                  <w:gridSpan w:val="3"/>
                  <w:noWrap w:val="0"/>
                  <w:vAlign w:val="center"/>
                </w:tcPr>
                <w:p w14:paraId="57590166">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13.116 </w:t>
                  </w:r>
                </w:p>
              </w:tc>
              <w:tc>
                <w:tcPr>
                  <w:tcW w:w="497" w:type="pct"/>
                  <w:vMerge w:val="continue"/>
                  <w:noWrap w:val="0"/>
                  <w:vAlign w:val="center"/>
                </w:tcPr>
                <w:p w14:paraId="2AA91CAB">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67" w:type="pct"/>
                  <w:noWrap w:val="0"/>
                  <w:vAlign w:val="center"/>
                </w:tcPr>
                <w:p w14:paraId="139C6BEC">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SS</w:t>
                  </w:r>
                </w:p>
              </w:tc>
              <w:tc>
                <w:tcPr>
                  <w:tcW w:w="717" w:type="dxa"/>
                  <w:noWrap w:val="0"/>
                  <w:vAlign w:val="center"/>
                </w:tcPr>
                <w:p w14:paraId="74CE48AA">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70.6 </w:t>
                  </w:r>
                </w:p>
              </w:tc>
              <w:tc>
                <w:tcPr>
                  <w:tcW w:w="975" w:type="dxa"/>
                  <w:gridSpan w:val="2"/>
                  <w:noWrap w:val="0"/>
                  <w:vAlign w:val="center"/>
                </w:tcPr>
                <w:p w14:paraId="1F728B04">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3.935 </w:t>
                  </w:r>
                </w:p>
              </w:tc>
              <w:tc>
                <w:tcPr>
                  <w:tcW w:w="409" w:type="pct"/>
                  <w:vMerge w:val="continue"/>
                  <w:noWrap w:val="0"/>
                  <w:vAlign w:val="center"/>
                </w:tcPr>
                <w:p w14:paraId="03425F76">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343809C8">
              <w:trPr>
                <w:trHeight w:val="283" w:hRule="atLeast"/>
                <w:jc w:val="center"/>
              </w:trPr>
              <w:tc>
                <w:tcPr>
                  <w:tcW w:w="407" w:type="pct"/>
                  <w:vMerge w:val="continue"/>
                  <w:noWrap w:val="0"/>
                  <w:vAlign w:val="center"/>
                </w:tcPr>
                <w:p w14:paraId="1544E24F">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4" w:type="pct"/>
                  <w:noWrap w:val="0"/>
                  <w:vAlign w:val="center"/>
                </w:tcPr>
                <w:p w14:paraId="43E44E3A">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898" w:type="dxa"/>
                  <w:noWrap w:val="0"/>
                  <w:vAlign w:val="center"/>
                </w:tcPr>
                <w:p w14:paraId="35763CDA">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297.5 </w:t>
                  </w:r>
                </w:p>
              </w:tc>
              <w:tc>
                <w:tcPr>
                  <w:tcW w:w="1119" w:type="dxa"/>
                  <w:gridSpan w:val="3"/>
                  <w:noWrap w:val="0"/>
                  <w:vAlign w:val="center"/>
                </w:tcPr>
                <w:p w14:paraId="572D3CCC">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16.573 </w:t>
                  </w:r>
                </w:p>
              </w:tc>
              <w:tc>
                <w:tcPr>
                  <w:tcW w:w="497" w:type="pct"/>
                  <w:vMerge w:val="continue"/>
                  <w:noWrap w:val="0"/>
                  <w:vAlign w:val="center"/>
                </w:tcPr>
                <w:p w14:paraId="355D0E54">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67" w:type="pct"/>
                  <w:noWrap w:val="0"/>
                  <w:vAlign w:val="center"/>
                </w:tcPr>
                <w:p w14:paraId="6EB6D438">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717" w:type="dxa"/>
                  <w:noWrap w:val="0"/>
                  <w:vAlign w:val="center"/>
                </w:tcPr>
                <w:p w14:paraId="675D9D66">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89.3 </w:t>
                  </w:r>
                </w:p>
              </w:tc>
              <w:tc>
                <w:tcPr>
                  <w:tcW w:w="975" w:type="dxa"/>
                  <w:gridSpan w:val="2"/>
                  <w:noWrap w:val="0"/>
                  <w:vAlign w:val="center"/>
                </w:tcPr>
                <w:p w14:paraId="04878AAA">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4.972 </w:t>
                  </w:r>
                </w:p>
              </w:tc>
              <w:tc>
                <w:tcPr>
                  <w:tcW w:w="409" w:type="pct"/>
                  <w:vMerge w:val="continue"/>
                  <w:noWrap w:val="0"/>
                  <w:vAlign w:val="center"/>
                </w:tcPr>
                <w:p w14:paraId="135C7175">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77BAC12A">
              <w:trPr>
                <w:trHeight w:val="283" w:hRule="atLeast"/>
                <w:jc w:val="center"/>
              </w:trPr>
              <w:tc>
                <w:tcPr>
                  <w:tcW w:w="407" w:type="pct"/>
                  <w:vMerge w:val="continue"/>
                  <w:noWrap w:val="0"/>
                  <w:vAlign w:val="center"/>
                </w:tcPr>
                <w:p w14:paraId="203AAC38">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4" w:type="pct"/>
                  <w:noWrap w:val="0"/>
                  <w:vAlign w:val="center"/>
                </w:tcPr>
                <w:p w14:paraId="159E4CBC">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898" w:type="dxa"/>
                  <w:noWrap w:val="0"/>
                  <w:vAlign w:val="center"/>
                </w:tcPr>
                <w:p w14:paraId="60744562">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14.2 </w:t>
                  </w:r>
                </w:p>
              </w:tc>
              <w:tc>
                <w:tcPr>
                  <w:tcW w:w="1119" w:type="dxa"/>
                  <w:gridSpan w:val="3"/>
                  <w:noWrap w:val="0"/>
                  <w:vAlign w:val="center"/>
                </w:tcPr>
                <w:p w14:paraId="769DAFA0">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0.793 </w:t>
                  </w:r>
                </w:p>
              </w:tc>
              <w:tc>
                <w:tcPr>
                  <w:tcW w:w="497" w:type="pct"/>
                  <w:vMerge w:val="continue"/>
                  <w:noWrap w:val="0"/>
                  <w:vAlign w:val="center"/>
                </w:tcPr>
                <w:p w14:paraId="58B2D1AE">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67" w:type="pct"/>
                  <w:noWrap w:val="0"/>
                  <w:vAlign w:val="center"/>
                </w:tcPr>
                <w:p w14:paraId="5161A5F9">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717" w:type="dxa"/>
                  <w:noWrap w:val="0"/>
                  <w:vAlign w:val="center"/>
                </w:tcPr>
                <w:p w14:paraId="2C783890">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2.8 </w:t>
                  </w:r>
                </w:p>
              </w:tc>
              <w:tc>
                <w:tcPr>
                  <w:tcW w:w="975" w:type="dxa"/>
                  <w:gridSpan w:val="2"/>
                  <w:noWrap w:val="0"/>
                  <w:vAlign w:val="center"/>
                </w:tcPr>
                <w:p w14:paraId="25608E76">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0.159 </w:t>
                  </w:r>
                </w:p>
              </w:tc>
              <w:tc>
                <w:tcPr>
                  <w:tcW w:w="409" w:type="pct"/>
                  <w:vMerge w:val="continue"/>
                  <w:noWrap w:val="0"/>
                  <w:vAlign w:val="center"/>
                </w:tcPr>
                <w:p w14:paraId="43BE647B">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55E154C9">
              <w:trPr>
                <w:trHeight w:val="283" w:hRule="atLeast"/>
                <w:jc w:val="center"/>
              </w:trPr>
              <w:tc>
                <w:tcPr>
                  <w:tcW w:w="407" w:type="pct"/>
                  <w:vMerge w:val="continue"/>
                  <w:noWrap w:val="0"/>
                  <w:vAlign w:val="center"/>
                </w:tcPr>
                <w:p w14:paraId="2986AAE9">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4" w:type="pct"/>
                  <w:noWrap w:val="0"/>
                  <w:vAlign w:val="center"/>
                </w:tcPr>
                <w:p w14:paraId="475DAD48">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TN</w:t>
                  </w:r>
                </w:p>
              </w:tc>
              <w:tc>
                <w:tcPr>
                  <w:tcW w:w="898" w:type="dxa"/>
                  <w:noWrap w:val="0"/>
                  <w:vAlign w:val="center"/>
                </w:tcPr>
                <w:p w14:paraId="1B4FE766">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40.3 </w:t>
                  </w:r>
                </w:p>
              </w:tc>
              <w:tc>
                <w:tcPr>
                  <w:tcW w:w="1119" w:type="dxa"/>
                  <w:gridSpan w:val="3"/>
                  <w:noWrap w:val="0"/>
                  <w:vAlign w:val="center"/>
                </w:tcPr>
                <w:p w14:paraId="42A9F83B">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2.247 </w:t>
                  </w:r>
                </w:p>
              </w:tc>
              <w:tc>
                <w:tcPr>
                  <w:tcW w:w="497" w:type="pct"/>
                  <w:vMerge w:val="continue"/>
                  <w:noWrap w:val="0"/>
                  <w:vAlign w:val="center"/>
                </w:tcPr>
                <w:p w14:paraId="2262D837">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67" w:type="pct"/>
                  <w:noWrap w:val="0"/>
                  <w:vAlign w:val="center"/>
                </w:tcPr>
                <w:p w14:paraId="35D6174E">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TN</w:t>
                  </w:r>
                </w:p>
              </w:tc>
              <w:tc>
                <w:tcPr>
                  <w:tcW w:w="717" w:type="dxa"/>
                  <w:noWrap w:val="0"/>
                  <w:vAlign w:val="center"/>
                </w:tcPr>
                <w:p w14:paraId="2F229D67">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16.1 </w:t>
                  </w:r>
                </w:p>
              </w:tc>
              <w:tc>
                <w:tcPr>
                  <w:tcW w:w="975" w:type="dxa"/>
                  <w:gridSpan w:val="2"/>
                  <w:noWrap w:val="0"/>
                  <w:vAlign w:val="center"/>
                </w:tcPr>
                <w:p w14:paraId="3552E5F9">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0.899 </w:t>
                  </w:r>
                </w:p>
              </w:tc>
              <w:tc>
                <w:tcPr>
                  <w:tcW w:w="409" w:type="pct"/>
                  <w:vMerge w:val="continue"/>
                  <w:noWrap w:val="0"/>
                  <w:vAlign w:val="center"/>
                </w:tcPr>
                <w:p w14:paraId="102E2E6C">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548B55BA">
              <w:trPr>
                <w:trHeight w:val="283" w:hRule="atLeast"/>
                <w:jc w:val="center"/>
              </w:trPr>
              <w:tc>
                <w:tcPr>
                  <w:tcW w:w="407" w:type="pct"/>
                  <w:vMerge w:val="continue"/>
                  <w:noWrap w:val="0"/>
                  <w:vAlign w:val="center"/>
                </w:tcPr>
                <w:p w14:paraId="4509BC70">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4" w:type="pct"/>
                  <w:noWrap w:val="0"/>
                  <w:vAlign w:val="center"/>
                </w:tcPr>
                <w:p w14:paraId="2B1EBA4F">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TP</w:t>
                  </w:r>
                </w:p>
              </w:tc>
              <w:tc>
                <w:tcPr>
                  <w:tcW w:w="898" w:type="dxa"/>
                  <w:noWrap w:val="0"/>
                  <w:vAlign w:val="center"/>
                </w:tcPr>
                <w:p w14:paraId="0AF7A147">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3.4 </w:t>
                  </w:r>
                </w:p>
              </w:tc>
              <w:tc>
                <w:tcPr>
                  <w:tcW w:w="1119" w:type="dxa"/>
                  <w:gridSpan w:val="3"/>
                  <w:noWrap w:val="0"/>
                  <w:vAlign w:val="center"/>
                </w:tcPr>
                <w:p w14:paraId="137835B5">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0.190 </w:t>
                  </w:r>
                </w:p>
              </w:tc>
              <w:tc>
                <w:tcPr>
                  <w:tcW w:w="497" w:type="pct"/>
                  <w:vMerge w:val="continue"/>
                  <w:noWrap w:val="0"/>
                  <w:vAlign w:val="center"/>
                </w:tcPr>
                <w:p w14:paraId="5928BFB5">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67" w:type="pct"/>
                  <w:noWrap w:val="0"/>
                  <w:vAlign w:val="center"/>
                </w:tcPr>
                <w:p w14:paraId="75572D73">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TP</w:t>
                  </w:r>
                </w:p>
              </w:tc>
              <w:tc>
                <w:tcPr>
                  <w:tcW w:w="717" w:type="dxa"/>
                  <w:noWrap w:val="0"/>
                  <w:vAlign w:val="center"/>
                </w:tcPr>
                <w:p w14:paraId="14AECE4F">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1.4 </w:t>
                  </w:r>
                </w:p>
              </w:tc>
              <w:tc>
                <w:tcPr>
                  <w:tcW w:w="975" w:type="dxa"/>
                  <w:gridSpan w:val="2"/>
                  <w:noWrap w:val="0"/>
                  <w:vAlign w:val="center"/>
                </w:tcPr>
                <w:p w14:paraId="00D252B2">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0.076 </w:t>
                  </w:r>
                </w:p>
              </w:tc>
              <w:tc>
                <w:tcPr>
                  <w:tcW w:w="409" w:type="pct"/>
                  <w:vMerge w:val="continue"/>
                  <w:noWrap w:val="0"/>
                  <w:vAlign w:val="center"/>
                </w:tcPr>
                <w:p w14:paraId="4DD839AC">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4EA25643">
              <w:trPr>
                <w:trHeight w:val="283" w:hRule="atLeast"/>
                <w:jc w:val="center"/>
              </w:trPr>
              <w:tc>
                <w:tcPr>
                  <w:tcW w:w="407" w:type="pct"/>
                  <w:vMerge w:val="restart"/>
                  <w:noWrap w:val="0"/>
                  <w:vAlign w:val="center"/>
                </w:tcPr>
                <w:p w14:paraId="5A0B73F1">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纯水制备废水</w:t>
                  </w:r>
                </w:p>
              </w:tc>
              <w:tc>
                <w:tcPr>
                  <w:tcW w:w="684" w:type="pct"/>
                  <w:noWrap w:val="0"/>
                  <w:vAlign w:val="center"/>
                </w:tcPr>
                <w:p w14:paraId="3E9FA462">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废水量</w:t>
                  </w:r>
                </w:p>
              </w:tc>
              <w:tc>
                <w:tcPr>
                  <w:tcW w:w="1269" w:type="pct"/>
                  <w:gridSpan w:val="4"/>
                  <w:noWrap w:val="0"/>
                  <w:vAlign w:val="center"/>
                </w:tcPr>
                <w:p w14:paraId="79D8D01A">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42456</w:t>
                  </w:r>
                </w:p>
              </w:tc>
              <w:tc>
                <w:tcPr>
                  <w:tcW w:w="497" w:type="pct"/>
                  <w:vMerge w:val="restart"/>
                  <w:noWrap w:val="0"/>
                  <w:vAlign w:val="center"/>
                </w:tcPr>
                <w:p w14:paraId="49963F4C">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67" w:type="pct"/>
                  <w:noWrap w:val="0"/>
                  <w:vAlign w:val="center"/>
                </w:tcPr>
                <w:p w14:paraId="02703027">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废水量</w:t>
                  </w:r>
                </w:p>
              </w:tc>
              <w:tc>
                <w:tcPr>
                  <w:tcW w:w="1065" w:type="pct"/>
                  <w:gridSpan w:val="3"/>
                  <w:noWrap w:val="0"/>
                  <w:vAlign w:val="center"/>
                </w:tcPr>
                <w:p w14:paraId="09A333D4">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42456</w:t>
                  </w:r>
                </w:p>
              </w:tc>
              <w:tc>
                <w:tcPr>
                  <w:tcW w:w="409" w:type="pct"/>
                  <w:vMerge w:val="continue"/>
                  <w:noWrap w:val="0"/>
                  <w:vAlign w:val="center"/>
                </w:tcPr>
                <w:p w14:paraId="04BB29A3">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25CF350D">
              <w:trPr>
                <w:trHeight w:val="283" w:hRule="atLeast"/>
                <w:jc w:val="center"/>
              </w:trPr>
              <w:tc>
                <w:tcPr>
                  <w:tcW w:w="407" w:type="pct"/>
                  <w:vMerge w:val="continue"/>
                  <w:noWrap w:val="0"/>
                  <w:vAlign w:val="center"/>
                </w:tcPr>
                <w:p w14:paraId="1A95F276">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4" w:type="pct"/>
                  <w:noWrap w:val="0"/>
                  <w:vAlign w:val="center"/>
                </w:tcPr>
                <w:p w14:paraId="421020E2">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565" w:type="pct"/>
                  <w:noWrap w:val="0"/>
                  <w:vAlign w:val="center"/>
                </w:tcPr>
                <w:p w14:paraId="5973F333">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15</w:t>
                  </w:r>
                </w:p>
              </w:tc>
              <w:tc>
                <w:tcPr>
                  <w:tcW w:w="1119" w:type="dxa"/>
                  <w:gridSpan w:val="3"/>
                  <w:noWrap w:val="0"/>
                  <w:vAlign w:val="center"/>
                </w:tcPr>
                <w:p w14:paraId="252CB54B">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0.637 </w:t>
                  </w:r>
                </w:p>
              </w:tc>
              <w:tc>
                <w:tcPr>
                  <w:tcW w:w="497" w:type="pct"/>
                  <w:vMerge w:val="continue"/>
                  <w:noWrap w:val="0"/>
                  <w:vAlign w:val="center"/>
                </w:tcPr>
                <w:p w14:paraId="4073C3D7">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67" w:type="pct"/>
                  <w:noWrap w:val="0"/>
                  <w:vAlign w:val="center"/>
                </w:tcPr>
                <w:p w14:paraId="60A48D23">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451" w:type="pct"/>
                  <w:noWrap w:val="0"/>
                  <w:vAlign w:val="center"/>
                </w:tcPr>
                <w:p w14:paraId="36E811E0">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15</w:t>
                  </w:r>
                </w:p>
              </w:tc>
              <w:tc>
                <w:tcPr>
                  <w:tcW w:w="975" w:type="dxa"/>
                  <w:gridSpan w:val="2"/>
                  <w:noWrap w:val="0"/>
                  <w:vAlign w:val="center"/>
                </w:tcPr>
                <w:p w14:paraId="0D8636D0">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0.637 </w:t>
                  </w:r>
                </w:p>
              </w:tc>
              <w:tc>
                <w:tcPr>
                  <w:tcW w:w="409" w:type="pct"/>
                  <w:vMerge w:val="continue"/>
                  <w:noWrap w:val="0"/>
                  <w:vAlign w:val="center"/>
                </w:tcPr>
                <w:p w14:paraId="07012248">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45F77096">
              <w:trPr>
                <w:trHeight w:val="283" w:hRule="atLeast"/>
                <w:jc w:val="center"/>
              </w:trPr>
              <w:tc>
                <w:tcPr>
                  <w:tcW w:w="407" w:type="pct"/>
                  <w:vMerge w:val="continue"/>
                  <w:noWrap w:val="0"/>
                  <w:vAlign w:val="center"/>
                </w:tcPr>
                <w:p w14:paraId="534C1B78">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4" w:type="pct"/>
                  <w:noWrap w:val="0"/>
                  <w:vAlign w:val="center"/>
                </w:tcPr>
                <w:p w14:paraId="3247EA0E">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SS</w:t>
                  </w:r>
                </w:p>
              </w:tc>
              <w:tc>
                <w:tcPr>
                  <w:tcW w:w="565" w:type="pct"/>
                  <w:noWrap w:val="0"/>
                  <w:vAlign w:val="center"/>
                </w:tcPr>
                <w:p w14:paraId="4D9EA01D">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119" w:type="dxa"/>
                  <w:gridSpan w:val="3"/>
                  <w:noWrap w:val="0"/>
                  <w:vAlign w:val="center"/>
                </w:tcPr>
                <w:p w14:paraId="422FDCA1">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0.849 </w:t>
                  </w:r>
                </w:p>
              </w:tc>
              <w:tc>
                <w:tcPr>
                  <w:tcW w:w="497" w:type="pct"/>
                  <w:vMerge w:val="continue"/>
                  <w:noWrap w:val="0"/>
                  <w:vAlign w:val="center"/>
                </w:tcPr>
                <w:p w14:paraId="4C2087FA">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67" w:type="pct"/>
                  <w:noWrap w:val="0"/>
                  <w:vAlign w:val="center"/>
                </w:tcPr>
                <w:p w14:paraId="12A9FD18">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SS</w:t>
                  </w:r>
                </w:p>
              </w:tc>
              <w:tc>
                <w:tcPr>
                  <w:tcW w:w="451" w:type="pct"/>
                  <w:noWrap w:val="0"/>
                  <w:vAlign w:val="center"/>
                </w:tcPr>
                <w:p w14:paraId="3AB93ECE">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20</w:t>
                  </w:r>
                </w:p>
              </w:tc>
              <w:tc>
                <w:tcPr>
                  <w:tcW w:w="975" w:type="dxa"/>
                  <w:gridSpan w:val="2"/>
                  <w:noWrap w:val="0"/>
                  <w:vAlign w:val="center"/>
                </w:tcPr>
                <w:p w14:paraId="214E56BA">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0.849 </w:t>
                  </w:r>
                </w:p>
              </w:tc>
              <w:tc>
                <w:tcPr>
                  <w:tcW w:w="409" w:type="pct"/>
                  <w:vMerge w:val="continue"/>
                  <w:noWrap w:val="0"/>
                  <w:vAlign w:val="center"/>
                </w:tcPr>
                <w:p w14:paraId="7EDD92E2">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2E55F7CF">
              <w:trPr>
                <w:trHeight w:val="283" w:hRule="atLeast"/>
                <w:jc w:val="center"/>
              </w:trPr>
              <w:tc>
                <w:tcPr>
                  <w:tcW w:w="407" w:type="pct"/>
                  <w:vMerge w:val="restart"/>
                  <w:noWrap w:val="0"/>
                  <w:vAlign w:val="center"/>
                </w:tcPr>
                <w:p w14:paraId="7BB9FE16">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综合废水</w:t>
                  </w:r>
                </w:p>
              </w:tc>
              <w:tc>
                <w:tcPr>
                  <w:tcW w:w="684" w:type="pct"/>
                  <w:noWrap w:val="0"/>
                  <w:vAlign w:val="center"/>
                </w:tcPr>
                <w:p w14:paraId="41D592D7">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废水量</w:t>
                  </w:r>
                </w:p>
              </w:tc>
              <w:tc>
                <w:tcPr>
                  <w:tcW w:w="1269" w:type="pct"/>
                  <w:gridSpan w:val="4"/>
                  <w:noWrap w:val="0"/>
                  <w:vAlign w:val="center"/>
                </w:tcPr>
                <w:p w14:paraId="456790E5">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99480</w:t>
                  </w:r>
                </w:p>
              </w:tc>
              <w:tc>
                <w:tcPr>
                  <w:tcW w:w="497" w:type="pct"/>
                  <w:vMerge w:val="restart"/>
                  <w:noWrap w:val="0"/>
                  <w:vAlign w:val="center"/>
                </w:tcPr>
                <w:p w14:paraId="65E13D29">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67" w:type="pct"/>
                  <w:noWrap w:val="0"/>
                  <w:vAlign w:val="center"/>
                </w:tcPr>
                <w:p w14:paraId="580B81AC">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废水量</w:t>
                  </w:r>
                </w:p>
              </w:tc>
              <w:tc>
                <w:tcPr>
                  <w:tcW w:w="1065" w:type="pct"/>
                  <w:gridSpan w:val="3"/>
                  <w:noWrap w:val="0"/>
                  <w:vAlign w:val="center"/>
                </w:tcPr>
                <w:p w14:paraId="271D55EB">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99480</w:t>
                  </w:r>
                </w:p>
              </w:tc>
              <w:tc>
                <w:tcPr>
                  <w:tcW w:w="409" w:type="pct"/>
                  <w:vMerge w:val="continue"/>
                  <w:noWrap w:val="0"/>
                  <w:vAlign w:val="center"/>
                </w:tcPr>
                <w:p w14:paraId="36BCD33C">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2473680E">
              <w:trPr>
                <w:trHeight w:val="283" w:hRule="atLeast"/>
                <w:jc w:val="center"/>
              </w:trPr>
              <w:tc>
                <w:tcPr>
                  <w:tcW w:w="407" w:type="pct"/>
                  <w:vMerge w:val="continue"/>
                  <w:noWrap w:val="0"/>
                  <w:vAlign w:val="center"/>
                </w:tcPr>
                <w:p w14:paraId="72727148">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4" w:type="pct"/>
                  <w:noWrap w:val="0"/>
                  <w:vAlign w:val="center"/>
                </w:tcPr>
                <w:p w14:paraId="387F473A">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898" w:type="dxa"/>
                  <w:noWrap w:val="0"/>
                  <w:vAlign w:val="center"/>
                </w:tcPr>
                <w:p w14:paraId="59F64D59">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i w:val="0"/>
                      <w:iCs w:val="0"/>
                      <w:color w:val="auto"/>
                      <w:kern w:val="0"/>
                      <w:sz w:val="21"/>
                      <w:szCs w:val="21"/>
                      <w:u w:val="none"/>
                      <w:lang w:val="en-US" w:eastAsia="zh-CN" w:bidi="ar"/>
                    </w:rPr>
                    <w:t>413.0</w:t>
                  </w:r>
                </w:p>
              </w:tc>
              <w:tc>
                <w:tcPr>
                  <w:tcW w:w="1119" w:type="dxa"/>
                  <w:gridSpan w:val="3"/>
                  <w:noWrap w:val="0"/>
                  <w:vAlign w:val="center"/>
                </w:tcPr>
                <w:p w14:paraId="1CA5634F">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i w:val="0"/>
                      <w:iCs w:val="0"/>
                      <w:color w:val="auto"/>
                      <w:kern w:val="0"/>
                      <w:sz w:val="21"/>
                      <w:szCs w:val="21"/>
                      <w:u w:val="none"/>
                      <w:lang w:val="en-US" w:eastAsia="zh-CN" w:bidi="ar"/>
                    </w:rPr>
                    <w:t>41.089</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497" w:type="pct"/>
                  <w:vMerge w:val="continue"/>
                  <w:noWrap w:val="0"/>
                  <w:vAlign w:val="center"/>
                </w:tcPr>
                <w:p w14:paraId="164C6A68">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67" w:type="pct"/>
                  <w:noWrap w:val="0"/>
                  <w:vAlign w:val="center"/>
                </w:tcPr>
                <w:p w14:paraId="5E725679">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717" w:type="dxa"/>
                  <w:noWrap w:val="0"/>
                  <w:vAlign w:val="center"/>
                </w:tcPr>
                <w:p w14:paraId="36288D1F">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i w:val="0"/>
                      <w:iCs w:val="0"/>
                      <w:color w:val="auto"/>
                      <w:kern w:val="0"/>
                      <w:sz w:val="21"/>
                      <w:szCs w:val="21"/>
                      <w:u w:val="none"/>
                      <w:lang w:val="en-US" w:eastAsia="zh-CN" w:bidi="ar"/>
                    </w:rPr>
                    <w:t>130.2</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975" w:type="dxa"/>
                  <w:gridSpan w:val="2"/>
                  <w:noWrap w:val="0"/>
                  <w:vAlign w:val="center"/>
                </w:tcPr>
                <w:p w14:paraId="42ECB41C">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i w:val="0"/>
                      <w:iCs w:val="0"/>
                      <w:color w:val="auto"/>
                      <w:kern w:val="0"/>
                      <w:sz w:val="21"/>
                      <w:szCs w:val="21"/>
                      <w:u w:val="none"/>
                      <w:lang w:val="en-US" w:eastAsia="zh-CN" w:bidi="ar"/>
                    </w:rPr>
                    <w:t>12.954</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409" w:type="pct"/>
                  <w:vMerge w:val="continue"/>
                  <w:noWrap w:val="0"/>
                  <w:vAlign w:val="center"/>
                </w:tcPr>
                <w:p w14:paraId="63316499">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21F51F7B">
              <w:trPr>
                <w:trHeight w:val="283" w:hRule="atLeast"/>
                <w:jc w:val="center"/>
              </w:trPr>
              <w:tc>
                <w:tcPr>
                  <w:tcW w:w="407" w:type="pct"/>
                  <w:vMerge w:val="continue"/>
                  <w:noWrap w:val="0"/>
                  <w:vAlign w:val="center"/>
                </w:tcPr>
                <w:p w14:paraId="6E863992">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4" w:type="pct"/>
                  <w:noWrap w:val="0"/>
                  <w:vAlign w:val="center"/>
                </w:tcPr>
                <w:p w14:paraId="7005DA71">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898" w:type="dxa"/>
                  <w:noWrap w:val="0"/>
                  <w:vAlign w:val="center"/>
                </w:tcPr>
                <w:p w14:paraId="5D5C473F">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169.2 </w:t>
                  </w:r>
                </w:p>
              </w:tc>
              <w:tc>
                <w:tcPr>
                  <w:tcW w:w="1119" w:type="dxa"/>
                  <w:gridSpan w:val="3"/>
                  <w:noWrap w:val="0"/>
                  <w:vAlign w:val="center"/>
                </w:tcPr>
                <w:p w14:paraId="25CA6F45">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16.837 </w:t>
                  </w:r>
                </w:p>
              </w:tc>
              <w:tc>
                <w:tcPr>
                  <w:tcW w:w="497" w:type="pct"/>
                  <w:vMerge w:val="continue"/>
                  <w:noWrap w:val="0"/>
                  <w:vAlign w:val="center"/>
                </w:tcPr>
                <w:p w14:paraId="65AA86F7">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67" w:type="pct"/>
                  <w:noWrap w:val="0"/>
                  <w:vAlign w:val="center"/>
                </w:tcPr>
                <w:p w14:paraId="63DE5F9C">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717" w:type="dxa"/>
                  <w:noWrap w:val="0"/>
                  <w:vAlign w:val="center"/>
                </w:tcPr>
                <w:p w14:paraId="2045BA97">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52.1 </w:t>
                  </w:r>
                </w:p>
              </w:tc>
              <w:tc>
                <w:tcPr>
                  <w:tcW w:w="975" w:type="dxa"/>
                  <w:gridSpan w:val="2"/>
                  <w:noWrap w:val="0"/>
                  <w:vAlign w:val="center"/>
                </w:tcPr>
                <w:p w14:paraId="4D9BD167">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5.183 </w:t>
                  </w:r>
                </w:p>
              </w:tc>
              <w:tc>
                <w:tcPr>
                  <w:tcW w:w="409" w:type="pct"/>
                  <w:vMerge w:val="continue"/>
                  <w:noWrap w:val="0"/>
                  <w:vAlign w:val="center"/>
                </w:tcPr>
                <w:p w14:paraId="535B9CA9">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09341260">
              <w:trPr>
                <w:trHeight w:val="283" w:hRule="atLeast"/>
                <w:jc w:val="center"/>
              </w:trPr>
              <w:tc>
                <w:tcPr>
                  <w:tcW w:w="407" w:type="pct"/>
                  <w:vMerge w:val="continue"/>
                  <w:noWrap w:val="0"/>
                  <w:vAlign w:val="center"/>
                </w:tcPr>
                <w:p w14:paraId="228546C9">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4" w:type="pct"/>
                  <w:noWrap w:val="0"/>
                  <w:vAlign w:val="center"/>
                </w:tcPr>
                <w:p w14:paraId="1F1840FE">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w:t>
                  </w:r>
                </w:p>
              </w:tc>
              <w:tc>
                <w:tcPr>
                  <w:tcW w:w="898" w:type="dxa"/>
                  <w:noWrap w:val="0"/>
                  <w:vAlign w:val="center"/>
                </w:tcPr>
                <w:p w14:paraId="4060937D">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144.0 </w:t>
                  </w:r>
                </w:p>
              </w:tc>
              <w:tc>
                <w:tcPr>
                  <w:tcW w:w="1119" w:type="dxa"/>
                  <w:gridSpan w:val="3"/>
                  <w:noWrap w:val="0"/>
                  <w:vAlign w:val="center"/>
                </w:tcPr>
                <w:p w14:paraId="72E18DC4">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14.328 </w:t>
                  </w:r>
                </w:p>
              </w:tc>
              <w:tc>
                <w:tcPr>
                  <w:tcW w:w="497" w:type="pct"/>
                  <w:vMerge w:val="continue"/>
                  <w:noWrap w:val="0"/>
                  <w:vAlign w:val="center"/>
                </w:tcPr>
                <w:p w14:paraId="55407E3C">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67" w:type="pct"/>
                  <w:noWrap w:val="0"/>
                  <w:vAlign w:val="center"/>
                </w:tcPr>
                <w:p w14:paraId="1560BE94">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w:t>
                  </w:r>
                </w:p>
              </w:tc>
              <w:tc>
                <w:tcPr>
                  <w:tcW w:w="717" w:type="dxa"/>
                  <w:noWrap w:val="0"/>
                  <w:vAlign w:val="center"/>
                </w:tcPr>
                <w:p w14:paraId="1D5DF5C6">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50.5 </w:t>
                  </w:r>
                </w:p>
              </w:tc>
              <w:tc>
                <w:tcPr>
                  <w:tcW w:w="975" w:type="dxa"/>
                  <w:gridSpan w:val="2"/>
                  <w:noWrap w:val="0"/>
                  <w:vAlign w:val="center"/>
                </w:tcPr>
                <w:p w14:paraId="02BA00C0">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5.021 </w:t>
                  </w:r>
                </w:p>
              </w:tc>
              <w:tc>
                <w:tcPr>
                  <w:tcW w:w="409" w:type="pct"/>
                  <w:vMerge w:val="continue"/>
                  <w:noWrap w:val="0"/>
                  <w:vAlign w:val="center"/>
                </w:tcPr>
                <w:p w14:paraId="41573373">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13C9BF6D">
              <w:trPr>
                <w:trHeight w:val="283" w:hRule="atLeast"/>
                <w:jc w:val="center"/>
              </w:trPr>
              <w:tc>
                <w:tcPr>
                  <w:tcW w:w="407" w:type="pct"/>
                  <w:vMerge w:val="continue"/>
                  <w:noWrap w:val="0"/>
                  <w:vAlign w:val="center"/>
                </w:tcPr>
                <w:p w14:paraId="78B4E626">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4" w:type="pct"/>
                  <w:noWrap w:val="0"/>
                  <w:vAlign w:val="center"/>
                </w:tcPr>
                <w:p w14:paraId="6D6627FB">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898" w:type="dxa"/>
                  <w:noWrap w:val="0"/>
                  <w:vAlign w:val="center"/>
                </w:tcPr>
                <w:p w14:paraId="1669FD1E">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8.4 </w:t>
                  </w:r>
                </w:p>
              </w:tc>
              <w:tc>
                <w:tcPr>
                  <w:tcW w:w="1119" w:type="dxa"/>
                  <w:gridSpan w:val="3"/>
                  <w:noWrap w:val="0"/>
                  <w:vAlign w:val="center"/>
                </w:tcPr>
                <w:p w14:paraId="4E9323D9">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0.833 </w:t>
                  </w:r>
                </w:p>
              </w:tc>
              <w:tc>
                <w:tcPr>
                  <w:tcW w:w="497" w:type="pct"/>
                  <w:vMerge w:val="continue"/>
                  <w:noWrap w:val="0"/>
                  <w:vAlign w:val="center"/>
                </w:tcPr>
                <w:p w14:paraId="2067CF6B">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67" w:type="pct"/>
                  <w:noWrap w:val="0"/>
                  <w:vAlign w:val="center"/>
                </w:tcPr>
                <w:p w14:paraId="781741FF">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717" w:type="dxa"/>
                  <w:noWrap w:val="0"/>
                  <w:vAlign w:val="center"/>
                </w:tcPr>
                <w:p w14:paraId="2E1BE6DC">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1.9 </w:t>
                  </w:r>
                </w:p>
              </w:tc>
              <w:tc>
                <w:tcPr>
                  <w:tcW w:w="975" w:type="dxa"/>
                  <w:gridSpan w:val="2"/>
                  <w:noWrap w:val="0"/>
                  <w:vAlign w:val="center"/>
                </w:tcPr>
                <w:p w14:paraId="5A3A492E">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0.192 </w:t>
                  </w:r>
                </w:p>
              </w:tc>
              <w:tc>
                <w:tcPr>
                  <w:tcW w:w="409" w:type="pct"/>
                  <w:vMerge w:val="continue"/>
                  <w:noWrap w:val="0"/>
                  <w:vAlign w:val="center"/>
                </w:tcPr>
                <w:p w14:paraId="4F978FC7">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194D2294">
              <w:trPr>
                <w:trHeight w:val="283" w:hRule="atLeast"/>
                <w:jc w:val="center"/>
              </w:trPr>
              <w:tc>
                <w:tcPr>
                  <w:tcW w:w="407" w:type="pct"/>
                  <w:vMerge w:val="continue"/>
                  <w:noWrap w:val="0"/>
                  <w:vAlign w:val="center"/>
                </w:tcPr>
                <w:p w14:paraId="0858A2BF">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4" w:type="pct"/>
                  <w:noWrap w:val="0"/>
                  <w:vAlign w:val="center"/>
                </w:tcPr>
                <w:p w14:paraId="08BD8053">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TN</w:t>
                  </w:r>
                </w:p>
              </w:tc>
              <w:tc>
                <w:tcPr>
                  <w:tcW w:w="898" w:type="dxa"/>
                  <w:noWrap w:val="0"/>
                  <w:vAlign w:val="center"/>
                </w:tcPr>
                <w:p w14:paraId="5B096901">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23.2 </w:t>
                  </w:r>
                </w:p>
              </w:tc>
              <w:tc>
                <w:tcPr>
                  <w:tcW w:w="1119" w:type="dxa"/>
                  <w:gridSpan w:val="3"/>
                  <w:noWrap w:val="0"/>
                  <w:vAlign w:val="center"/>
                </w:tcPr>
                <w:p w14:paraId="06850A89">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2.303 </w:t>
                  </w:r>
                </w:p>
              </w:tc>
              <w:tc>
                <w:tcPr>
                  <w:tcW w:w="497" w:type="pct"/>
                  <w:vMerge w:val="continue"/>
                  <w:noWrap w:val="0"/>
                  <w:vAlign w:val="center"/>
                </w:tcPr>
                <w:p w14:paraId="06DB07D8">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67" w:type="pct"/>
                  <w:noWrap w:val="0"/>
                  <w:vAlign w:val="center"/>
                </w:tcPr>
                <w:p w14:paraId="540D7D67">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TN</w:t>
                  </w:r>
                </w:p>
              </w:tc>
              <w:tc>
                <w:tcPr>
                  <w:tcW w:w="717" w:type="dxa"/>
                  <w:noWrap w:val="0"/>
                  <w:vAlign w:val="center"/>
                </w:tcPr>
                <w:p w14:paraId="06293951">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9.5 </w:t>
                  </w:r>
                </w:p>
              </w:tc>
              <w:tc>
                <w:tcPr>
                  <w:tcW w:w="975" w:type="dxa"/>
                  <w:gridSpan w:val="2"/>
                  <w:noWrap w:val="0"/>
                  <w:vAlign w:val="center"/>
                </w:tcPr>
                <w:p w14:paraId="2C04E61F">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0.945 </w:t>
                  </w:r>
                </w:p>
              </w:tc>
              <w:tc>
                <w:tcPr>
                  <w:tcW w:w="409" w:type="pct"/>
                  <w:vMerge w:val="continue"/>
                  <w:noWrap w:val="0"/>
                  <w:vAlign w:val="center"/>
                </w:tcPr>
                <w:p w14:paraId="5CFB7DBF">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3A98255F">
              <w:trPr>
                <w:trHeight w:val="283" w:hRule="atLeast"/>
                <w:jc w:val="center"/>
              </w:trPr>
              <w:tc>
                <w:tcPr>
                  <w:tcW w:w="407" w:type="pct"/>
                  <w:vMerge w:val="continue"/>
                  <w:noWrap w:val="0"/>
                  <w:vAlign w:val="center"/>
                </w:tcPr>
                <w:p w14:paraId="6DFE81C4">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4" w:type="pct"/>
                  <w:noWrap w:val="0"/>
                  <w:vAlign w:val="center"/>
                </w:tcPr>
                <w:p w14:paraId="5BA1B9B3">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TP</w:t>
                  </w:r>
                </w:p>
              </w:tc>
              <w:tc>
                <w:tcPr>
                  <w:tcW w:w="898" w:type="dxa"/>
                  <w:noWrap w:val="0"/>
                  <w:vAlign w:val="center"/>
                </w:tcPr>
                <w:p w14:paraId="2EBC52D0">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2.0 </w:t>
                  </w:r>
                </w:p>
              </w:tc>
              <w:tc>
                <w:tcPr>
                  <w:tcW w:w="1119" w:type="dxa"/>
                  <w:gridSpan w:val="3"/>
                  <w:noWrap w:val="0"/>
                  <w:vAlign w:val="center"/>
                </w:tcPr>
                <w:p w14:paraId="0BD3C627">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0.196 </w:t>
                  </w:r>
                </w:p>
              </w:tc>
              <w:tc>
                <w:tcPr>
                  <w:tcW w:w="497" w:type="pct"/>
                  <w:vMerge w:val="continue"/>
                  <w:noWrap w:val="0"/>
                  <w:vAlign w:val="center"/>
                </w:tcPr>
                <w:p w14:paraId="37F2AA2C">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67" w:type="pct"/>
                  <w:noWrap w:val="0"/>
                  <w:vAlign w:val="center"/>
                </w:tcPr>
                <w:p w14:paraId="5B4D03D6">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TP</w:t>
                  </w:r>
                </w:p>
              </w:tc>
              <w:tc>
                <w:tcPr>
                  <w:tcW w:w="717" w:type="dxa"/>
                  <w:noWrap w:val="0"/>
                  <w:vAlign w:val="center"/>
                </w:tcPr>
                <w:p w14:paraId="2E2D0215">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0.8 </w:t>
                  </w:r>
                </w:p>
              </w:tc>
              <w:tc>
                <w:tcPr>
                  <w:tcW w:w="975" w:type="dxa"/>
                  <w:gridSpan w:val="2"/>
                  <w:noWrap w:val="0"/>
                  <w:vAlign w:val="center"/>
                </w:tcPr>
                <w:p w14:paraId="0F6E67C3">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0.081 </w:t>
                  </w:r>
                </w:p>
              </w:tc>
              <w:tc>
                <w:tcPr>
                  <w:tcW w:w="409" w:type="pct"/>
                  <w:vMerge w:val="continue"/>
                  <w:noWrap w:val="0"/>
                  <w:vAlign w:val="center"/>
                </w:tcPr>
                <w:p w14:paraId="23BA7332">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7D41ED3F">
              <w:trPr>
                <w:trHeight w:val="283" w:hRule="atLeast"/>
                <w:jc w:val="center"/>
              </w:trPr>
              <w:tc>
                <w:tcPr>
                  <w:tcW w:w="407" w:type="pct"/>
                  <w:vMerge w:val="continue"/>
                  <w:noWrap w:val="0"/>
                  <w:vAlign w:val="center"/>
                </w:tcPr>
                <w:p w14:paraId="7962D527">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4" w:type="pct"/>
                  <w:noWrap w:val="0"/>
                  <w:vAlign w:val="center"/>
                </w:tcPr>
                <w:p w14:paraId="0E9D9CA3">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动植物油</w:t>
                  </w:r>
                </w:p>
              </w:tc>
              <w:tc>
                <w:tcPr>
                  <w:tcW w:w="898" w:type="dxa"/>
                  <w:noWrap w:val="0"/>
                  <w:vAlign w:val="center"/>
                </w:tcPr>
                <w:p w14:paraId="4F6C7979">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1.0 </w:t>
                  </w:r>
                </w:p>
              </w:tc>
              <w:tc>
                <w:tcPr>
                  <w:tcW w:w="1119" w:type="dxa"/>
                  <w:gridSpan w:val="3"/>
                  <w:noWrap w:val="0"/>
                  <w:vAlign w:val="center"/>
                </w:tcPr>
                <w:p w14:paraId="22828F1E">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0.099 </w:t>
                  </w:r>
                </w:p>
              </w:tc>
              <w:tc>
                <w:tcPr>
                  <w:tcW w:w="497" w:type="pct"/>
                  <w:vMerge w:val="continue"/>
                  <w:noWrap w:val="0"/>
                  <w:vAlign w:val="center"/>
                </w:tcPr>
                <w:p w14:paraId="22FD5450">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67" w:type="pct"/>
                  <w:noWrap w:val="0"/>
                  <w:vAlign w:val="center"/>
                </w:tcPr>
                <w:p w14:paraId="0CE54886">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动植物油</w:t>
                  </w:r>
                </w:p>
              </w:tc>
              <w:tc>
                <w:tcPr>
                  <w:tcW w:w="717" w:type="dxa"/>
                  <w:noWrap w:val="0"/>
                  <w:vAlign w:val="center"/>
                </w:tcPr>
                <w:p w14:paraId="4691EFC3">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0.2 </w:t>
                  </w:r>
                </w:p>
              </w:tc>
              <w:tc>
                <w:tcPr>
                  <w:tcW w:w="975" w:type="dxa"/>
                  <w:gridSpan w:val="2"/>
                  <w:noWrap w:val="0"/>
                  <w:vAlign w:val="center"/>
                </w:tcPr>
                <w:p w14:paraId="148E9C2E">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0.020 </w:t>
                  </w:r>
                </w:p>
              </w:tc>
              <w:tc>
                <w:tcPr>
                  <w:tcW w:w="409" w:type="pct"/>
                  <w:vMerge w:val="continue"/>
                  <w:noWrap w:val="0"/>
                  <w:vAlign w:val="center"/>
                </w:tcPr>
                <w:p w14:paraId="3409D67B">
                  <w:pPr>
                    <w:pStyle w:val="1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bl>
          <w:p w14:paraId="104F1A19">
            <w:pPr>
              <w:pStyle w:val="16"/>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b w:val="0"/>
                <w:bCs w:val="0"/>
                <w:color w:val="auto"/>
              </w:rPr>
            </w:pPr>
            <w:r>
              <w:rPr>
                <w:rFonts w:hint="eastAsia"/>
                <w:b w:val="0"/>
                <w:bCs w:val="0"/>
                <w:color w:val="auto"/>
                <w:lang w:eastAsia="zh-CN"/>
              </w:rPr>
              <w:t>2.</w:t>
            </w:r>
            <w:r>
              <w:rPr>
                <w:rFonts w:hint="eastAsia"/>
                <w:b w:val="0"/>
                <w:bCs w:val="0"/>
                <w:color w:val="auto"/>
              </w:rPr>
              <w:t>废水污染防治技术可行性分析</w:t>
            </w:r>
          </w:p>
          <w:p w14:paraId="0258530F">
            <w:pPr>
              <w:pStyle w:val="16"/>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color w:val="auto"/>
                <w:lang w:eastAsia="zh-CN"/>
              </w:rPr>
            </w:pPr>
            <w:r>
              <w:rPr>
                <w:rFonts w:hint="eastAsia"/>
                <w:color w:val="auto"/>
                <w:lang w:val="en-US" w:eastAsia="zh-CN"/>
              </w:rPr>
              <w:t>生活污水（含食堂废水）经隔油池+化粪池处理，杀菌废水、乙酸雾吸收废水、设备清洗废水、地面清洗废水经厂区污水处理站处理，处理后生活污水（含食堂废水）、生产废水与纯水制备废水一起</w:t>
            </w:r>
            <w:r>
              <w:rPr>
                <w:color w:val="auto"/>
              </w:rPr>
              <w:t>接管至涟水经济开发区西区污水处理厂</w:t>
            </w:r>
            <w:r>
              <w:rPr>
                <w:rFonts w:hint="eastAsia"/>
                <w:color w:val="auto"/>
                <w:lang w:eastAsia="zh-CN"/>
              </w:rPr>
              <w:t>。</w:t>
            </w:r>
          </w:p>
          <w:p w14:paraId="77E67CFC">
            <w:pPr>
              <w:pStyle w:val="16"/>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color w:val="auto"/>
                <w:lang w:val="en-US" w:eastAsia="zh-CN"/>
              </w:rPr>
            </w:pPr>
            <w:r>
              <w:rPr>
                <w:rFonts w:hint="eastAsia"/>
                <w:color w:val="auto"/>
                <w:lang w:val="en-US" w:eastAsia="zh-CN"/>
              </w:rPr>
              <w:t>拟建污水</w:t>
            </w:r>
            <w:r>
              <w:rPr>
                <w:rFonts w:hint="eastAsia"/>
                <w:color w:val="auto"/>
                <w:lang w:val="en-US" w:eastAsia="zh-CN"/>
              </w:rPr>
              <w:pict>
                <v:shape id="_x0000_s2595" o:spid="_x0000_s2595" o:spt="75" type="#_x0000_t75" style="position:absolute;left:0pt;margin-left:0pt;margin-top:27.5pt;height:526.5pt;width:385.5pt;mso-wrap-distance-bottom:0pt;mso-wrap-distance-top:0pt;z-index:251660288;mso-width-relative:page;mso-height-relative:page;" o:ole="t" filled="f" o:preferrelative="t" stroked="f" coordsize="21600,21600">
                  <v:path/>
                  <v:fill on="f" focussize="0,0"/>
                  <v:stroke on="f"/>
                  <v:imagedata r:id="rId12" o:title=""/>
                  <o:lock v:ext="edit" aspectratio="f"/>
                  <w10:wrap type="topAndBottom"/>
                </v:shape>
                <o:OLEObject Type="Embed" ProgID="Visio.Drawing.15" ShapeID="_x0000_s2595" DrawAspect="Content" ObjectID="_1468075727" r:id="rId11">
                  <o:LockedField>false</o:LockedField>
                </o:OLEObject>
              </w:pict>
            </w:r>
            <w:r>
              <w:rPr>
                <w:rFonts w:hint="eastAsia"/>
                <w:color w:val="auto"/>
                <w:lang w:val="en-US" w:eastAsia="zh-CN"/>
              </w:rPr>
              <w:t>处理站具体工艺见下图：</w:t>
            </w:r>
          </w:p>
          <w:p w14:paraId="3E6E18E2">
            <w:pPr>
              <w:pStyle w:val="17"/>
              <w:rPr>
                <w:rFonts w:hint="eastAsia"/>
                <w:color w:val="auto"/>
                <w:lang w:val="en-US" w:eastAsia="zh-CN"/>
              </w:rPr>
            </w:pPr>
          </w:p>
          <w:p w14:paraId="273C8194">
            <w:pPr>
              <w:pStyle w:val="17"/>
              <w:ind w:left="0" w:leftChars="0" w:firstLine="0" w:firstLineChars="0"/>
              <w:jc w:val="center"/>
              <w:rPr>
                <w:rFonts w:hint="eastAsia" w:ascii="Times New Roman" w:hAnsi="Times New Roman" w:eastAsia="宋体" w:cs="Times New Roman"/>
                <w:b/>
                <w:bCs/>
                <w:color w:val="auto"/>
                <w:sz w:val="21"/>
                <w:szCs w:val="16"/>
                <w:lang w:val="en-US" w:eastAsia="zh-CN"/>
              </w:rPr>
            </w:pPr>
            <w:r>
              <w:rPr>
                <w:rFonts w:hint="eastAsia" w:ascii="Times New Roman" w:hAnsi="Times New Roman" w:eastAsia="宋体" w:cs="Times New Roman"/>
                <w:b/>
                <w:bCs/>
                <w:color w:val="auto"/>
                <w:sz w:val="21"/>
                <w:szCs w:val="16"/>
                <w:lang w:val="en-US" w:eastAsia="zh-CN"/>
              </w:rPr>
              <w:t>图4-</w:t>
            </w:r>
            <w:r>
              <w:rPr>
                <w:rFonts w:hint="eastAsia" w:cs="Times New Roman"/>
                <w:b/>
                <w:bCs/>
                <w:color w:val="auto"/>
                <w:sz w:val="21"/>
                <w:szCs w:val="16"/>
                <w:lang w:val="en-US" w:eastAsia="zh-CN"/>
              </w:rPr>
              <w:t xml:space="preserve">1  </w:t>
            </w:r>
            <w:r>
              <w:rPr>
                <w:rFonts w:hint="eastAsia" w:ascii="Times New Roman" w:hAnsi="Times New Roman" w:eastAsia="宋体" w:cs="Times New Roman"/>
                <w:b/>
                <w:bCs/>
                <w:color w:val="auto"/>
                <w:sz w:val="21"/>
                <w:szCs w:val="16"/>
                <w:lang w:val="en-US" w:eastAsia="zh-CN"/>
              </w:rPr>
              <w:t>污水处理</w:t>
            </w:r>
            <w:r>
              <w:rPr>
                <w:rFonts w:hint="eastAsia" w:ascii="Times New Roman" w:hAnsi="Times New Roman" w:cs="Times New Roman"/>
                <w:b/>
                <w:bCs/>
                <w:color w:val="auto"/>
                <w:sz w:val="21"/>
                <w:szCs w:val="16"/>
                <w:lang w:val="en-US" w:eastAsia="zh-CN"/>
              </w:rPr>
              <w:t>设备</w:t>
            </w:r>
            <w:r>
              <w:rPr>
                <w:rFonts w:hint="eastAsia" w:ascii="Times New Roman" w:hAnsi="Times New Roman" w:eastAsia="宋体" w:cs="Times New Roman"/>
                <w:b/>
                <w:bCs/>
                <w:color w:val="auto"/>
                <w:sz w:val="21"/>
                <w:szCs w:val="16"/>
                <w:lang w:val="en-US" w:eastAsia="zh-CN"/>
              </w:rPr>
              <w:t>工艺流程图</w:t>
            </w:r>
          </w:p>
          <w:p w14:paraId="65BA6A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lang w:val="en-US" w:eastAsia="zh-CN"/>
              </w:rPr>
            </w:pPr>
            <w:r>
              <w:rPr>
                <w:rFonts w:hint="default"/>
                <w:color w:val="auto"/>
                <w:sz w:val="24"/>
                <w:lang w:val="en-US" w:eastAsia="zh-CN"/>
              </w:rPr>
              <w:t>根据《排污许可证申请与核发技术规范</w:t>
            </w:r>
            <w:r>
              <w:rPr>
                <w:rFonts w:hint="eastAsia"/>
                <w:color w:val="auto"/>
                <w:sz w:val="24"/>
                <w:lang w:val="en-US" w:eastAsia="zh-CN"/>
              </w:rPr>
              <w:t xml:space="preserve"> </w:t>
            </w:r>
            <w:r>
              <w:rPr>
                <w:rFonts w:hint="default"/>
                <w:color w:val="auto"/>
                <w:sz w:val="24"/>
                <w:lang w:val="en-US" w:eastAsia="zh-CN"/>
              </w:rPr>
              <w:t>酒、饮料制造工业》（HJ1028-2019）表8中“厂内综合污水处理站的综合污水（生产废水、生活污水等）”间接排放提供的可行技术为“</w:t>
            </w:r>
            <w:r>
              <w:rPr>
                <w:rFonts w:hint="eastAsia"/>
                <w:color w:val="auto"/>
                <w:sz w:val="24"/>
                <w:lang w:val="en-US" w:eastAsia="zh-CN"/>
              </w:rPr>
              <w:t>1）</w:t>
            </w:r>
            <w:r>
              <w:rPr>
                <w:rFonts w:hint="default"/>
                <w:color w:val="auto"/>
                <w:sz w:val="24"/>
                <w:lang w:val="en-US" w:eastAsia="zh-CN"/>
              </w:rPr>
              <w:t>预处理：除油、沉淀、过滤；</w:t>
            </w:r>
            <w:r>
              <w:rPr>
                <w:rFonts w:hint="eastAsia"/>
                <w:color w:val="auto"/>
                <w:sz w:val="24"/>
                <w:lang w:val="en-US" w:eastAsia="zh-CN"/>
              </w:rPr>
              <w:t>2）</w:t>
            </w:r>
            <w:r>
              <w:rPr>
                <w:rFonts w:hint="default"/>
                <w:color w:val="auto"/>
                <w:sz w:val="24"/>
                <w:lang w:val="en-US" w:eastAsia="zh-CN"/>
              </w:rPr>
              <w:t>二级处理：好氧、水解酸化</w:t>
            </w:r>
            <w:r>
              <w:rPr>
                <w:rFonts w:hint="eastAsia"/>
                <w:color w:val="auto"/>
                <w:sz w:val="24"/>
                <w:lang w:val="en-US" w:eastAsia="zh-CN"/>
              </w:rPr>
              <w:t>－</w:t>
            </w:r>
            <w:r>
              <w:rPr>
                <w:rFonts w:hint="default"/>
                <w:color w:val="auto"/>
                <w:sz w:val="24"/>
                <w:lang w:val="en-US" w:eastAsia="zh-CN"/>
              </w:rPr>
              <w:t>好氧、厌氧</w:t>
            </w:r>
            <w:r>
              <w:rPr>
                <w:rFonts w:hint="eastAsia"/>
                <w:color w:val="auto"/>
                <w:sz w:val="24"/>
                <w:lang w:val="en-US" w:eastAsia="zh-CN"/>
              </w:rPr>
              <w:t>－</w:t>
            </w:r>
            <w:r>
              <w:rPr>
                <w:rFonts w:hint="default"/>
                <w:color w:val="auto"/>
                <w:sz w:val="24"/>
                <w:lang w:val="en-US" w:eastAsia="zh-CN"/>
              </w:rPr>
              <w:t>好氧、兼性</w:t>
            </w:r>
            <w:r>
              <w:rPr>
                <w:rFonts w:hint="eastAsia"/>
                <w:color w:val="auto"/>
                <w:sz w:val="24"/>
                <w:lang w:val="en-US" w:eastAsia="zh-CN"/>
              </w:rPr>
              <w:t>－</w:t>
            </w:r>
            <w:r>
              <w:rPr>
                <w:rFonts w:hint="default"/>
                <w:color w:val="auto"/>
                <w:sz w:val="24"/>
                <w:lang w:val="en-US" w:eastAsia="zh-CN"/>
              </w:rPr>
              <w:t>好氧、氧化沟、生物转盘</w:t>
            </w:r>
            <w:r>
              <w:rPr>
                <w:rFonts w:hint="eastAsia"/>
                <w:color w:val="auto"/>
                <w:sz w:val="24"/>
                <w:lang w:val="en-US" w:eastAsia="zh-CN"/>
              </w:rPr>
              <w:t xml:space="preserve">；3）深度处理：高级氧化、生物滤池、过滤、混凝沉淀（或澄清）、活性炭吸附等 </w:t>
            </w:r>
            <w:r>
              <w:rPr>
                <w:rFonts w:hint="default"/>
                <w:color w:val="auto"/>
                <w:sz w:val="24"/>
                <w:lang w:val="en-US" w:eastAsia="zh-CN"/>
              </w:rPr>
              <w:t>”；</w:t>
            </w:r>
            <w:r>
              <w:rPr>
                <w:rFonts w:hint="eastAsia"/>
                <w:color w:val="auto"/>
                <w:sz w:val="24"/>
                <w:lang w:val="en-US" w:eastAsia="zh-CN"/>
              </w:rPr>
              <w:t>本项目采用的污水处理技术</w:t>
            </w:r>
            <w:r>
              <w:rPr>
                <w:rFonts w:hint="default"/>
                <w:color w:val="auto"/>
                <w:sz w:val="24"/>
                <w:lang w:val="en-US" w:eastAsia="zh-CN"/>
              </w:rPr>
              <w:t>为《排污许可证申请与核发技术规范 酒、饮料制造工业》（HJ1028-2019）中提供的可行技术。</w:t>
            </w:r>
          </w:p>
          <w:p w14:paraId="0B925C16">
            <w:pPr>
              <w:pStyle w:val="16"/>
              <w:keepNext w:val="0"/>
              <w:keepLines w:val="0"/>
              <w:pageBreakBefore w:val="0"/>
              <w:widowControl w:val="0"/>
              <w:numPr>
                <w:ilvl w:val="0"/>
                <w:numId w:val="0"/>
              </w:numPr>
              <w:kinsoku/>
              <w:wordWrap/>
              <w:overflowPunct/>
              <w:topLinePunct w:val="0"/>
              <w:bidi w:val="0"/>
              <w:spacing w:after="0" w:line="360" w:lineRule="auto"/>
              <w:ind w:leftChars="0" w:firstLine="480" w:firstLineChars="200"/>
              <w:textAlignment w:val="auto"/>
              <w:rPr>
                <w:rFonts w:hint="eastAsia" w:eastAsia="宋体"/>
                <w:b w:val="0"/>
                <w:bCs w:val="0"/>
                <w:color w:val="auto"/>
                <w:lang w:val="en-US" w:eastAsia="zh-CN"/>
              </w:rPr>
            </w:pPr>
            <w:r>
              <w:rPr>
                <w:rFonts w:hint="eastAsia"/>
                <w:b w:val="0"/>
                <w:bCs w:val="0"/>
                <w:color w:val="auto"/>
                <w:lang w:val="en-US" w:eastAsia="zh-CN"/>
              </w:rPr>
              <w:t>3.</w:t>
            </w:r>
            <w:r>
              <w:rPr>
                <w:rFonts w:hint="eastAsia"/>
                <w:b w:val="0"/>
                <w:bCs w:val="0"/>
                <w:color w:val="auto"/>
              </w:rPr>
              <w:t>水环境影响分析</w:t>
            </w:r>
          </w:p>
          <w:p w14:paraId="08BB1AEB">
            <w:pPr>
              <w:pStyle w:val="17"/>
              <w:keepNext w:val="0"/>
              <w:keepLines w:val="0"/>
              <w:pageBreakBefore w:val="0"/>
              <w:widowControl w:val="0"/>
              <w:numPr>
                <w:ilvl w:val="0"/>
                <w:numId w:val="0"/>
              </w:numPr>
              <w:kinsoku/>
              <w:wordWrap/>
              <w:overflowPunct/>
              <w:topLinePunct w:val="0"/>
              <w:bidi w:val="0"/>
              <w:spacing w:line="360" w:lineRule="auto"/>
              <w:ind w:leftChars="0" w:firstLine="480" w:firstLineChars="200"/>
              <w:textAlignment w:val="auto"/>
              <w:rPr>
                <w:rFonts w:hint="default" w:ascii="Times New Roman" w:hAnsi="Times New Roman" w:eastAsia="宋体"/>
                <w:b w:val="0"/>
                <w:bCs/>
                <w:color w:val="auto"/>
                <w:sz w:val="24"/>
                <w:lang w:val="en-US" w:eastAsia="zh-CN"/>
              </w:rPr>
            </w:pPr>
            <w:r>
              <w:rPr>
                <w:rFonts w:hint="eastAsia" w:ascii="Times New Roman" w:hAnsi="Times New Roman" w:eastAsia="宋体"/>
                <w:b w:val="0"/>
                <w:bCs/>
                <w:color w:val="auto"/>
                <w:sz w:val="24"/>
                <w:lang w:val="en-US" w:eastAsia="zh-CN"/>
              </w:rPr>
              <w:t>本项目废水类别、污染物及污染治理设施信息见下表。</w:t>
            </w:r>
          </w:p>
          <w:p w14:paraId="72FD42E4">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b/>
                <w:bCs/>
                <w:color w:val="auto"/>
                <w:sz w:val="21"/>
                <w:szCs w:val="21"/>
              </w:rPr>
            </w:pPr>
            <w:r>
              <w:rPr>
                <w:rFonts w:hint="eastAsia" w:ascii="Times New Roman" w:hAnsi="Times New Roman" w:eastAsia="宋体"/>
                <w:b/>
                <w:bCs/>
                <w:color w:val="auto"/>
                <w:sz w:val="21"/>
                <w:szCs w:val="21"/>
              </w:rPr>
              <w:t>表4-</w:t>
            </w:r>
            <w:r>
              <w:rPr>
                <w:rFonts w:hint="eastAsia"/>
                <w:b/>
                <w:bCs/>
                <w:color w:val="auto"/>
                <w:sz w:val="21"/>
                <w:szCs w:val="21"/>
                <w:lang w:val="en-US" w:eastAsia="zh-CN"/>
              </w:rPr>
              <w:t xml:space="preserve">14  </w:t>
            </w:r>
            <w:r>
              <w:rPr>
                <w:rFonts w:hint="eastAsia" w:ascii="Times New Roman" w:hAnsi="Times New Roman" w:eastAsia="宋体"/>
                <w:b/>
                <w:bCs/>
                <w:color w:val="auto"/>
                <w:sz w:val="21"/>
                <w:szCs w:val="21"/>
              </w:rPr>
              <w:t>本项目废水类别、污染物及污染治理设施信息表</w:t>
            </w:r>
          </w:p>
          <w:tbl>
            <w:tblPr>
              <w:tblStyle w:val="20"/>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1"/>
              <w:gridCol w:w="391"/>
              <w:gridCol w:w="961"/>
              <w:gridCol w:w="585"/>
              <w:gridCol w:w="621"/>
              <w:gridCol w:w="812"/>
              <w:gridCol w:w="669"/>
              <w:gridCol w:w="602"/>
              <w:gridCol w:w="834"/>
              <w:gridCol w:w="707"/>
              <w:gridCol w:w="1367"/>
            </w:tblGrid>
            <w:tr w14:paraId="7694F865">
              <w:trPr>
                <w:trHeight w:val="283" w:hRule="atLeast"/>
                <w:jc w:val="center"/>
              </w:trPr>
              <w:tc>
                <w:tcPr>
                  <w:tcW w:w="246" w:type="pct"/>
                  <w:vMerge w:val="restart"/>
                  <w:noWrap w:val="0"/>
                  <w:tcMar>
                    <w:top w:w="0" w:type="dxa"/>
                    <w:left w:w="0" w:type="dxa"/>
                    <w:bottom w:w="0" w:type="dxa"/>
                    <w:right w:w="0" w:type="dxa"/>
                  </w:tcMar>
                  <w:vAlign w:val="center"/>
                </w:tcPr>
                <w:p w14:paraId="2CC85C17">
                  <w:pPr>
                    <w:tabs>
                      <w:tab w:val="left" w:pos="0"/>
                    </w:tabs>
                    <w:adjustRightInd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序号</w:t>
                  </w:r>
                </w:p>
              </w:tc>
              <w:tc>
                <w:tcPr>
                  <w:tcW w:w="246" w:type="pct"/>
                  <w:vMerge w:val="restart"/>
                  <w:noWrap w:val="0"/>
                  <w:tcMar>
                    <w:top w:w="0" w:type="dxa"/>
                    <w:left w:w="0" w:type="dxa"/>
                    <w:bottom w:w="0" w:type="dxa"/>
                    <w:right w:w="0" w:type="dxa"/>
                  </w:tcMar>
                  <w:vAlign w:val="center"/>
                </w:tcPr>
                <w:p w14:paraId="1778FD32">
                  <w:pPr>
                    <w:tabs>
                      <w:tab w:val="left" w:pos="0"/>
                    </w:tabs>
                    <w:adjustRightInd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废水类别</w:t>
                  </w:r>
                </w:p>
              </w:tc>
              <w:tc>
                <w:tcPr>
                  <w:tcW w:w="605" w:type="pct"/>
                  <w:vMerge w:val="restart"/>
                  <w:noWrap w:val="0"/>
                  <w:tcMar>
                    <w:top w:w="0" w:type="dxa"/>
                    <w:left w:w="0" w:type="dxa"/>
                    <w:bottom w:w="0" w:type="dxa"/>
                    <w:right w:w="0" w:type="dxa"/>
                  </w:tcMar>
                  <w:vAlign w:val="center"/>
                </w:tcPr>
                <w:p w14:paraId="53EAEBBF">
                  <w:pPr>
                    <w:tabs>
                      <w:tab w:val="left" w:pos="0"/>
                    </w:tabs>
                    <w:adjustRightInd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污染物种类</w:t>
                  </w:r>
                </w:p>
              </w:tc>
              <w:tc>
                <w:tcPr>
                  <w:tcW w:w="368" w:type="pct"/>
                  <w:vMerge w:val="restart"/>
                  <w:noWrap w:val="0"/>
                  <w:tcMar>
                    <w:top w:w="0" w:type="dxa"/>
                    <w:left w:w="0" w:type="dxa"/>
                    <w:bottom w:w="0" w:type="dxa"/>
                    <w:right w:w="0" w:type="dxa"/>
                  </w:tcMar>
                  <w:vAlign w:val="center"/>
                </w:tcPr>
                <w:p w14:paraId="4EAB7E5F">
                  <w:pPr>
                    <w:tabs>
                      <w:tab w:val="left" w:pos="0"/>
                    </w:tabs>
                    <w:adjustRightInd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排放</w:t>
                  </w:r>
                </w:p>
                <w:p w14:paraId="700C2636">
                  <w:pPr>
                    <w:tabs>
                      <w:tab w:val="left" w:pos="0"/>
                    </w:tabs>
                    <w:adjustRightInd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去向</w:t>
                  </w:r>
                </w:p>
              </w:tc>
              <w:tc>
                <w:tcPr>
                  <w:tcW w:w="391" w:type="pct"/>
                  <w:vMerge w:val="restart"/>
                  <w:noWrap w:val="0"/>
                  <w:tcMar>
                    <w:top w:w="0" w:type="dxa"/>
                    <w:left w:w="0" w:type="dxa"/>
                    <w:bottom w:w="0" w:type="dxa"/>
                    <w:right w:w="0" w:type="dxa"/>
                  </w:tcMar>
                  <w:vAlign w:val="center"/>
                </w:tcPr>
                <w:p w14:paraId="7DACBEA7">
                  <w:pPr>
                    <w:tabs>
                      <w:tab w:val="left" w:pos="0"/>
                    </w:tabs>
                    <w:adjustRightInd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排放</w:t>
                  </w:r>
                </w:p>
                <w:p w14:paraId="158DE596">
                  <w:pPr>
                    <w:tabs>
                      <w:tab w:val="left" w:pos="0"/>
                    </w:tabs>
                    <w:adjustRightInd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规律</w:t>
                  </w:r>
                </w:p>
              </w:tc>
              <w:tc>
                <w:tcPr>
                  <w:tcW w:w="1311" w:type="pct"/>
                  <w:gridSpan w:val="3"/>
                  <w:noWrap w:val="0"/>
                  <w:tcMar>
                    <w:top w:w="0" w:type="dxa"/>
                    <w:left w:w="0" w:type="dxa"/>
                    <w:bottom w:w="0" w:type="dxa"/>
                    <w:right w:w="0" w:type="dxa"/>
                  </w:tcMar>
                  <w:vAlign w:val="center"/>
                </w:tcPr>
                <w:p w14:paraId="7CADA169">
                  <w:pPr>
                    <w:tabs>
                      <w:tab w:val="left" w:pos="0"/>
                    </w:tabs>
                    <w:adjustRightInd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污染治理设施</w:t>
                  </w:r>
                </w:p>
              </w:tc>
              <w:tc>
                <w:tcPr>
                  <w:tcW w:w="525" w:type="pct"/>
                  <w:vMerge w:val="restart"/>
                  <w:noWrap w:val="0"/>
                  <w:tcMar>
                    <w:top w:w="0" w:type="dxa"/>
                    <w:left w:w="0" w:type="dxa"/>
                    <w:bottom w:w="0" w:type="dxa"/>
                    <w:right w:w="0" w:type="dxa"/>
                  </w:tcMar>
                  <w:vAlign w:val="center"/>
                </w:tcPr>
                <w:p w14:paraId="7FB8FFB3">
                  <w:pPr>
                    <w:tabs>
                      <w:tab w:val="left" w:pos="0"/>
                    </w:tabs>
                    <w:adjustRightInd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排放口编号</w:t>
                  </w:r>
                </w:p>
              </w:tc>
              <w:tc>
                <w:tcPr>
                  <w:tcW w:w="445" w:type="pct"/>
                  <w:vMerge w:val="restart"/>
                  <w:noWrap w:val="0"/>
                  <w:tcMar>
                    <w:top w:w="0" w:type="dxa"/>
                    <w:left w:w="0" w:type="dxa"/>
                    <w:bottom w:w="0" w:type="dxa"/>
                    <w:right w:w="0" w:type="dxa"/>
                  </w:tcMar>
                  <w:vAlign w:val="center"/>
                </w:tcPr>
                <w:p w14:paraId="18563410">
                  <w:pPr>
                    <w:tabs>
                      <w:tab w:val="left" w:pos="0"/>
                    </w:tabs>
                    <w:adjustRightInd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排放口设置是否符合要求</w:t>
                  </w:r>
                </w:p>
              </w:tc>
              <w:tc>
                <w:tcPr>
                  <w:tcW w:w="860" w:type="pct"/>
                  <w:vMerge w:val="restart"/>
                  <w:noWrap w:val="0"/>
                  <w:tcMar>
                    <w:top w:w="0" w:type="dxa"/>
                    <w:left w:w="0" w:type="dxa"/>
                    <w:bottom w:w="0" w:type="dxa"/>
                    <w:right w:w="0" w:type="dxa"/>
                  </w:tcMar>
                  <w:vAlign w:val="center"/>
                </w:tcPr>
                <w:p w14:paraId="051AAFC9">
                  <w:pPr>
                    <w:tabs>
                      <w:tab w:val="left" w:pos="0"/>
                    </w:tabs>
                    <w:adjustRightInd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排放口类型</w:t>
                  </w:r>
                </w:p>
              </w:tc>
            </w:tr>
            <w:tr w14:paraId="07C807B7">
              <w:trPr>
                <w:trHeight w:val="283" w:hRule="atLeast"/>
                <w:jc w:val="center"/>
              </w:trPr>
              <w:tc>
                <w:tcPr>
                  <w:tcW w:w="246" w:type="pct"/>
                  <w:vMerge w:val="continue"/>
                  <w:noWrap w:val="0"/>
                  <w:tcMar>
                    <w:top w:w="0" w:type="dxa"/>
                    <w:left w:w="0" w:type="dxa"/>
                    <w:bottom w:w="0" w:type="dxa"/>
                    <w:right w:w="0" w:type="dxa"/>
                  </w:tcMar>
                  <w:vAlign w:val="center"/>
                </w:tcPr>
                <w:p w14:paraId="53B7E13D">
                  <w:pPr>
                    <w:tabs>
                      <w:tab w:val="left" w:pos="0"/>
                    </w:tabs>
                    <w:adjustRightInd w:val="0"/>
                    <w:snapToGrid w:val="0"/>
                    <w:jc w:val="center"/>
                    <w:rPr>
                      <w:rFonts w:hint="default" w:ascii="Times New Roman" w:hAnsi="Times New Roman" w:eastAsia="宋体" w:cs="Times New Roman"/>
                      <w:b w:val="0"/>
                      <w:bCs w:val="0"/>
                      <w:color w:val="auto"/>
                      <w:sz w:val="21"/>
                      <w:szCs w:val="21"/>
                    </w:rPr>
                  </w:pPr>
                </w:p>
              </w:tc>
              <w:tc>
                <w:tcPr>
                  <w:tcW w:w="246" w:type="pct"/>
                  <w:vMerge w:val="continue"/>
                  <w:noWrap w:val="0"/>
                  <w:tcMar>
                    <w:top w:w="0" w:type="dxa"/>
                    <w:left w:w="0" w:type="dxa"/>
                    <w:bottom w:w="0" w:type="dxa"/>
                    <w:right w:w="0" w:type="dxa"/>
                  </w:tcMar>
                  <w:vAlign w:val="center"/>
                </w:tcPr>
                <w:p w14:paraId="140F493E">
                  <w:pPr>
                    <w:tabs>
                      <w:tab w:val="left" w:pos="0"/>
                    </w:tabs>
                    <w:adjustRightInd w:val="0"/>
                    <w:snapToGrid w:val="0"/>
                    <w:jc w:val="center"/>
                    <w:rPr>
                      <w:rFonts w:hint="default" w:ascii="Times New Roman" w:hAnsi="Times New Roman" w:eastAsia="宋体" w:cs="Times New Roman"/>
                      <w:b w:val="0"/>
                      <w:bCs w:val="0"/>
                      <w:color w:val="auto"/>
                      <w:sz w:val="21"/>
                      <w:szCs w:val="21"/>
                    </w:rPr>
                  </w:pPr>
                </w:p>
              </w:tc>
              <w:tc>
                <w:tcPr>
                  <w:tcW w:w="605" w:type="pct"/>
                  <w:vMerge w:val="continue"/>
                  <w:noWrap w:val="0"/>
                  <w:tcMar>
                    <w:top w:w="0" w:type="dxa"/>
                    <w:left w:w="0" w:type="dxa"/>
                    <w:bottom w:w="0" w:type="dxa"/>
                    <w:right w:w="0" w:type="dxa"/>
                  </w:tcMar>
                  <w:vAlign w:val="center"/>
                </w:tcPr>
                <w:p w14:paraId="637F136A">
                  <w:pPr>
                    <w:tabs>
                      <w:tab w:val="left" w:pos="0"/>
                    </w:tabs>
                    <w:adjustRightInd w:val="0"/>
                    <w:snapToGrid w:val="0"/>
                    <w:jc w:val="center"/>
                    <w:rPr>
                      <w:rFonts w:hint="default" w:ascii="Times New Roman" w:hAnsi="Times New Roman" w:eastAsia="宋体" w:cs="Times New Roman"/>
                      <w:b w:val="0"/>
                      <w:bCs w:val="0"/>
                      <w:color w:val="auto"/>
                      <w:sz w:val="21"/>
                      <w:szCs w:val="21"/>
                    </w:rPr>
                  </w:pPr>
                </w:p>
              </w:tc>
              <w:tc>
                <w:tcPr>
                  <w:tcW w:w="368" w:type="pct"/>
                  <w:vMerge w:val="continue"/>
                  <w:noWrap w:val="0"/>
                  <w:tcMar>
                    <w:top w:w="0" w:type="dxa"/>
                    <w:left w:w="0" w:type="dxa"/>
                    <w:bottom w:w="0" w:type="dxa"/>
                    <w:right w:w="0" w:type="dxa"/>
                  </w:tcMar>
                  <w:vAlign w:val="center"/>
                </w:tcPr>
                <w:p w14:paraId="0E1B75B9">
                  <w:pPr>
                    <w:tabs>
                      <w:tab w:val="left" w:pos="0"/>
                    </w:tabs>
                    <w:adjustRightInd w:val="0"/>
                    <w:snapToGrid w:val="0"/>
                    <w:jc w:val="center"/>
                    <w:rPr>
                      <w:rFonts w:hint="default" w:ascii="Times New Roman" w:hAnsi="Times New Roman" w:eastAsia="宋体" w:cs="Times New Roman"/>
                      <w:b w:val="0"/>
                      <w:bCs w:val="0"/>
                      <w:color w:val="auto"/>
                      <w:sz w:val="21"/>
                      <w:szCs w:val="21"/>
                    </w:rPr>
                  </w:pPr>
                </w:p>
              </w:tc>
              <w:tc>
                <w:tcPr>
                  <w:tcW w:w="391" w:type="pct"/>
                  <w:vMerge w:val="continue"/>
                  <w:noWrap w:val="0"/>
                  <w:tcMar>
                    <w:top w:w="0" w:type="dxa"/>
                    <w:left w:w="0" w:type="dxa"/>
                    <w:bottom w:w="0" w:type="dxa"/>
                    <w:right w:w="0" w:type="dxa"/>
                  </w:tcMar>
                  <w:vAlign w:val="center"/>
                </w:tcPr>
                <w:p w14:paraId="329EE4C6">
                  <w:pPr>
                    <w:tabs>
                      <w:tab w:val="left" w:pos="0"/>
                    </w:tabs>
                    <w:adjustRightInd w:val="0"/>
                    <w:snapToGrid w:val="0"/>
                    <w:jc w:val="center"/>
                    <w:rPr>
                      <w:rFonts w:hint="default" w:ascii="Times New Roman" w:hAnsi="Times New Roman" w:eastAsia="宋体" w:cs="Times New Roman"/>
                      <w:b w:val="0"/>
                      <w:bCs w:val="0"/>
                      <w:color w:val="auto"/>
                      <w:sz w:val="21"/>
                      <w:szCs w:val="21"/>
                    </w:rPr>
                  </w:pPr>
                </w:p>
              </w:tc>
              <w:tc>
                <w:tcPr>
                  <w:tcW w:w="511" w:type="pct"/>
                  <w:noWrap w:val="0"/>
                  <w:tcMar>
                    <w:top w:w="0" w:type="dxa"/>
                    <w:left w:w="0" w:type="dxa"/>
                    <w:bottom w:w="0" w:type="dxa"/>
                    <w:right w:w="0" w:type="dxa"/>
                  </w:tcMar>
                  <w:vAlign w:val="center"/>
                </w:tcPr>
                <w:p w14:paraId="71A108AB">
                  <w:pPr>
                    <w:tabs>
                      <w:tab w:val="left" w:pos="0"/>
                    </w:tabs>
                    <w:adjustRightInd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污染</w:t>
                  </w:r>
                </w:p>
                <w:p w14:paraId="28E618E0">
                  <w:pPr>
                    <w:tabs>
                      <w:tab w:val="left" w:pos="0"/>
                    </w:tabs>
                    <w:adjustRightInd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治理</w:t>
                  </w:r>
                </w:p>
                <w:p w14:paraId="5D50526A">
                  <w:pPr>
                    <w:tabs>
                      <w:tab w:val="left" w:pos="0"/>
                    </w:tabs>
                    <w:adjustRightInd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设施</w:t>
                  </w:r>
                </w:p>
                <w:p w14:paraId="7841254A">
                  <w:pPr>
                    <w:tabs>
                      <w:tab w:val="left" w:pos="0"/>
                    </w:tabs>
                    <w:adjustRightInd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编号</w:t>
                  </w:r>
                </w:p>
              </w:tc>
              <w:tc>
                <w:tcPr>
                  <w:tcW w:w="421" w:type="pct"/>
                  <w:noWrap w:val="0"/>
                  <w:tcMar>
                    <w:top w:w="0" w:type="dxa"/>
                    <w:left w:w="0" w:type="dxa"/>
                    <w:bottom w:w="0" w:type="dxa"/>
                    <w:right w:w="0" w:type="dxa"/>
                  </w:tcMar>
                  <w:vAlign w:val="center"/>
                </w:tcPr>
                <w:p w14:paraId="13B72D3B">
                  <w:pPr>
                    <w:tabs>
                      <w:tab w:val="left" w:pos="0"/>
                    </w:tabs>
                    <w:adjustRightInd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污染治理设施名称</w:t>
                  </w:r>
                </w:p>
              </w:tc>
              <w:tc>
                <w:tcPr>
                  <w:tcW w:w="379" w:type="pct"/>
                  <w:noWrap w:val="0"/>
                  <w:tcMar>
                    <w:top w:w="0" w:type="dxa"/>
                    <w:left w:w="0" w:type="dxa"/>
                    <w:bottom w:w="0" w:type="dxa"/>
                    <w:right w:w="0" w:type="dxa"/>
                  </w:tcMar>
                  <w:vAlign w:val="center"/>
                </w:tcPr>
                <w:p w14:paraId="70E75A35">
                  <w:pPr>
                    <w:tabs>
                      <w:tab w:val="left" w:pos="0"/>
                    </w:tabs>
                    <w:adjustRightInd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污染治理设施工艺</w:t>
                  </w:r>
                </w:p>
              </w:tc>
              <w:tc>
                <w:tcPr>
                  <w:tcW w:w="525" w:type="pct"/>
                  <w:vMerge w:val="continue"/>
                  <w:noWrap w:val="0"/>
                  <w:tcMar>
                    <w:top w:w="0" w:type="dxa"/>
                    <w:left w:w="0" w:type="dxa"/>
                    <w:bottom w:w="0" w:type="dxa"/>
                    <w:right w:w="0" w:type="dxa"/>
                  </w:tcMar>
                  <w:vAlign w:val="center"/>
                </w:tcPr>
                <w:p w14:paraId="050878A7">
                  <w:pPr>
                    <w:tabs>
                      <w:tab w:val="left" w:pos="0"/>
                    </w:tabs>
                    <w:adjustRightInd w:val="0"/>
                    <w:snapToGrid w:val="0"/>
                    <w:jc w:val="center"/>
                    <w:rPr>
                      <w:rFonts w:hint="default" w:ascii="Times New Roman" w:hAnsi="Times New Roman" w:eastAsia="宋体" w:cs="Times New Roman"/>
                      <w:b w:val="0"/>
                      <w:bCs w:val="0"/>
                      <w:color w:val="auto"/>
                      <w:sz w:val="21"/>
                      <w:szCs w:val="21"/>
                    </w:rPr>
                  </w:pPr>
                </w:p>
              </w:tc>
              <w:tc>
                <w:tcPr>
                  <w:tcW w:w="445" w:type="pct"/>
                  <w:vMerge w:val="continue"/>
                  <w:noWrap w:val="0"/>
                  <w:tcMar>
                    <w:top w:w="0" w:type="dxa"/>
                    <w:left w:w="0" w:type="dxa"/>
                    <w:bottom w:w="0" w:type="dxa"/>
                    <w:right w:w="0" w:type="dxa"/>
                  </w:tcMar>
                  <w:vAlign w:val="center"/>
                </w:tcPr>
                <w:p w14:paraId="65379328">
                  <w:pPr>
                    <w:tabs>
                      <w:tab w:val="left" w:pos="0"/>
                    </w:tabs>
                    <w:adjustRightInd w:val="0"/>
                    <w:snapToGrid w:val="0"/>
                    <w:jc w:val="center"/>
                    <w:rPr>
                      <w:rFonts w:hint="default" w:ascii="Times New Roman" w:hAnsi="Times New Roman" w:eastAsia="宋体" w:cs="Times New Roman"/>
                      <w:b w:val="0"/>
                      <w:bCs w:val="0"/>
                      <w:color w:val="auto"/>
                      <w:sz w:val="21"/>
                      <w:szCs w:val="21"/>
                    </w:rPr>
                  </w:pPr>
                </w:p>
              </w:tc>
              <w:tc>
                <w:tcPr>
                  <w:tcW w:w="860" w:type="pct"/>
                  <w:vMerge w:val="continue"/>
                  <w:noWrap w:val="0"/>
                  <w:tcMar>
                    <w:top w:w="0" w:type="dxa"/>
                    <w:left w:w="0" w:type="dxa"/>
                    <w:bottom w:w="0" w:type="dxa"/>
                    <w:right w:w="0" w:type="dxa"/>
                  </w:tcMar>
                  <w:vAlign w:val="center"/>
                </w:tcPr>
                <w:p w14:paraId="25C115B0">
                  <w:pPr>
                    <w:tabs>
                      <w:tab w:val="left" w:pos="0"/>
                    </w:tabs>
                    <w:adjustRightInd w:val="0"/>
                    <w:snapToGrid w:val="0"/>
                    <w:jc w:val="center"/>
                    <w:rPr>
                      <w:rFonts w:hint="default" w:ascii="Times New Roman" w:hAnsi="Times New Roman" w:eastAsia="宋体" w:cs="Times New Roman"/>
                      <w:b w:val="0"/>
                      <w:bCs w:val="0"/>
                      <w:color w:val="auto"/>
                      <w:sz w:val="21"/>
                      <w:szCs w:val="21"/>
                    </w:rPr>
                  </w:pPr>
                </w:p>
              </w:tc>
            </w:tr>
            <w:tr w14:paraId="7E707279">
              <w:trPr>
                <w:trHeight w:val="953" w:hRule="atLeast"/>
                <w:jc w:val="center"/>
              </w:trPr>
              <w:tc>
                <w:tcPr>
                  <w:tcW w:w="246" w:type="pct"/>
                  <w:noWrap w:val="0"/>
                  <w:tcMar>
                    <w:top w:w="0" w:type="dxa"/>
                    <w:left w:w="0" w:type="dxa"/>
                    <w:bottom w:w="0" w:type="dxa"/>
                    <w:right w:w="0" w:type="dxa"/>
                  </w:tcMar>
                  <w:vAlign w:val="center"/>
                </w:tcPr>
                <w:p w14:paraId="6B64E32A">
                  <w:pPr>
                    <w:tabs>
                      <w:tab w:val="left" w:pos="0"/>
                    </w:tabs>
                    <w:adjustRightInd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w:t>
                  </w:r>
                </w:p>
              </w:tc>
              <w:tc>
                <w:tcPr>
                  <w:tcW w:w="246" w:type="pct"/>
                  <w:noWrap w:val="0"/>
                  <w:tcMar>
                    <w:top w:w="0" w:type="dxa"/>
                    <w:left w:w="0" w:type="dxa"/>
                    <w:bottom w:w="0" w:type="dxa"/>
                    <w:right w:w="0" w:type="dxa"/>
                  </w:tcMar>
                  <w:vAlign w:val="center"/>
                </w:tcPr>
                <w:p w14:paraId="5CB4C88C">
                  <w:pPr>
                    <w:tabs>
                      <w:tab w:val="left" w:pos="0"/>
                    </w:tabs>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综合废水</w:t>
                  </w:r>
                </w:p>
              </w:tc>
              <w:tc>
                <w:tcPr>
                  <w:tcW w:w="605" w:type="pct"/>
                  <w:noWrap w:val="0"/>
                  <w:tcMar>
                    <w:top w:w="0" w:type="dxa"/>
                    <w:left w:w="0" w:type="dxa"/>
                    <w:bottom w:w="0" w:type="dxa"/>
                    <w:right w:w="0" w:type="dxa"/>
                  </w:tcMar>
                  <w:vAlign w:val="center"/>
                </w:tcPr>
                <w:p w14:paraId="78AD4B33">
                  <w:pPr>
                    <w:tabs>
                      <w:tab w:val="left" w:pos="0"/>
                    </w:tabs>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COD、SS、</w:t>
                  </w:r>
                  <w:r>
                    <w:rPr>
                      <w:rFonts w:hint="eastAsia" w:cs="Times New Roman"/>
                      <w:b w:val="0"/>
                      <w:bCs w:val="0"/>
                      <w:color w:val="auto"/>
                      <w:sz w:val="21"/>
                      <w:szCs w:val="21"/>
                      <w:lang w:val="en-US" w:eastAsia="zh-CN"/>
                    </w:rPr>
                    <w:t>BOD</w:t>
                  </w:r>
                  <w:r>
                    <w:rPr>
                      <w:rFonts w:hint="eastAsia" w:cs="Times New Roman"/>
                      <w:b w:val="0"/>
                      <w:bCs w:val="0"/>
                      <w:color w:val="auto"/>
                      <w:sz w:val="21"/>
                      <w:szCs w:val="21"/>
                      <w:vertAlign w:val="subscript"/>
                      <w:lang w:val="en-US" w:eastAsia="zh-CN"/>
                    </w:rPr>
                    <w:t>5</w:t>
                  </w:r>
                  <w:r>
                    <w:rPr>
                      <w:rFonts w:hint="eastAsia" w:cs="Times New Roman"/>
                      <w:b w:val="0"/>
                      <w:bCs w:val="0"/>
                      <w:color w:val="auto"/>
                      <w:sz w:val="21"/>
                      <w:szCs w:val="21"/>
                      <w:lang w:val="en-US" w:eastAsia="zh-CN"/>
                    </w:rPr>
                    <w:t>、</w:t>
                  </w:r>
                  <w:r>
                    <w:rPr>
                      <w:rFonts w:hint="eastAsia" w:ascii="Times New Roman" w:hAnsi="Times New Roman" w:eastAsia="宋体" w:cs="Times New Roman"/>
                      <w:b w:val="0"/>
                      <w:bCs w:val="0"/>
                      <w:color w:val="auto"/>
                      <w:sz w:val="21"/>
                      <w:szCs w:val="21"/>
                      <w:lang w:val="en-US" w:eastAsia="zh-CN"/>
                    </w:rPr>
                    <w:t>NH</w:t>
                  </w:r>
                  <w:r>
                    <w:rPr>
                      <w:rFonts w:hint="eastAsia" w:ascii="Times New Roman" w:hAnsi="Times New Roman" w:eastAsia="宋体" w:cs="Times New Roman"/>
                      <w:b w:val="0"/>
                      <w:bCs w:val="0"/>
                      <w:color w:val="auto"/>
                      <w:sz w:val="21"/>
                      <w:szCs w:val="21"/>
                      <w:vertAlign w:val="subscript"/>
                      <w:lang w:val="en-US" w:eastAsia="zh-CN"/>
                    </w:rPr>
                    <w:t>3</w:t>
                  </w:r>
                  <w:r>
                    <w:rPr>
                      <w:rFonts w:hint="eastAsia" w:ascii="Times New Roman" w:hAnsi="Times New Roman" w:eastAsia="宋体" w:cs="Times New Roman"/>
                      <w:b w:val="0"/>
                      <w:bCs w:val="0"/>
                      <w:color w:val="auto"/>
                      <w:sz w:val="21"/>
                      <w:szCs w:val="21"/>
                      <w:lang w:val="en-US" w:eastAsia="zh-CN"/>
                    </w:rPr>
                    <w:t>-N、TN、TP</w:t>
                  </w:r>
                  <w:r>
                    <w:rPr>
                      <w:rFonts w:hint="eastAsia" w:cs="Times New Roman"/>
                      <w:b w:val="0"/>
                      <w:bCs w:val="0"/>
                      <w:color w:val="auto"/>
                      <w:sz w:val="21"/>
                      <w:szCs w:val="21"/>
                      <w:lang w:val="en-US" w:eastAsia="zh-CN"/>
                    </w:rPr>
                    <w:t>、动植物油</w:t>
                  </w:r>
                </w:p>
              </w:tc>
              <w:tc>
                <w:tcPr>
                  <w:tcW w:w="368" w:type="pct"/>
                  <w:noWrap w:val="0"/>
                  <w:tcMar>
                    <w:top w:w="0" w:type="dxa"/>
                    <w:left w:w="0" w:type="dxa"/>
                    <w:bottom w:w="0" w:type="dxa"/>
                    <w:right w:w="0" w:type="dxa"/>
                  </w:tcMar>
                  <w:vAlign w:val="center"/>
                </w:tcPr>
                <w:p w14:paraId="736E9836">
                  <w:pPr>
                    <w:tabs>
                      <w:tab w:val="left" w:pos="0"/>
                    </w:tabs>
                    <w:adjustRightInd w:val="0"/>
                    <w:snapToGrid w:val="0"/>
                    <w:jc w:val="center"/>
                    <w:rPr>
                      <w:rFonts w:hint="default" w:ascii="Times New Roman" w:hAnsi="Times New Roman" w:eastAsia="宋体" w:cs="Times New Roman"/>
                      <w:b w:val="0"/>
                      <w:bCs w:val="0"/>
                      <w:color w:val="auto"/>
                      <w:sz w:val="21"/>
                      <w:szCs w:val="21"/>
                    </w:rPr>
                  </w:pPr>
                  <w:r>
                    <w:rPr>
                      <w:rFonts w:hint="eastAsia" w:ascii="Times New Roman" w:hAnsi="Times New Roman" w:eastAsia="宋体"/>
                      <w:color w:val="auto"/>
                      <w:sz w:val="21"/>
                      <w:szCs w:val="21"/>
                      <w:vertAlign w:val="baseline"/>
                      <w:lang w:val="en-US" w:eastAsia="zh-CN"/>
                    </w:rPr>
                    <w:t>涟水经济开发区西区污水处理厂</w:t>
                  </w:r>
                </w:p>
              </w:tc>
              <w:tc>
                <w:tcPr>
                  <w:tcW w:w="391" w:type="pct"/>
                  <w:noWrap w:val="0"/>
                  <w:tcMar>
                    <w:top w:w="0" w:type="dxa"/>
                    <w:left w:w="0" w:type="dxa"/>
                    <w:bottom w:w="0" w:type="dxa"/>
                    <w:right w:w="0" w:type="dxa"/>
                  </w:tcMar>
                  <w:vAlign w:val="center"/>
                </w:tcPr>
                <w:p w14:paraId="71989954">
                  <w:pPr>
                    <w:tabs>
                      <w:tab w:val="left" w:pos="0"/>
                    </w:tabs>
                    <w:adjustRightInd w:val="0"/>
                    <w:snapToGrid w:val="0"/>
                    <w:jc w:val="both"/>
                    <w:rPr>
                      <w:rFonts w:hint="default" w:ascii="Times New Roman" w:hAnsi="Times New Roman" w:eastAsia="宋体" w:cs="Times New Roman"/>
                      <w:b w:val="0"/>
                      <w:bCs w:val="0"/>
                      <w:color w:val="auto"/>
                      <w:spacing w:val="-11"/>
                      <w:sz w:val="21"/>
                      <w:szCs w:val="21"/>
                    </w:rPr>
                  </w:pPr>
                  <w:r>
                    <w:rPr>
                      <w:rFonts w:hint="default" w:ascii="Times New Roman" w:hAnsi="Times New Roman" w:eastAsia="宋体" w:cs="Times New Roman"/>
                      <w:b w:val="0"/>
                      <w:bCs w:val="0"/>
                      <w:color w:val="auto"/>
                      <w:spacing w:val="-11"/>
                      <w:sz w:val="21"/>
                      <w:szCs w:val="21"/>
                    </w:rPr>
                    <w:t>间断排放，排放期间流量不稳定</w:t>
                  </w:r>
                </w:p>
              </w:tc>
              <w:tc>
                <w:tcPr>
                  <w:tcW w:w="511" w:type="pct"/>
                  <w:noWrap w:val="0"/>
                  <w:tcMar>
                    <w:top w:w="0" w:type="dxa"/>
                    <w:left w:w="0" w:type="dxa"/>
                    <w:bottom w:w="0" w:type="dxa"/>
                    <w:right w:w="0" w:type="dxa"/>
                  </w:tcMar>
                  <w:vAlign w:val="center"/>
                </w:tcPr>
                <w:p w14:paraId="6501FC9A">
                  <w:pPr>
                    <w:tabs>
                      <w:tab w:val="left" w:pos="0"/>
                    </w:tabs>
                    <w:adjustRightInd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TW001</w:t>
                  </w:r>
                </w:p>
              </w:tc>
              <w:tc>
                <w:tcPr>
                  <w:tcW w:w="421" w:type="pct"/>
                  <w:noWrap w:val="0"/>
                  <w:tcMar>
                    <w:top w:w="0" w:type="dxa"/>
                    <w:left w:w="0" w:type="dxa"/>
                    <w:bottom w:w="0" w:type="dxa"/>
                    <w:right w:w="0" w:type="dxa"/>
                  </w:tcMar>
                  <w:vAlign w:val="center"/>
                </w:tcPr>
                <w:p w14:paraId="6A35EB72">
                  <w:pPr>
                    <w:tabs>
                      <w:tab w:val="left" w:pos="0"/>
                    </w:tabs>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隔油池/</w:t>
                  </w:r>
                  <w:r>
                    <w:rPr>
                      <w:rFonts w:hint="eastAsia" w:ascii="Times New Roman" w:hAnsi="Times New Roman" w:eastAsia="宋体" w:cs="Times New Roman"/>
                      <w:b w:val="0"/>
                      <w:bCs w:val="0"/>
                      <w:color w:val="auto"/>
                      <w:sz w:val="21"/>
                      <w:szCs w:val="21"/>
                      <w:lang w:val="en-US" w:eastAsia="zh-CN"/>
                    </w:rPr>
                    <w:t>化粪池</w:t>
                  </w:r>
                  <w:r>
                    <w:rPr>
                      <w:rFonts w:hint="eastAsia" w:cs="Times New Roman"/>
                      <w:b w:val="0"/>
                      <w:bCs w:val="0"/>
                      <w:color w:val="auto"/>
                      <w:sz w:val="21"/>
                      <w:szCs w:val="21"/>
                      <w:lang w:val="en-US" w:eastAsia="zh-CN"/>
                    </w:rPr>
                    <w:t>/污水处理站</w:t>
                  </w:r>
                </w:p>
              </w:tc>
              <w:tc>
                <w:tcPr>
                  <w:tcW w:w="379" w:type="pct"/>
                  <w:noWrap w:val="0"/>
                  <w:tcMar>
                    <w:top w:w="0" w:type="dxa"/>
                    <w:left w:w="0" w:type="dxa"/>
                    <w:bottom w:w="0" w:type="dxa"/>
                    <w:right w:w="0" w:type="dxa"/>
                  </w:tcMar>
                  <w:vAlign w:val="center"/>
                </w:tcPr>
                <w:p w14:paraId="48C8C430">
                  <w:pPr>
                    <w:tabs>
                      <w:tab w:val="left" w:pos="0"/>
                    </w:tabs>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525" w:type="pct"/>
                  <w:noWrap w:val="0"/>
                  <w:tcMar>
                    <w:top w:w="0" w:type="dxa"/>
                    <w:left w:w="0" w:type="dxa"/>
                    <w:bottom w:w="0" w:type="dxa"/>
                    <w:right w:w="0" w:type="dxa"/>
                  </w:tcMar>
                  <w:vAlign w:val="center"/>
                </w:tcPr>
                <w:p w14:paraId="09E854A9">
                  <w:pPr>
                    <w:tabs>
                      <w:tab w:val="left" w:pos="0"/>
                    </w:tabs>
                    <w:adjustRightInd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DW001</w:t>
                  </w:r>
                </w:p>
              </w:tc>
              <w:tc>
                <w:tcPr>
                  <w:tcW w:w="445" w:type="pct"/>
                  <w:noWrap w:val="0"/>
                  <w:tcMar>
                    <w:top w:w="0" w:type="dxa"/>
                    <w:left w:w="0" w:type="dxa"/>
                    <w:bottom w:w="0" w:type="dxa"/>
                    <w:right w:w="0" w:type="dxa"/>
                  </w:tcMar>
                  <w:vAlign w:val="center"/>
                </w:tcPr>
                <w:p w14:paraId="1410C4F8">
                  <w:pPr>
                    <w:tabs>
                      <w:tab w:val="left" w:pos="0"/>
                    </w:tabs>
                    <w:adjustRightInd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sym w:font="Wingdings 2" w:char="0052"/>
                  </w:r>
                  <w:r>
                    <w:rPr>
                      <w:rFonts w:hint="default" w:ascii="Times New Roman" w:hAnsi="Times New Roman" w:eastAsia="宋体" w:cs="Times New Roman"/>
                      <w:b w:val="0"/>
                      <w:bCs w:val="0"/>
                      <w:color w:val="auto"/>
                      <w:sz w:val="21"/>
                      <w:szCs w:val="21"/>
                    </w:rPr>
                    <w:t>是</w:t>
                  </w:r>
                </w:p>
                <w:p w14:paraId="0FB65D2A">
                  <w:pPr>
                    <w:tabs>
                      <w:tab w:val="left" w:pos="0"/>
                    </w:tabs>
                    <w:adjustRightInd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□否</w:t>
                  </w:r>
                </w:p>
              </w:tc>
              <w:tc>
                <w:tcPr>
                  <w:tcW w:w="860" w:type="pct"/>
                  <w:noWrap w:val="0"/>
                  <w:tcMar>
                    <w:top w:w="0" w:type="dxa"/>
                    <w:left w:w="0" w:type="dxa"/>
                    <w:bottom w:w="0" w:type="dxa"/>
                    <w:right w:w="0" w:type="dxa"/>
                  </w:tcMar>
                  <w:vAlign w:val="center"/>
                </w:tcPr>
                <w:p w14:paraId="4CCFE3F0">
                  <w:pPr>
                    <w:tabs>
                      <w:tab w:val="left" w:pos="0"/>
                    </w:tabs>
                    <w:adjustRightInd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sym w:font="Wingdings 2" w:char="0052"/>
                  </w:r>
                  <w:r>
                    <w:rPr>
                      <w:rFonts w:hint="default" w:ascii="Times New Roman" w:hAnsi="Times New Roman" w:eastAsia="宋体" w:cs="Times New Roman"/>
                      <w:b w:val="0"/>
                      <w:bCs w:val="0"/>
                      <w:color w:val="auto"/>
                      <w:sz w:val="21"/>
                      <w:szCs w:val="21"/>
                    </w:rPr>
                    <w:t>企业总排</w:t>
                  </w:r>
                </w:p>
                <w:p w14:paraId="35424332">
                  <w:pPr>
                    <w:tabs>
                      <w:tab w:val="left" w:pos="0"/>
                    </w:tabs>
                    <w:adjustRightInd w:val="0"/>
                    <w:snapToGrid w:val="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□雨水排</w:t>
                  </w:r>
                  <w:r>
                    <w:rPr>
                      <w:rFonts w:hint="eastAsia" w:ascii="Times New Roman" w:hAnsi="Times New Roman" w:eastAsia="宋体" w:cs="Times New Roman"/>
                      <w:b w:val="0"/>
                      <w:bCs w:val="0"/>
                      <w:color w:val="auto"/>
                      <w:sz w:val="21"/>
                      <w:szCs w:val="21"/>
                      <w:lang w:val="en-US" w:eastAsia="zh-CN"/>
                    </w:rPr>
                    <w:t>口</w:t>
                  </w:r>
                </w:p>
                <w:p w14:paraId="7E4CC965">
                  <w:pPr>
                    <w:tabs>
                      <w:tab w:val="left" w:pos="0"/>
                    </w:tabs>
                    <w:adjustRightInd w:val="0"/>
                    <w:snapToGrid w:val="0"/>
                    <w:jc w:val="center"/>
                    <w:rPr>
                      <w:rFonts w:hint="eastAsia"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□清净下水排</w:t>
                  </w:r>
                  <w:r>
                    <w:rPr>
                      <w:rFonts w:hint="eastAsia" w:ascii="Times New Roman" w:hAnsi="Times New Roman" w:eastAsia="宋体" w:cs="Times New Roman"/>
                      <w:b w:val="0"/>
                      <w:bCs w:val="0"/>
                      <w:color w:val="auto"/>
                      <w:sz w:val="21"/>
                      <w:szCs w:val="21"/>
                      <w:lang w:val="en-US" w:eastAsia="zh-CN"/>
                    </w:rPr>
                    <w:t>口</w:t>
                  </w:r>
                </w:p>
                <w:p w14:paraId="37DFF8BB">
                  <w:pPr>
                    <w:tabs>
                      <w:tab w:val="left" w:pos="0"/>
                    </w:tabs>
                    <w:adjustRightInd w:val="0"/>
                    <w:snapToGrid w:val="0"/>
                    <w:jc w:val="center"/>
                    <w:rPr>
                      <w:rFonts w:hint="eastAsia"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□温排水排</w:t>
                  </w:r>
                  <w:r>
                    <w:rPr>
                      <w:rFonts w:hint="eastAsia" w:ascii="Times New Roman" w:hAnsi="Times New Roman" w:eastAsia="宋体" w:cs="Times New Roman"/>
                      <w:b w:val="0"/>
                      <w:bCs w:val="0"/>
                      <w:color w:val="auto"/>
                      <w:sz w:val="21"/>
                      <w:szCs w:val="21"/>
                      <w:lang w:val="en-US" w:eastAsia="zh-CN"/>
                    </w:rPr>
                    <w:t>口</w:t>
                  </w:r>
                </w:p>
                <w:p w14:paraId="195F09F1">
                  <w:pPr>
                    <w:tabs>
                      <w:tab w:val="left" w:pos="0"/>
                    </w:tabs>
                    <w:adjustRightInd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□厂房或厂房处理设施排口</w:t>
                  </w:r>
                </w:p>
              </w:tc>
            </w:tr>
          </w:tbl>
          <w:p w14:paraId="2880257A">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textAlignment w:val="auto"/>
              <w:rPr>
                <w:rFonts w:hint="default" w:ascii="Times New Roman" w:hAnsi="Times New Roman" w:eastAsia="宋体"/>
                <w:color w:val="auto"/>
              </w:rPr>
            </w:pPr>
            <w:r>
              <w:rPr>
                <w:rFonts w:hint="eastAsia" w:ascii="Times New Roman" w:hAnsi="Times New Roman" w:eastAsia="宋体"/>
                <w:color w:val="auto"/>
              </w:rPr>
              <w:t>本项目废水间接排放口</w:t>
            </w:r>
            <w:r>
              <w:rPr>
                <w:rFonts w:hint="eastAsia" w:ascii="Times New Roman" w:hAnsi="Times New Roman" w:eastAsia="宋体"/>
                <w:color w:val="auto"/>
                <w:lang w:val="en-US" w:eastAsia="zh-CN"/>
              </w:rPr>
              <w:t>DW001</w:t>
            </w:r>
            <w:r>
              <w:rPr>
                <w:rFonts w:hint="eastAsia" w:ascii="Times New Roman" w:hAnsi="Times New Roman" w:eastAsia="宋体"/>
                <w:color w:val="auto"/>
              </w:rPr>
              <w:t>信息见</w:t>
            </w:r>
            <w:r>
              <w:rPr>
                <w:rFonts w:hint="eastAsia" w:ascii="Times New Roman" w:hAnsi="Times New Roman" w:eastAsia="宋体"/>
                <w:color w:val="auto"/>
                <w:lang w:val="en-US" w:eastAsia="zh-CN"/>
              </w:rPr>
              <w:t>下</w:t>
            </w:r>
            <w:r>
              <w:rPr>
                <w:rFonts w:hint="eastAsia" w:ascii="Times New Roman" w:hAnsi="Times New Roman" w:eastAsia="宋体"/>
                <w:color w:val="auto"/>
              </w:rPr>
              <w:t>表。</w:t>
            </w:r>
          </w:p>
          <w:p w14:paraId="54D140B7">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b/>
                <w:bCs/>
                <w:color w:val="auto"/>
                <w:sz w:val="21"/>
                <w:szCs w:val="21"/>
              </w:rPr>
            </w:pPr>
            <w:r>
              <w:rPr>
                <w:rFonts w:hint="eastAsia" w:ascii="Times New Roman" w:hAnsi="Times New Roman" w:eastAsia="宋体"/>
                <w:b/>
                <w:bCs/>
                <w:color w:val="auto"/>
                <w:sz w:val="21"/>
                <w:szCs w:val="21"/>
              </w:rPr>
              <w:t>表4-</w:t>
            </w:r>
            <w:r>
              <w:rPr>
                <w:rFonts w:hint="eastAsia" w:ascii="Times New Roman" w:hAnsi="Times New Roman" w:eastAsia="宋体"/>
                <w:b/>
                <w:bCs/>
                <w:color w:val="auto"/>
                <w:sz w:val="21"/>
                <w:szCs w:val="21"/>
                <w:lang w:val="en-US" w:eastAsia="zh-CN"/>
              </w:rPr>
              <w:t>1</w:t>
            </w:r>
            <w:r>
              <w:rPr>
                <w:rFonts w:hint="eastAsia"/>
                <w:b/>
                <w:bCs/>
                <w:color w:val="auto"/>
                <w:sz w:val="21"/>
                <w:szCs w:val="21"/>
                <w:lang w:val="en-US" w:eastAsia="zh-CN"/>
              </w:rPr>
              <w:t xml:space="preserve">5  </w:t>
            </w:r>
            <w:r>
              <w:rPr>
                <w:rFonts w:hint="eastAsia" w:ascii="Times New Roman" w:hAnsi="Times New Roman" w:eastAsia="宋体"/>
                <w:b/>
                <w:bCs/>
                <w:color w:val="auto"/>
                <w:sz w:val="21"/>
                <w:szCs w:val="21"/>
              </w:rPr>
              <w:t>本项目废水间接排放口基本信息表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39"/>
              <w:gridCol w:w="726"/>
              <w:gridCol w:w="1330"/>
              <w:gridCol w:w="1228"/>
              <w:gridCol w:w="781"/>
              <w:gridCol w:w="587"/>
              <w:gridCol w:w="304"/>
              <w:gridCol w:w="361"/>
              <w:gridCol w:w="390"/>
              <w:gridCol w:w="663"/>
              <w:gridCol w:w="1337"/>
            </w:tblGrid>
            <w:tr w14:paraId="655E9C1E">
              <w:tc>
                <w:tcPr>
                  <w:tcW w:w="151" w:type="pct"/>
                  <w:vMerge w:val="restart"/>
                  <w:tcBorders>
                    <w:tl2br w:val="nil"/>
                    <w:tr2bl w:val="nil"/>
                  </w:tcBorders>
                  <w:noWrap w:val="0"/>
                  <w:tcMar>
                    <w:top w:w="0" w:type="dxa"/>
                    <w:left w:w="0" w:type="dxa"/>
                    <w:bottom w:w="0" w:type="dxa"/>
                    <w:right w:w="0" w:type="dxa"/>
                  </w:tcMar>
                  <w:vAlign w:val="center"/>
                </w:tcPr>
                <w:p w14:paraId="38A2B65F">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序号</w:t>
                  </w:r>
                </w:p>
              </w:tc>
              <w:tc>
                <w:tcPr>
                  <w:tcW w:w="457" w:type="pct"/>
                  <w:vMerge w:val="restart"/>
                  <w:tcBorders>
                    <w:tl2br w:val="nil"/>
                    <w:tr2bl w:val="nil"/>
                  </w:tcBorders>
                  <w:noWrap w:val="0"/>
                  <w:tcMar>
                    <w:top w:w="0" w:type="dxa"/>
                    <w:left w:w="0" w:type="dxa"/>
                    <w:bottom w:w="0" w:type="dxa"/>
                    <w:right w:w="0" w:type="dxa"/>
                  </w:tcMar>
                  <w:vAlign w:val="center"/>
                </w:tcPr>
                <w:p w14:paraId="0F8412F8">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排放口编号</w:t>
                  </w:r>
                </w:p>
              </w:tc>
              <w:tc>
                <w:tcPr>
                  <w:tcW w:w="1608" w:type="pct"/>
                  <w:gridSpan w:val="2"/>
                  <w:tcBorders>
                    <w:tl2br w:val="nil"/>
                    <w:tr2bl w:val="nil"/>
                  </w:tcBorders>
                  <w:noWrap w:val="0"/>
                  <w:tcMar>
                    <w:top w:w="0" w:type="dxa"/>
                    <w:left w:w="0" w:type="dxa"/>
                    <w:bottom w:w="0" w:type="dxa"/>
                    <w:right w:w="0" w:type="dxa"/>
                  </w:tcMar>
                  <w:vAlign w:val="center"/>
                </w:tcPr>
                <w:p w14:paraId="7C92E629">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排放口地理坐标</w:t>
                  </w:r>
                </w:p>
              </w:tc>
              <w:tc>
                <w:tcPr>
                  <w:tcW w:w="491" w:type="pct"/>
                  <w:vMerge w:val="restart"/>
                  <w:tcBorders>
                    <w:tl2br w:val="nil"/>
                    <w:tr2bl w:val="nil"/>
                  </w:tcBorders>
                  <w:noWrap w:val="0"/>
                  <w:tcMar>
                    <w:top w:w="0" w:type="dxa"/>
                    <w:left w:w="0" w:type="dxa"/>
                    <w:bottom w:w="0" w:type="dxa"/>
                    <w:right w:w="0" w:type="dxa"/>
                  </w:tcMar>
                  <w:vAlign w:val="center"/>
                </w:tcPr>
                <w:p w14:paraId="25916264">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废水排放量（t/a）</w:t>
                  </w:r>
                </w:p>
              </w:tc>
              <w:tc>
                <w:tcPr>
                  <w:tcW w:w="369" w:type="pct"/>
                  <w:vMerge w:val="restart"/>
                  <w:tcBorders>
                    <w:tl2br w:val="nil"/>
                    <w:tr2bl w:val="nil"/>
                  </w:tcBorders>
                  <w:noWrap w:val="0"/>
                  <w:tcMar>
                    <w:top w:w="0" w:type="dxa"/>
                    <w:left w:w="0" w:type="dxa"/>
                    <w:bottom w:w="0" w:type="dxa"/>
                    <w:right w:w="0" w:type="dxa"/>
                  </w:tcMar>
                  <w:vAlign w:val="center"/>
                </w:tcPr>
                <w:p w14:paraId="2F2FD62B">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排放去向</w:t>
                  </w:r>
                </w:p>
              </w:tc>
              <w:tc>
                <w:tcPr>
                  <w:tcW w:w="191" w:type="pct"/>
                  <w:vMerge w:val="restart"/>
                  <w:tcBorders>
                    <w:tl2br w:val="nil"/>
                    <w:tr2bl w:val="nil"/>
                  </w:tcBorders>
                  <w:noWrap w:val="0"/>
                  <w:tcMar>
                    <w:top w:w="0" w:type="dxa"/>
                    <w:left w:w="0" w:type="dxa"/>
                    <w:bottom w:w="0" w:type="dxa"/>
                    <w:right w:w="0" w:type="dxa"/>
                  </w:tcMar>
                  <w:vAlign w:val="center"/>
                </w:tcPr>
                <w:p w14:paraId="346E1A2E">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排放规律</w:t>
                  </w:r>
                </w:p>
              </w:tc>
              <w:tc>
                <w:tcPr>
                  <w:tcW w:w="227" w:type="pct"/>
                  <w:vMerge w:val="restart"/>
                  <w:tcBorders>
                    <w:tl2br w:val="nil"/>
                    <w:tr2bl w:val="nil"/>
                  </w:tcBorders>
                  <w:noWrap w:val="0"/>
                  <w:tcMar>
                    <w:top w:w="0" w:type="dxa"/>
                    <w:left w:w="0" w:type="dxa"/>
                    <w:bottom w:w="0" w:type="dxa"/>
                    <w:right w:w="0" w:type="dxa"/>
                  </w:tcMar>
                  <w:vAlign w:val="center"/>
                </w:tcPr>
                <w:p w14:paraId="28FE55F8">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间歇排放时段</w:t>
                  </w:r>
                </w:p>
              </w:tc>
              <w:tc>
                <w:tcPr>
                  <w:tcW w:w="1503" w:type="pct"/>
                  <w:gridSpan w:val="3"/>
                  <w:tcBorders>
                    <w:tl2br w:val="nil"/>
                    <w:tr2bl w:val="nil"/>
                  </w:tcBorders>
                  <w:noWrap w:val="0"/>
                  <w:tcMar>
                    <w:top w:w="0" w:type="dxa"/>
                    <w:left w:w="0" w:type="dxa"/>
                    <w:bottom w:w="0" w:type="dxa"/>
                    <w:right w:w="0" w:type="dxa"/>
                  </w:tcMar>
                  <w:vAlign w:val="center"/>
                </w:tcPr>
                <w:p w14:paraId="5FCD38A5">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收纳污水处理厂信息</w:t>
                  </w:r>
                </w:p>
              </w:tc>
            </w:tr>
            <w:tr w14:paraId="04EDF1D6">
              <w:tc>
                <w:tcPr>
                  <w:tcW w:w="151" w:type="pct"/>
                  <w:vMerge w:val="continue"/>
                  <w:tcBorders>
                    <w:tl2br w:val="nil"/>
                    <w:tr2bl w:val="nil"/>
                  </w:tcBorders>
                  <w:noWrap w:val="0"/>
                  <w:tcMar>
                    <w:top w:w="0" w:type="dxa"/>
                    <w:left w:w="0" w:type="dxa"/>
                    <w:bottom w:w="0" w:type="dxa"/>
                    <w:right w:w="0" w:type="dxa"/>
                  </w:tcMar>
                  <w:vAlign w:val="center"/>
                </w:tcPr>
                <w:p w14:paraId="4E6A1D43">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rPr>
                  </w:pPr>
                </w:p>
              </w:tc>
              <w:tc>
                <w:tcPr>
                  <w:tcW w:w="457" w:type="pct"/>
                  <w:vMerge w:val="continue"/>
                  <w:tcBorders>
                    <w:tl2br w:val="nil"/>
                    <w:tr2bl w:val="nil"/>
                  </w:tcBorders>
                  <w:noWrap w:val="0"/>
                  <w:tcMar>
                    <w:top w:w="0" w:type="dxa"/>
                    <w:left w:w="0" w:type="dxa"/>
                    <w:bottom w:w="0" w:type="dxa"/>
                    <w:right w:w="0" w:type="dxa"/>
                  </w:tcMar>
                  <w:vAlign w:val="center"/>
                </w:tcPr>
                <w:p w14:paraId="63EE40A5">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rPr>
                  </w:pPr>
                </w:p>
              </w:tc>
              <w:tc>
                <w:tcPr>
                  <w:tcW w:w="836" w:type="pct"/>
                  <w:tcBorders>
                    <w:tl2br w:val="nil"/>
                    <w:tr2bl w:val="nil"/>
                  </w:tcBorders>
                  <w:noWrap w:val="0"/>
                  <w:tcMar>
                    <w:top w:w="0" w:type="dxa"/>
                    <w:left w:w="0" w:type="dxa"/>
                    <w:bottom w:w="0" w:type="dxa"/>
                    <w:right w:w="0" w:type="dxa"/>
                  </w:tcMar>
                  <w:vAlign w:val="center"/>
                </w:tcPr>
                <w:p w14:paraId="1C730994">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经度</w:t>
                  </w:r>
                </w:p>
              </w:tc>
              <w:tc>
                <w:tcPr>
                  <w:tcW w:w="771" w:type="pct"/>
                  <w:tcBorders>
                    <w:tl2br w:val="nil"/>
                    <w:tr2bl w:val="nil"/>
                  </w:tcBorders>
                  <w:noWrap w:val="0"/>
                  <w:tcMar>
                    <w:top w:w="0" w:type="dxa"/>
                    <w:left w:w="0" w:type="dxa"/>
                    <w:bottom w:w="0" w:type="dxa"/>
                    <w:right w:w="0" w:type="dxa"/>
                  </w:tcMar>
                  <w:vAlign w:val="center"/>
                </w:tcPr>
                <w:p w14:paraId="749FCA36">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纬度</w:t>
                  </w:r>
                </w:p>
              </w:tc>
              <w:tc>
                <w:tcPr>
                  <w:tcW w:w="491" w:type="pct"/>
                  <w:vMerge w:val="continue"/>
                  <w:tcBorders>
                    <w:tl2br w:val="nil"/>
                    <w:tr2bl w:val="nil"/>
                  </w:tcBorders>
                  <w:noWrap w:val="0"/>
                  <w:tcMar>
                    <w:top w:w="0" w:type="dxa"/>
                    <w:left w:w="0" w:type="dxa"/>
                    <w:bottom w:w="0" w:type="dxa"/>
                    <w:right w:w="0" w:type="dxa"/>
                  </w:tcMar>
                  <w:vAlign w:val="center"/>
                </w:tcPr>
                <w:p w14:paraId="0E06B3D6">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rPr>
                  </w:pPr>
                </w:p>
              </w:tc>
              <w:tc>
                <w:tcPr>
                  <w:tcW w:w="369" w:type="pct"/>
                  <w:vMerge w:val="continue"/>
                  <w:tcBorders>
                    <w:tl2br w:val="nil"/>
                    <w:tr2bl w:val="nil"/>
                  </w:tcBorders>
                  <w:noWrap w:val="0"/>
                  <w:tcMar>
                    <w:top w:w="0" w:type="dxa"/>
                    <w:left w:w="0" w:type="dxa"/>
                    <w:bottom w:w="0" w:type="dxa"/>
                    <w:right w:w="0" w:type="dxa"/>
                  </w:tcMar>
                  <w:vAlign w:val="center"/>
                </w:tcPr>
                <w:p w14:paraId="145D61E5">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rPr>
                  </w:pPr>
                </w:p>
              </w:tc>
              <w:tc>
                <w:tcPr>
                  <w:tcW w:w="191" w:type="pct"/>
                  <w:vMerge w:val="continue"/>
                  <w:tcBorders>
                    <w:tl2br w:val="nil"/>
                    <w:tr2bl w:val="nil"/>
                  </w:tcBorders>
                  <w:noWrap w:val="0"/>
                  <w:tcMar>
                    <w:top w:w="0" w:type="dxa"/>
                    <w:left w:w="0" w:type="dxa"/>
                    <w:bottom w:w="0" w:type="dxa"/>
                    <w:right w:w="0" w:type="dxa"/>
                  </w:tcMar>
                  <w:vAlign w:val="center"/>
                </w:tcPr>
                <w:p w14:paraId="070AD20C">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rPr>
                  </w:pPr>
                </w:p>
              </w:tc>
              <w:tc>
                <w:tcPr>
                  <w:tcW w:w="227" w:type="pct"/>
                  <w:vMerge w:val="continue"/>
                  <w:tcBorders>
                    <w:tl2br w:val="nil"/>
                    <w:tr2bl w:val="nil"/>
                  </w:tcBorders>
                  <w:noWrap w:val="0"/>
                  <w:tcMar>
                    <w:top w:w="0" w:type="dxa"/>
                    <w:left w:w="0" w:type="dxa"/>
                    <w:bottom w:w="0" w:type="dxa"/>
                    <w:right w:w="0" w:type="dxa"/>
                  </w:tcMar>
                  <w:vAlign w:val="center"/>
                </w:tcPr>
                <w:p w14:paraId="6FC7CFD1">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rPr>
                  </w:pPr>
                </w:p>
              </w:tc>
              <w:tc>
                <w:tcPr>
                  <w:tcW w:w="245" w:type="pct"/>
                  <w:tcBorders>
                    <w:tl2br w:val="nil"/>
                    <w:tr2bl w:val="nil"/>
                  </w:tcBorders>
                  <w:noWrap w:val="0"/>
                  <w:tcMar>
                    <w:top w:w="0" w:type="dxa"/>
                    <w:left w:w="0" w:type="dxa"/>
                    <w:bottom w:w="0" w:type="dxa"/>
                    <w:right w:w="0" w:type="dxa"/>
                  </w:tcMar>
                  <w:vAlign w:val="center"/>
                </w:tcPr>
                <w:p w14:paraId="389E85CC">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名称</w:t>
                  </w:r>
                </w:p>
              </w:tc>
              <w:tc>
                <w:tcPr>
                  <w:tcW w:w="417" w:type="pct"/>
                  <w:tcBorders>
                    <w:tl2br w:val="nil"/>
                    <w:tr2bl w:val="nil"/>
                  </w:tcBorders>
                  <w:noWrap w:val="0"/>
                  <w:tcMar>
                    <w:top w:w="0" w:type="dxa"/>
                    <w:left w:w="0" w:type="dxa"/>
                    <w:bottom w:w="0" w:type="dxa"/>
                    <w:right w:w="0" w:type="dxa"/>
                  </w:tcMar>
                  <w:vAlign w:val="center"/>
                </w:tcPr>
                <w:p w14:paraId="0B142763">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污染物种类</w:t>
                  </w:r>
                </w:p>
              </w:tc>
              <w:tc>
                <w:tcPr>
                  <w:tcW w:w="840" w:type="pct"/>
                  <w:tcBorders>
                    <w:tl2br w:val="nil"/>
                    <w:tr2bl w:val="nil"/>
                  </w:tcBorders>
                  <w:noWrap w:val="0"/>
                  <w:tcMar>
                    <w:top w:w="0" w:type="dxa"/>
                    <w:left w:w="0" w:type="dxa"/>
                    <w:bottom w:w="0" w:type="dxa"/>
                    <w:right w:w="0" w:type="dxa"/>
                  </w:tcMar>
                  <w:vAlign w:val="center"/>
                </w:tcPr>
                <w:p w14:paraId="3A2C3F55">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国家或地方污染物排放标准浓度限值（mg/L）</w:t>
                  </w:r>
                </w:p>
              </w:tc>
            </w:tr>
            <w:tr w14:paraId="365BA1B8">
              <w:trPr>
                <w:trHeight w:val="369" w:hRule="atLeast"/>
              </w:trPr>
              <w:tc>
                <w:tcPr>
                  <w:tcW w:w="151" w:type="pct"/>
                  <w:vMerge w:val="restart"/>
                  <w:tcBorders>
                    <w:tl2br w:val="nil"/>
                    <w:tr2bl w:val="nil"/>
                  </w:tcBorders>
                  <w:noWrap w:val="0"/>
                  <w:tcMar>
                    <w:top w:w="0" w:type="dxa"/>
                    <w:left w:w="0" w:type="dxa"/>
                    <w:bottom w:w="0" w:type="dxa"/>
                    <w:right w:w="0" w:type="dxa"/>
                  </w:tcMar>
                  <w:vAlign w:val="center"/>
                </w:tcPr>
                <w:p w14:paraId="153A255F">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w:t>
                  </w:r>
                </w:p>
              </w:tc>
              <w:tc>
                <w:tcPr>
                  <w:tcW w:w="457" w:type="pct"/>
                  <w:vMerge w:val="restart"/>
                  <w:tcBorders>
                    <w:tl2br w:val="nil"/>
                    <w:tr2bl w:val="nil"/>
                  </w:tcBorders>
                  <w:noWrap w:val="0"/>
                  <w:tcMar>
                    <w:top w:w="0" w:type="dxa"/>
                    <w:left w:w="0" w:type="dxa"/>
                    <w:bottom w:w="0" w:type="dxa"/>
                    <w:right w:w="0" w:type="dxa"/>
                  </w:tcMar>
                  <w:vAlign w:val="center"/>
                </w:tcPr>
                <w:p w14:paraId="476692EB">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DW001</w:t>
                  </w:r>
                </w:p>
              </w:tc>
              <w:tc>
                <w:tcPr>
                  <w:tcW w:w="836" w:type="pct"/>
                  <w:vMerge w:val="restart"/>
                  <w:tcBorders>
                    <w:tl2br w:val="nil"/>
                    <w:tr2bl w:val="nil"/>
                  </w:tcBorders>
                  <w:noWrap w:val="0"/>
                  <w:tcMar>
                    <w:top w:w="0" w:type="dxa"/>
                    <w:left w:w="0" w:type="dxa"/>
                    <w:bottom w:w="0" w:type="dxa"/>
                    <w:right w:w="0" w:type="dxa"/>
                  </w:tcMar>
                  <w:vAlign w:val="center"/>
                </w:tcPr>
                <w:p w14:paraId="4815E19A">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119°1</w:t>
                  </w: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59.607</w:t>
                  </w:r>
                  <w:r>
                    <w:rPr>
                      <w:rFonts w:hint="default" w:ascii="Times New Roman" w:hAnsi="Times New Roman" w:eastAsia="宋体" w:cs="Times New Roman"/>
                      <w:color w:val="auto"/>
                      <w:sz w:val="21"/>
                      <w:szCs w:val="21"/>
                    </w:rPr>
                    <w:t>″</w:t>
                  </w:r>
                </w:p>
              </w:tc>
              <w:tc>
                <w:tcPr>
                  <w:tcW w:w="771" w:type="pct"/>
                  <w:vMerge w:val="restart"/>
                  <w:tcBorders>
                    <w:tl2br w:val="nil"/>
                    <w:tr2bl w:val="nil"/>
                  </w:tcBorders>
                  <w:noWrap w:val="0"/>
                  <w:tcMar>
                    <w:top w:w="0" w:type="dxa"/>
                    <w:left w:w="0" w:type="dxa"/>
                    <w:bottom w:w="0" w:type="dxa"/>
                    <w:right w:w="0" w:type="dxa"/>
                  </w:tcMar>
                  <w:vAlign w:val="center"/>
                </w:tcPr>
                <w:p w14:paraId="23BC1FA3">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33°48′</w:t>
                  </w:r>
                  <w:r>
                    <w:rPr>
                      <w:rFonts w:hint="eastAsia" w:cs="Times New Roman"/>
                      <w:color w:val="auto"/>
                      <w:sz w:val="21"/>
                      <w:szCs w:val="21"/>
                      <w:lang w:val="en-US" w:eastAsia="zh-CN"/>
                    </w:rPr>
                    <w:t>11.212</w:t>
                  </w:r>
                  <w:r>
                    <w:rPr>
                      <w:rFonts w:hint="default" w:ascii="Times New Roman" w:hAnsi="Times New Roman" w:eastAsia="宋体" w:cs="Times New Roman"/>
                      <w:color w:val="auto"/>
                      <w:sz w:val="21"/>
                      <w:szCs w:val="21"/>
                    </w:rPr>
                    <w:t>″</w:t>
                  </w:r>
                </w:p>
              </w:tc>
              <w:tc>
                <w:tcPr>
                  <w:tcW w:w="491" w:type="pct"/>
                  <w:vMerge w:val="restart"/>
                  <w:tcBorders>
                    <w:tl2br w:val="nil"/>
                    <w:tr2bl w:val="nil"/>
                  </w:tcBorders>
                  <w:noWrap w:val="0"/>
                  <w:tcMar>
                    <w:top w:w="0" w:type="dxa"/>
                    <w:left w:w="0" w:type="dxa"/>
                    <w:bottom w:w="0" w:type="dxa"/>
                    <w:right w:w="0" w:type="dxa"/>
                  </w:tcMar>
                  <w:vAlign w:val="center"/>
                </w:tcPr>
                <w:p w14:paraId="475FEE46">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99480</w:t>
                  </w:r>
                </w:p>
              </w:tc>
              <w:tc>
                <w:tcPr>
                  <w:tcW w:w="369" w:type="pct"/>
                  <w:vMerge w:val="restart"/>
                  <w:tcBorders>
                    <w:tl2br w:val="nil"/>
                    <w:tr2bl w:val="nil"/>
                  </w:tcBorders>
                  <w:noWrap w:val="0"/>
                  <w:tcMar>
                    <w:top w:w="0" w:type="dxa"/>
                    <w:left w:w="0" w:type="dxa"/>
                    <w:bottom w:w="0" w:type="dxa"/>
                    <w:right w:w="0" w:type="dxa"/>
                  </w:tcMar>
                  <w:vAlign w:val="center"/>
                </w:tcPr>
                <w:p w14:paraId="6DE48ED6">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涟水经济开发区西区污水处理厂</w:t>
                  </w:r>
                </w:p>
              </w:tc>
              <w:tc>
                <w:tcPr>
                  <w:tcW w:w="191" w:type="pct"/>
                  <w:vMerge w:val="restart"/>
                  <w:tcBorders>
                    <w:tl2br w:val="nil"/>
                    <w:tr2bl w:val="nil"/>
                  </w:tcBorders>
                  <w:noWrap w:val="0"/>
                  <w:tcMar>
                    <w:top w:w="0" w:type="dxa"/>
                    <w:left w:w="0" w:type="dxa"/>
                    <w:bottom w:w="0" w:type="dxa"/>
                    <w:right w:w="0" w:type="dxa"/>
                  </w:tcMar>
                  <w:vAlign w:val="center"/>
                </w:tcPr>
                <w:p w14:paraId="35B898EF">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间断排放</w:t>
                  </w:r>
                </w:p>
              </w:tc>
              <w:tc>
                <w:tcPr>
                  <w:tcW w:w="227" w:type="pct"/>
                  <w:vMerge w:val="restart"/>
                  <w:tcBorders>
                    <w:tl2br w:val="nil"/>
                    <w:tr2bl w:val="nil"/>
                  </w:tcBorders>
                  <w:noWrap w:val="0"/>
                  <w:tcMar>
                    <w:top w:w="0" w:type="dxa"/>
                    <w:left w:w="0" w:type="dxa"/>
                    <w:bottom w:w="0" w:type="dxa"/>
                    <w:right w:w="0" w:type="dxa"/>
                  </w:tcMar>
                  <w:vAlign w:val="center"/>
                </w:tcPr>
                <w:p w14:paraId="33A64AF2">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w:t>
                  </w:r>
                </w:p>
              </w:tc>
              <w:tc>
                <w:tcPr>
                  <w:tcW w:w="245" w:type="pct"/>
                  <w:vMerge w:val="restart"/>
                  <w:tcBorders>
                    <w:tl2br w:val="nil"/>
                    <w:tr2bl w:val="nil"/>
                  </w:tcBorders>
                  <w:noWrap w:val="0"/>
                  <w:tcMar>
                    <w:top w:w="0" w:type="dxa"/>
                    <w:left w:w="0" w:type="dxa"/>
                    <w:bottom w:w="0" w:type="dxa"/>
                    <w:right w:w="0" w:type="dxa"/>
                  </w:tcMar>
                  <w:vAlign w:val="center"/>
                </w:tcPr>
                <w:p w14:paraId="7A9F95CC">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综合废水</w:t>
                  </w:r>
                  <w:r>
                    <w:rPr>
                      <w:rFonts w:hint="eastAsia" w:ascii="Times New Roman" w:hAnsi="Times New Roman" w:eastAsia="宋体" w:cs="Times New Roman"/>
                      <w:color w:val="auto"/>
                      <w:sz w:val="21"/>
                      <w:szCs w:val="21"/>
                      <w:lang w:val="en-US" w:eastAsia="zh-CN"/>
                    </w:rPr>
                    <w:t>排放口</w:t>
                  </w:r>
                </w:p>
              </w:tc>
              <w:tc>
                <w:tcPr>
                  <w:tcW w:w="417" w:type="pct"/>
                  <w:tcBorders>
                    <w:tl2br w:val="nil"/>
                    <w:tr2bl w:val="nil"/>
                  </w:tcBorders>
                  <w:noWrap w:val="0"/>
                  <w:tcMar>
                    <w:top w:w="0" w:type="dxa"/>
                    <w:left w:w="0" w:type="dxa"/>
                    <w:bottom w:w="0" w:type="dxa"/>
                    <w:right w:w="0" w:type="dxa"/>
                  </w:tcMar>
                  <w:vAlign w:val="center"/>
                </w:tcPr>
                <w:p w14:paraId="720C1BC5">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COD</w:t>
                  </w:r>
                </w:p>
              </w:tc>
              <w:tc>
                <w:tcPr>
                  <w:tcW w:w="840" w:type="pct"/>
                  <w:tcBorders>
                    <w:tl2br w:val="nil"/>
                    <w:tr2bl w:val="nil"/>
                  </w:tcBorders>
                  <w:noWrap w:val="0"/>
                  <w:tcMar>
                    <w:top w:w="0" w:type="dxa"/>
                    <w:left w:w="0" w:type="dxa"/>
                    <w:bottom w:w="0" w:type="dxa"/>
                    <w:right w:w="0" w:type="dxa"/>
                  </w:tcMar>
                  <w:vAlign w:val="center"/>
                </w:tcPr>
                <w:p w14:paraId="7FACBAC3">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r>
            <w:tr w14:paraId="33C6E955">
              <w:trPr>
                <w:trHeight w:val="369" w:hRule="atLeast"/>
              </w:trPr>
              <w:tc>
                <w:tcPr>
                  <w:tcW w:w="151" w:type="pct"/>
                  <w:vMerge w:val="continue"/>
                  <w:tcBorders>
                    <w:tl2br w:val="nil"/>
                    <w:tr2bl w:val="nil"/>
                  </w:tcBorders>
                  <w:noWrap w:val="0"/>
                  <w:tcMar>
                    <w:top w:w="0" w:type="dxa"/>
                    <w:left w:w="0" w:type="dxa"/>
                    <w:bottom w:w="0" w:type="dxa"/>
                    <w:right w:w="0" w:type="dxa"/>
                  </w:tcMar>
                  <w:vAlign w:val="center"/>
                </w:tcPr>
                <w:p w14:paraId="77233546">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457" w:type="pct"/>
                  <w:vMerge w:val="continue"/>
                  <w:tcBorders>
                    <w:tl2br w:val="nil"/>
                    <w:tr2bl w:val="nil"/>
                  </w:tcBorders>
                  <w:noWrap w:val="0"/>
                  <w:tcMar>
                    <w:top w:w="0" w:type="dxa"/>
                    <w:left w:w="0" w:type="dxa"/>
                    <w:bottom w:w="0" w:type="dxa"/>
                    <w:right w:w="0" w:type="dxa"/>
                  </w:tcMar>
                  <w:vAlign w:val="center"/>
                </w:tcPr>
                <w:p w14:paraId="42BDDC52">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836" w:type="pct"/>
                  <w:vMerge w:val="continue"/>
                  <w:tcBorders>
                    <w:tl2br w:val="nil"/>
                    <w:tr2bl w:val="nil"/>
                  </w:tcBorders>
                  <w:noWrap w:val="0"/>
                  <w:tcMar>
                    <w:top w:w="0" w:type="dxa"/>
                    <w:left w:w="0" w:type="dxa"/>
                    <w:bottom w:w="0" w:type="dxa"/>
                    <w:right w:w="0" w:type="dxa"/>
                  </w:tcMar>
                  <w:vAlign w:val="center"/>
                </w:tcPr>
                <w:p w14:paraId="04473EF9">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771" w:type="pct"/>
                  <w:vMerge w:val="continue"/>
                  <w:tcBorders>
                    <w:tl2br w:val="nil"/>
                    <w:tr2bl w:val="nil"/>
                  </w:tcBorders>
                  <w:noWrap w:val="0"/>
                  <w:tcMar>
                    <w:top w:w="0" w:type="dxa"/>
                    <w:left w:w="0" w:type="dxa"/>
                    <w:bottom w:w="0" w:type="dxa"/>
                    <w:right w:w="0" w:type="dxa"/>
                  </w:tcMar>
                  <w:vAlign w:val="center"/>
                </w:tcPr>
                <w:p w14:paraId="03CE55B1">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491" w:type="pct"/>
                  <w:vMerge w:val="continue"/>
                  <w:tcBorders>
                    <w:tl2br w:val="nil"/>
                    <w:tr2bl w:val="nil"/>
                  </w:tcBorders>
                  <w:noWrap w:val="0"/>
                  <w:tcMar>
                    <w:top w:w="0" w:type="dxa"/>
                    <w:left w:w="0" w:type="dxa"/>
                    <w:bottom w:w="0" w:type="dxa"/>
                    <w:right w:w="0" w:type="dxa"/>
                  </w:tcMar>
                  <w:vAlign w:val="center"/>
                </w:tcPr>
                <w:p w14:paraId="3E414142">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369" w:type="pct"/>
                  <w:vMerge w:val="continue"/>
                  <w:tcBorders>
                    <w:tl2br w:val="nil"/>
                    <w:tr2bl w:val="nil"/>
                  </w:tcBorders>
                  <w:noWrap w:val="0"/>
                  <w:tcMar>
                    <w:top w:w="0" w:type="dxa"/>
                    <w:left w:w="0" w:type="dxa"/>
                    <w:bottom w:w="0" w:type="dxa"/>
                    <w:right w:w="0" w:type="dxa"/>
                  </w:tcMar>
                  <w:vAlign w:val="center"/>
                </w:tcPr>
                <w:p w14:paraId="4A3BD064">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191" w:type="pct"/>
                  <w:vMerge w:val="continue"/>
                  <w:tcBorders>
                    <w:tl2br w:val="nil"/>
                    <w:tr2bl w:val="nil"/>
                  </w:tcBorders>
                  <w:noWrap w:val="0"/>
                  <w:tcMar>
                    <w:top w:w="0" w:type="dxa"/>
                    <w:left w:w="0" w:type="dxa"/>
                    <w:bottom w:w="0" w:type="dxa"/>
                    <w:right w:w="0" w:type="dxa"/>
                  </w:tcMar>
                  <w:vAlign w:val="center"/>
                </w:tcPr>
                <w:p w14:paraId="138BEB4E">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227" w:type="pct"/>
                  <w:vMerge w:val="continue"/>
                  <w:tcBorders>
                    <w:tl2br w:val="nil"/>
                    <w:tr2bl w:val="nil"/>
                  </w:tcBorders>
                  <w:noWrap w:val="0"/>
                  <w:tcMar>
                    <w:top w:w="0" w:type="dxa"/>
                    <w:left w:w="0" w:type="dxa"/>
                    <w:bottom w:w="0" w:type="dxa"/>
                    <w:right w:w="0" w:type="dxa"/>
                  </w:tcMar>
                  <w:vAlign w:val="center"/>
                </w:tcPr>
                <w:p w14:paraId="7EDE2AE4">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245" w:type="pct"/>
                  <w:vMerge w:val="continue"/>
                  <w:tcBorders>
                    <w:tl2br w:val="nil"/>
                    <w:tr2bl w:val="nil"/>
                  </w:tcBorders>
                  <w:noWrap w:val="0"/>
                  <w:tcMar>
                    <w:top w:w="0" w:type="dxa"/>
                    <w:left w:w="0" w:type="dxa"/>
                    <w:bottom w:w="0" w:type="dxa"/>
                    <w:right w:w="0" w:type="dxa"/>
                  </w:tcMar>
                  <w:vAlign w:val="center"/>
                </w:tcPr>
                <w:p w14:paraId="7CCEEDBC">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417" w:type="pct"/>
                  <w:tcBorders>
                    <w:tl2br w:val="nil"/>
                    <w:tr2bl w:val="nil"/>
                  </w:tcBorders>
                  <w:noWrap w:val="0"/>
                  <w:tcMar>
                    <w:top w:w="0" w:type="dxa"/>
                    <w:left w:w="0" w:type="dxa"/>
                    <w:bottom w:w="0" w:type="dxa"/>
                    <w:right w:w="0" w:type="dxa"/>
                  </w:tcMar>
                  <w:vAlign w:val="center"/>
                </w:tcPr>
                <w:p w14:paraId="6B4F31AB">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SS</w:t>
                  </w:r>
                </w:p>
              </w:tc>
              <w:tc>
                <w:tcPr>
                  <w:tcW w:w="840" w:type="pct"/>
                  <w:tcBorders>
                    <w:tl2br w:val="nil"/>
                    <w:tr2bl w:val="nil"/>
                  </w:tcBorders>
                  <w:noWrap w:val="0"/>
                  <w:tcMar>
                    <w:top w:w="0" w:type="dxa"/>
                    <w:left w:w="0" w:type="dxa"/>
                    <w:bottom w:w="0" w:type="dxa"/>
                    <w:right w:w="0" w:type="dxa"/>
                  </w:tcMar>
                  <w:vAlign w:val="center"/>
                </w:tcPr>
                <w:p w14:paraId="7E8E539F">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r>
            <w:tr w14:paraId="52C3F4DE">
              <w:trPr>
                <w:trHeight w:val="369" w:hRule="atLeast"/>
              </w:trPr>
              <w:tc>
                <w:tcPr>
                  <w:tcW w:w="151" w:type="pct"/>
                  <w:vMerge w:val="continue"/>
                  <w:tcBorders>
                    <w:tl2br w:val="nil"/>
                    <w:tr2bl w:val="nil"/>
                  </w:tcBorders>
                  <w:noWrap w:val="0"/>
                  <w:tcMar>
                    <w:top w:w="0" w:type="dxa"/>
                    <w:left w:w="0" w:type="dxa"/>
                    <w:bottom w:w="0" w:type="dxa"/>
                    <w:right w:w="0" w:type="dxa"/>
                  </w:tcMar>
                  <w:vAlign w:val="center"/>
                </w:tcPr>
                <w:p w14:paraId="54E3522B">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457" w:type="pct"/>
                  <w:vMerge w:val="continue"/>
                  <w:tcBorders>
                    <w:tl2br w:val="nil"/>
                    <w:tr2bl w:val="nil"/>
                  </w:tcBorders>
                  <w:noWrap w:val="0"/>
                  <w:tcMar>
                    <w:top w:w="0" w:type="dxa"/>
                    <w:left w:w="0" w:type="dxa"/>
                    <w:bottom w:w="0" w:type="dxa"/>
                    <w:right w:w="0" w:type="dxa"/>
                  </w:tcMar>
                  <w:vAlign w:val="center"/>
                </w:tcPr>
                <w:p w14:paraId="636301D0">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836" w:type="pct"/>
                  <w:vMerge w:val="continue"/>
                  <w:tcBorders>
                    <w:tl2br w:val="nil"/>
                    <w:tr2bl w:val="nil"/>
                  </w:tcBorders>
                  <w:noWrap w:val="0"/>
                  <w:tcMar>
                    <w:top w:w="0" w:type="dxa"/>
                    <w:left w:w="0" w:type="dxa"/>
                    <w:bottom w:w="0" w:type="dxa"/>
                    <w:right w:w="0" w:type="dxa"/>
                  </w:tcMar>
                  <w:vAlign w:val="center"/>
                </w:tcPr>
                <w:p w14:paraId="40FE218A">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771" w:type="pct"/>
                  <w:vMerge w:val="continue"/>
                  <w:tcBorders>
                    <w:tl2br w:val="nil"/>
                    <w:tr2bl w:val="nil"/>
                  </w:tcBorders>
                  <w:noWrap w:val="0"/>
                  <w:tcMar>
                    <w:top w:w="0" w:type="dxa"/>
                    <w:left w:w="0" w:type="dxa"/>
                    <w:bottom w:w="0" w:type="dxa"/>
                    <w:right w:w="0" w:type="dxa"/>
                  </w:tcMar>
                  <w:vAlign w:val="center"/>
                </w:tcPr>
                <w:p w14:paraId="31B5500D">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491" w:type="pct"/>
                  <w:vMerge w:val="continue"/>
                  <w:tcBorders>
                    <w:tl2br w:val="nil"/>
                    <w:tr2bl w:val="nil"/>
                  </w:tcBorders>
                  <w:noWrap w:val="0"/>
                  <w:tcMar>
                    <w:top w:w="0" w:type="dxa"/>
                    <w:left w:w="0" w:type="dxa"/>
                    <w:bottom w:w="0" w:type="dxa"/>
                    <w:right w:w="0" w:type="dxa"/>
                  </w:tcMar>
                  <w:vAlign w:val="center"/>
                </w:tcPr>
                <w:p w14:paraId="3D1ACC81">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369" w:type="pct"/>
                  <w:vMerge w:val="continue"/>
                  <w:tcBorders>
                    <w:tl2br w:val="nil"/>
                    <w:tr2bl w:val="nil"/>
                  </w:tcBorders>
                  <w:noWrap w:val="0"/>
                  <w:tcMar>
                    <w:top w:w="0" w:type="dxa"/>
                    <w:left w:w="0" w:type="dxa"/>
                    <w:bottom w:w="0" w:type="dxa"/>
                    <w:right w:w="0" w:type="dxa"/>
                  </w:tcMar>
                  <w:vAlign w:val="center"/>
                </w:tcPr>
                <w:p w14:paraId="5C72189A">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191" w:type="pct"/>
                  <w:vMerge w:val="continue"/>
                  <w:tcBorders>
                    <w:tl2br w:val="nil"/>
                    <w:tr2bl w:val="nil"/>
                  </w:tcBorders>
                  <w:noWrap w:val="0"/>
                  <w:tcMar>
                    <w:top w:w="0" w:type="dxa"/>
                    <w:left w:w="0" w:type="dxa"/>
                    <w:bottom w:w="0" w:type="dxa"/>
                    <w:right w:w="0" w:type="dxa"/>
                  </w:tcMar>
                  <w:vAlign w:val="center"/>
                </w:tcPr>
                <w:p w14:paraId="3040CDE0">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227" w:type="pct"/>
                  <w:vMerge w:val="continue"/>
                  <w:tcBorders>
                    <w:tl2br w:val="nil"/>
                    <w:tr2bl w:val="nil"/>
                  </w:tcBorders>
                  <w:noWrap w:val="0"/>
                  <w:tcMar>
                    <w:top w:w="0" w:type="dxa"/>
                    <w:left w:w="0" w:type="dxa"/>
                    <w:bottom w:w="0" w:type="dxa"/>
                    <w:right w:w="0" w:type="dxa"/>
                  </w:tcMar>
                  <w:vAlign w:val="center"/>
                </w:tcPr>
                <w:p w14:paraId="2C87C77F">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245" w:type="pct"/>
                  <w:vMerge w:val="continue"/>
                  <w:tcBorders>
                    <w:tl2br w:val="nil"/>
                    <w:tr2bl w:val="nil"/>
                  </w:tcBorders>
                  <w:noWrap w:val="0"/>
                  <w:tcMar>
                    <w:top w:w="0" w:type="dxa"/>
                    <w:left w:w="0" w:type="dxa"/>
                    <w:bottom w:w="0" w:type="dxa"/>
                    <w:right w:w="0" w:type="dxa"/>
                  </w:tcMar>
                  <w:vAlign w:val="center"/>
                </w:tcPr>
                <w:p w14:paraId="5DE558D7">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417" w:type="pct"/>
                  <w:tcBorders>
                    <w:tl2br w:val="nil"/>
                    <w:tr2bl w:val="nil"/>
                  </w:tcBorders>
                  <w:noWrap w:val="0"/>
                  <w:tcMar>
                    <w:top w:w="0" w:type="dxa"/>
                    <w:left w:w="0" w:type="dxa"/>
                    <w:bottom w:w="0" w:type="dxa"/>
                    <w:right w:w="0" w:type="dxa"/>
                  </w:tcMar>
                  <w:vAlign w:val="center"/>
                </w:tcPr>
                <w:p w14:paraId="353C043B">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BOD</w:t>
                  </w:r>
                  <w:r>
                    <w:rPr>
                      <w:rFonts w:hint="eastAsia" w:cs="Times New Roman"/>
                      <w:color w:val="auto"/>
                      <w:sz w:val="21"/>
                      <w:szCs w:val="21"/>
                      <w:vertAlign w:val="subscript"/>
                      <w:lang w:val="en-US" w:eastAsia="zh-CN"/>
                    </w:rPr>
                    <w:t>5</w:t>
                  </w:r>
                </w:p>
              </w:tc>
              <w:tc>
                <w:tcPr>
                  <w:tcW w:w="840" w:type="pct"/>
                  <w:tcBorders>
                    <w:tl2br w:val="nil"/>
                    <w:tr2bl w:val="nil"/>
                  </w:tcBorders>
                  <w:noWrap w:val="0"/>
                  <w:tcMar>
                    <w:top w:w="0" w:type="dxa"/>
                    <w:left w:w="0" w:type="dxa"/>
                    <w:bottom w:w="0" w:type="dxa"/>
                    <w:right w:w="0" w:type="dxa"/>
                  </w:tcMar>
                  <w:vAlign w:val="center"/>
                </w:tcPr>
                <w:p w14:paraId="2295B13C">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w:t>
                  </w:r>
                </w:p>
              </w:tc>
            </w:tr>
            <w:tr w14:paraId="402E8268">
              <w:trPr>
                <w:trHeight w:val="369" w:hRule="atLeast"/>
              </w:trPr>
              <w:tc>
                <w:tcPr>
                  <w:tcW w:w="151" w:type="pct"/>
                  <w:vMerge w:val="continue"/>
                  <w:tcBorders>
                    <w:tl2br w:val="nil"/>
                    <w:tr2bl w:val="nil"/>
                  </w:tcBorders>
                  <w:noWrap w:val="0"/>
                  <w:tcMar>
                    <w:top w:w="0" w:type="dxa"/>
                    <w:left w:w="0" w:type="dxa"/>
                    <w:bottom w:w="0" w:type="dxa"/>
                    <w:right w:w="0" w:type="dxa"/>
                  </w:tcMar>
                  <w:vAlign w:val="center"/>
                </w:tcPr>
                <w:p w14:paraId="794AB4DC">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457" w:type="pct"/>
                  <w:vMerge w:val="continue"/>
                  <w:tcBorders>
                    <w:tl2br w:val="nil"/>
                    <w:tr2bl w:val="nil"/>
                  </w:tcBorders>
                  <w:noWrap w:val="0"/>
                  <w:tcMar>
                    <w:top w:w="0" w:type="dxa"/>
                    <w:left w:w="0" w:type="dxa"/>
                    <w:bottom w:w="0" w:type="dxa"/>
                    <w:right w:w="0" w:type="dxa"/>
                  </w:tcMar>
                  <w:vAlign w:val="center"/>
                </w:tcPr>
                <w:p w14:paraId="709FE507">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836" w:type="pct"/>
                  <w:vMerge w:val="continue"/>
                  <w:tcBorders>
                    <w:tl2br w:val="nil"/>
                    <w:tr2bl w:val="nil"/>
                  </w:tcBorders>
                  <w:noWrap w:val="0"/>
                  <w:tcMar>
                    <w:top w:w="0" w:type="dxa"/>
                    <w:left w:w="0" w:type="dxa"/>
                    <w:bottom w:w="0" w:type="dxa"/>
                    <w:right w:w="0" w:type="dxa"/>
                  </w:tcMar>
                  <w:vAlign w:val="center"/>
                </w:tcPr>
                <w:p w14:paraId="3FC4BA54">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771" w:type="pct"/>
                  <w:vMerge w:val="continue"/>
                  <w:tcBorders>
                    <w:tl2br w:val="nil"/>
                    <w:tr2bl w:val="nil"/>
                  </w:tcBorders>
                  <w:noWrap w:val="0"/>
                  <w:tcMar>
                    <w:top w:w="0" w:type="dxa"/>
                    <w:left w:w="0" w:type="dxa"/>
                    <w:bottom w:w="0" w:type="dxa"/>
                    <w:right w:w="0" w:type="dxa"/>
                  </w:tcMar>
                  <w:vAlign w:val="center"/>
                </w:tcPr>
                <w:p w14:paraId="6024B337">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491" w:type="pct"/>
                  <w:vMerge w:val="continue"/>
                  <w:tcBorders>
                    <w:tl2br w:val="nil"/>
                    <w:tr2bl w:val="nil"/>
                  </w:tcBorders>
                  <w:noWrap w:val="0"/>
                  <w:tcMar>
                    <w:top w:w="0" w:type="dxa"/>
                    <w:left w:w="0" w:type="dxa"/>
                    <w:bottom w:w="0" w:type="dxa"/>
                    <w:right w:w="0" w:type="dxa"/>
                  </w:tcMar>
                  <w:vAlign w:val="center"/>
                </w:tcPr>
                <w:p w14:paraId="56782E42">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369" w:type="pct"/>
                  <w:vMerge w:val="continue"/>
                  <w:tcBorders>
                    <w:tl2br w:val="nil"/>
                    <w:tr2bl w:val="nil"/>
                  </w:tcBorders>
                  <w:noWrap w:val="0"/>
                  <w:tcMar>
                    <w:top w:w="0" w:type="dxa"/>
                    <w:left w:w="0" w:type="dxa"/>
                    <w:bottom w:w="0" w:type="dxa"/>
                    <w:right w:w="0" w:type="dxa"/>
                  </w:tcMar>
                  <w:vAlign w:val="center"/>
                </w:tcPr>
                <w:p w14:paraId="7C7F2000">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191" w:type="pct"/>
                  <w:vMerge w:val="continue"/>
                  <w:tcBorders>
                    <w:tl2br w:val="nil"/>
                    <w:tr2bl w:val="nil"/>
                  </w:tcBorders>
                  <w:noWrap w:val="0"/>
                  <w:tcMar>
                    <w:top w:w="0" w:type="dxa"/>
                    <w:left w:w="0" w:type="dxa"/>
                    <w:bottom w:w="0" w:type="dxa"/>
                    <w:right w:w="0" w:type="dxa"/>
                  </w:tcMar>
                  <w:vAlign w:val="center"/>
                </w:tcPr>
                <w:p w14:paraId="7B54311A">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227" w:type="pct"/>
                  <w:vMerge w:val="continue"/>
                  <w:tcBorders>
                    <w:tl2br w:val="nil"/>
                    <w:tr2bl w:val="nil"/>
                  </w:tcBorders>
                  <w:noWrap w:val="0"/>
                  <w:tcMar>
                    <w:top w:w="0" w:type="dxa"/>
                    <w:left w:w="0" w:type="dxa"/>
                    <w:bottom w:w="0" w:type="dxa"/>
                    <w:right w:w="0" w:type="dxa"/>
                  </w:tcMar>
                  <w:vAlign w:val="center"/>
                </w:tcPr>
                <w:p w14:paraId="56B69AD8">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245" w:type="pct"/>
                  <w:vMerge w:val="continue"/>
                  <w:tcBorders>
                    <w:tl2br w:val="nil"/>
                    <w:tr2bl w:val="nil"/>
                  </w:tcBorders>
                  <w:noWrap w:val="0"/>
                  <w:tcMar>
                    <w:top w:w="0" w:type="dxa"/>
                    <w:left w:w="0" w:type="dxa"/>
                    <w:bottom w:w="0" w:type="dxa"/>
                    <w:right w:w="0" w:type="dxa"/>
                  </w:tcMar>
                  <w:vAlign w:val="center"/>
                </w:tcPr>
                <w:p w14:paraId="4F746492">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417" w:type="pct"/>
                  <w:tcBorders>
                    <w:tl2br w:val="nil"/>
                    <w:tr2bl w:val="nil"/>
                  </w:tcBorders>
                  <w:noWrap w:val="0"/>
                  <w:tcMar>
                    <w:top w:w="0" w:type="dxa"/>
                    <w:left w:w="0" w:type="dxa"/>
                    <w:bottom w:w="0" w:type="dxa"/>
                    <w:right w:w="0" w:type="dxa"/>
                  </w:tcMar>
                  <w:vAlign w:val="center"/>
                </w:tcPr>
                <w:p w14:paraId="03AEDDCC">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NH</w:t>
                  </w:r>
                  <w:r>
                    <w:rPr>
                      <w:rFonts w:hint="eastAsia" w:ascii="Times New Roman" w:hAnsi="Times New Roman" w:eastAsia="宋体" w:cs="Times New Roman"/>
                      <w:color w:val="auto"/>
                      <w:sz w:val="21"/>
                      <w:szCs w:val="21"/>
                      <w:vertAlign w:val="subscript"/>
                      <w:lang w:val="en-US" w:eastAsia="zh-CN"/>
                    </w:rPr>
                    <w:t>3</w:t>
                  </w:r>
                  <w:r>
                    <w:rPr>
                      <w:rFonts w:hint="eastAsia" w:ascii="Times New Roman" w:hAnsi="Times New Roman" w:eastAsia="宋体" w:cs="Times New Roman"/>
                      <w:color w:val="auto"/>
                      <w:sz w:val="21"/>
                      <w:szCs w:val="21"/>
                      <w:lang w:val="en-US" w:eastAsia="zh-CN"/>
                    </w:rPr>
                    <w:t>-N</w:t>
                  </w:r>
                </w:p>
              </w:tc>
              <w:tc>
                <w:tcPr>
                  <w:tcW w:w="840" w:type="pct"/>
                  <w:tcBorders>
                    <w:tl2br w:val="nil"/>
                    <w:tr2bl w:val="nil"/>
                  </w:tcBorders>
                  <w:noWrap w:val="0"/>
                  <w:tcMar>
                    <w:top w:w="0" w:type="dxa"/>
                    <w:left w:w="0" w:type="dxa"/>
                    <w:bottom w:w="0" w:type="dxa"/>
                    <w:right w:w="0" w:type="dxa"/>
                  </w:tcMar>
                  <w:vAlign w:val="center"/>
                </w:tcPr>
                <w:p w14:paraId="6538528A">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r>
            <w:tr w14:paraId="76FA8D7F">
              <w:trPr>
                <w:trHeight w:val="369" w:hRule="atLeast"/>
              </w:trPr>
              <w:tc>
                <w:tcPr>
                  <w:tcW w:w="151" w:type="pct"/>
                  <w:vMerge w:val="continue"/>
                  <w:tcBorders>
                    <w:tl2br w:val="nil"/>
                    <w:tr2bl w:val="nil"/>
                  </w:tcBorders>
                  <w:noWrap w:val="0"/>
                  <w:tcMar>
                    <w:top w:w="0" w:type="dxa"/>
                    <w:left w:w="0" w:type="dxa"/>
                    <w:bottom w:w="0" w:type="dxa"/>
                    <w:right w:w="0" w:type="dxa"/>
                  </w:tcMar>
                  <w:vAlign w:val="center"/>
                </w:tcPr>
                <w:p w14:paraId="0B7568A8">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457" w:type="pct"/>
                  <w:vMerge w:val="continue"/>
                  <w:tcBorders>
                    <w:tl2br w:val="nil"/>
                    <w:tr2bl w:val="nil"/>
                  </w:tcBorders>
                  <w:noWrap w:val="0"/>
                  <w:tcMar>
                    <w:top w:w="0" w:type="dxa"/>
                    <w:left w:w="0" w:type="dxa"/>
                    <w:bottom w:w="0" w:type="dxa"/>
                    <w:right w:w="0" w:type="dxa"/>
                  </w:tcMar>
                  <w:vAlign w:val="center"/>
                </w:tcPr>
                <w:p w14:paraId="293A2E0E">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836" w:type="pct"/>
                  <w:vMerge w:val="continue"/>
                  <w:tcBorders>
                    <w:tl2br w:val="nil"/>
                    <w:tr2bl w:val="nil"/>
                  </w:tcBorders>
                  <w:noWrap w:val="0"/>
                  <w:tcMar>
                    <w:top w:w="0" w:type="dxa"/>
                    <w:left w:w="0" w:type="dxa"/>
                    <w:bottom w:w="0" w:type="dxa"/>
                    <w:right w:w="0" w:type="dxa"/>
                  </w:tcMar>
                  <w:vAlign w:val="center"/>
                </w:tcPr>
                <w:p w14:paraId="75519E33">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771" w:type="pct"/>
                  <w:vMerge w:val="continue"/>
                  <w:tcBorders>
                    <w:tl2br w:val="nil"/>
                    <w:tr2bl w:val="nil"/>
                  </w:tcBorders>
                  <w:noWrap w:val="0"/>
                  <w:tcMar>
                    <w:top w:w="0" w:type="dxa"/>
                    <w:left w:w="0" w:type="dxa"/>
                    <w:bottom w:w="0" w:type="dxa"/>
                    <w:right w:w="0" w:type="dxa"/>
                  </w:tcMar>
                  <w:vAlign w:val="center"/>
                </w:tcPr>
                <w:p w14:paraId="28F961AD">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491" w:type="pct"/>
                  <w:vMerge w:val="continue"/>
                  <w:tcBorders>
                    <w:tl2br w:val="nil"/>
                    <w:tr2bl w:val="nil"/>
                  </w:tcBorders>
                  <w:noWrap w:val="0"/>
                  <w:tcMar>
                    <w:top w:w="0" w:type="dxa"/>
                    <w:left w:w="0" w:type="dxa"/>
                    <w:bottom w:w="0" w:type="dxa"/>
                    <w:right w:w="0" w:type="dxa"/>
                  </w:tcMar>
                  <w:vAlign w:val="center"/>
                </w:tcPr>
                <w:p w14:paraId="2992FDE0">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369" w:type="pct"/>
                  <w:vMerge w:val="continue"/>
                  <w:tcBorders>
                    <w:tl2br w:val="nil"/>
                    <w:tr2bl w:val="nil"/>
                  </w:tcBorders>
                  <w:noWrap w:val="0"/>
                  <w:tcMar>
                    <w:top w:w="0" w:type="dxa"/>
                    <w:left w:w="0" w:type="dxa"/>
                    <w:bottom w:w="0" w:type="dxa"/>
                    <w:right w:w="0" w:type="dxa"/>
                  </w:tcMar>
                  <w:vAlign w:val="center"/>
                </w:tcPr>
                <w:p w14:paraId="128842DF">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191" w:type="pct"/>
                  <w:vMerge w:val="continue"/>
                  <w:tcBorders>
                    <w:tl2br w:val="nil"/>
                    <w:tr2bl w:val="nil"/>
                  </w:tcBorders>
                  <w:noWrap w:val="0"/>
                  <w:tcMar>
                    <w:top w:w="0" w:type="dxa"/>
                    <w:left w:w="0" w:type="dxa"/>
                    <w:bottom w:w="0" w:type="dxa"/>
                    <w:right w:w="0" w:type="dxa"/>
                  </w:tcMar>
                  <w:vAlign w:val="center"/>
                </w:tcPr>
                <w:p w14:paraId="19376AC2">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227" w:type="pct"/>
                  <w:vMerge w:val="continue"/>
                  <w:tcBorders>
                    <w:tl2br w:val="nil"/>
                    <w:tr2bl w:val="nil"/>
                  </w:tcBorders>
                  <w:noWrap w:val="0"/>
                  <w:tcMar>
                    <w:top w:w="0" w:type="dxa"/>
                    <w:left w:w="0" w:type="dxa"/>
                    <w:bottom w:w="0" w:type="dxa"/>
                    <w:right w:w="0" w:type="dxa"/>
                  </w:tcMar>
                  <w:vAlign w:val="center"/>
                </w:tcPr>
                <w:p w14:paraId="54DC8E93">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245" w:type="pct"/>
                  <w:vMerge w:val="continue"/>
                  <w:tcBorders>
                    <w:tl2br w:val="nil"/>
                    <w:tr2bl w:val="nil"/>
                  </w:tcBorders>
                  <w:noWrap w:val="0"/>
                  <w:tcMar>
                    <w:top w:w="0" w:type="dxa"/>
                    <w:left w:w="0" w:type="dxa"/>
                    <w:bottom w:w="0" w:type="dxa"/>
                    <w:right w:w="0" w:type="dxa"/>
                  </w:tcMar>
                  <w:vAlign w:val="center"/>
                </w:tcPr>
                <w:p w14:paraId="7103E2B4">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417" w:type="pct"/>
                  <w:tcBorders>
                    <w:tl2br w:val="nil"/>
                    <w:tr2bl w:val="nil"/>
                  </w:tcBorders>
                  <w:noWrap w:val="0"/>
                  <w:tcMar>
                    <w:top w:w="0" w:type="dxa"/>
                    <w:left w:w="0" w:type="dxa"/>
                    <w:bottom w:w="0" w:type="dxa"/>
                    <w:right w:w="0" w:type="dxa"/>
                  </w:tcMar>
                  <w:vAlign w:val="center"/>
                </w:tcPr>
                <w:p w14:paraId="18CCA435">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TN</w:t>
                  </w:r>
                </w:p>
              </w:tc>
              <w:tc>
                <w:tcPr>
                  <w:tcW w:w="840" w:type="pct"/>
                  <w:tcBorders>
                    <w:tl2br w:val="nil"/>
                    <w:tr2bl w:val="nil"/>
                  </w:tcBorders>
                  <w:noWrap w:val="0"/>
                  <w:tcMar>
                    <w:top w:w="0" w:type="dxa"/>
                    <w:left w:w="0" w:type="dxa"/>
                    <w:bottom w:w="0" w:type="dxa"/>
                    <w:right w:w="0" w:type="dxa"/>
                  </w:tcMar>
                  <w:vAlign w:val="center"/>
                </w:tcPr>
                <w:p w14:paraId="0A24220A">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r>
            <w:tr w14:paraId="48BBB326">
              <w:trPr>
                <w:trHeight w:val="369" w:hRule="atLeast"/>
              </w:trPr>
              <w:tc>
                <w:tcPr>
                  <w:tcW w:w="151" w:type="pct"/>
                  <w:vMerge w:val="continue"/>
                  <w:tcBorders>
                    <w:tl2br w:val="nil"/>
                    <w:tr2bl w:val="nil"/>
                  </w:tcBorders>
                  <w:noWrap w:val="0"/>
                  <w:tcMar>
                    <w:top w:w="0" w:type="dxa"/>
                    <w:left w:w="0" w:type="dxa"/>
                    <w:bottom w:w="0" w:type="dxa"/>
                    <w:right w:w="0" w:type="dxa"/>
                  </w:tcMar>
                  <w:vAlign w:val="center"/>
                </w:tcPr>
                <w:p w14:paraId="5994E3D5">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457" w:type="pct"/>
                  <w:vMerge w:val="continue"/>
                  <w:tcBorders>
                    <w:tl2br w:val="nil"/>
                    <w:tr2bl w:val="nil"/>
                  </w:tcBorders>
                  <w:noWrap w:val="0"/>
                  <w:tcMar>
                    <w:top w:w="0" w:type="dxa"/>
                    <w:left w:w="0" w:type="dxa"/>
                    <w:bottom w:w="0" w:type="dxa"/>
                    <w:right w:w="0" w:type="dxa"/>
                  </w:tcMar>
                  <w:vAlign w:val="center"/>
                </w:tcPr>
                <w:p w14:paraId="6118917B">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836" w:type="pct"/>
                  <w:vMerge w:val="continue"/>
                  <w:tcBorders>
                    <w:tl2br w:val="nil"/>
                    <w:tr2bl w:val="nil"/>
                  </w:tcBorders>
                  <w:noWrap w:val="0"/>
                  <w:tcMar>
                    <w:top w:w="0" w:type="dxa"/>
                    <w:left w:w="0" w:type="dxa"/>
                    <w:bottom w:w="0" w:type="dxa"/>
                    <w:right w:w="0" w:type="dxa"/>
                  </w:tcMar>
                  <w:vAlign w:val="center"/>
                </w:tcPr>
                <w:p w14:paraId="18F290E3">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771" w:type="pct"/>
                  <w:vMerge w:val="continue"/>
                  <w:tcBorders>
                    <w:tl2br w:val="nil"/>
                    <w:tr2bl w:val="nil"/>
                  </w:tcBorders>
                  <w:noWrap w:val="0"/>
                  <w:tcMar>
                    <w:top w:w="0" w:type="dxa"/>
                    <w:left w:w="0" w:type="dxa"/>
                    <w:bottom w:w="0" w:type="dxa"/>
                    <w:right w:w="0" w:type="dxa"/>
                  </w:tcMar>
                  <w:vAlign w:val="center"/>
                </w:tcPr>
                <w:p w14:paraId="26D826B7">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491" w:type="pct"/>
                  <w:vMerge w:val="continue"/>
                  <w:tcBorders>
                    <w:tl2br w:val="nil"/>
                    <w:tr2bl w:val="nil"/>
                  </w:tcBorders>
                  <w:noWrap w:val="0"/>
                  <w:tcMar>
                    <w:top w:w="0" w:type="dxa"/>
                    <w:left w:w="0" w:type="dxa"/>
                    <w:bottom w:w="0" w:type="dxa"/>
                    <w:right w:w="0" w:type="dxa"/>
                  </w:tcMar>
                  <w:vAlign w:val="center"/>
                </w:tcPr>
                <w:p w14:paraId="359BB655">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369" w:type="pct"/>
                  <w:vMerge w:val="continue"/>
                  <w:tcBorders>
                    <w:tl2br w:val="nil"/>
                    <w:tr2bl w:val="nil"/>
                  </w:tcBorders>
                  <w:noWrap w:val="0"/>
                  <w:tcMar>
                    <w:top w:w="0" w:type="dxa"/>
                    <w:left w:w="0" w:type="dxa"/>
                    <w:bottom w:w="0" w:type="dxa"/>
                    <w:right w:w="0" w:type="dxa"/>
                  </w:tcMar>
                  <w:vAlign w:val="center"/>
                </w:tcPr>
                <w:p w14:paraId="1E4B672A">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191" w:type="pct"/>
                  <w:vMerge w:val="continue"/>
                  <w:tcBorders>
                    <w:tl2br w:val="nil"/>
                    <w:tr2bl w:val="nil"/>
                  </w:tcBorders>
                  <w:noWrap w:val="0"/>
                  <w:tcMar>
                    <w:top w:w="0" w:type="dxa"/>
                    <w:left w:w="0" w:type="dxa"/>
                    <w:bottom w:w="0" w:type="dxa"/>
                    <w:right w:w="0" w:type="dxa"/>
                  </w:tcMar>
                  <w:vAlign w:val="center"/>
                </w:tcPr>
                <w:p w14:paraId="1786F4C2">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227" w:type="pct"/>
                  <w:vMerge w:val="continue"/>
                  <w:tcBorders>
                    <w:tl2br w:val="nil"/>
                    <w:tr2bl w:val="nil"/>
                  </w:tcBorders>
                  <w:noWrap w:val="0"/>
                  <w:tcMar>
                    <w:top w:w="0" w:type="dxa"/>
                    <w:left w:w="0" w:type="dxa"/>
                    <w:bottom w:w="0" w:type="dxa"/>
                    <w:right w:w="0" w:type="dxa"/>
                  </w:tcMar>
                  <w:vAlign w:val="center"/>
                </w:tcPr>
                <w:p w14:paraId="263EBB5A">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245" w:type="pct"/>
                  <w:vMerge w:val="continue"/>
                  <w:tcBorders>
                    <w:tl2br w:val="nil"/>
                    <w:tr2bl w:val="nil"/>
                  </w:tcBorders>
                  <w:noWrap w:val="0"/>
                  <w:tcMar>
                    <w:top w:w="0" w:type="dxa"/>
                    <w:left w:w="0" w:type="dxa"/>
                    <w:bottom w:w="0" w:type="dxa"/>
                    <w:right w:w="0" w:type="dxa"/>
                  </w:tcMar>
                  <w:vAlign w:val="center"/>
                </w:tcPr>
                <w:p w14:paraId="6290FF3C">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417" w:type="pct"/>
                  <w:tcBorders>
                    <w:tl2br w:val="nil"/>
                    <w:tr2bl w:val="nil"/>
                  </w:tcBorders>
                  <w:shd w:val="clear" w:color="auto" w:fill="auto"/>
                  <w:noWrap w:val="0"/>
                  <w:tcMar>
                    <w:top w:w="0" w:type="dxa"/>
                    <w:left w:w="0" w:type="dxa"/>
                    <w:bottom w:w="0" w:type="dxa"/>
                    <w:right w:w="0" w:type="dxa"/>
                  </w:tcMar>
                  <w:vAlign w:val="center"/>
                </w:tcPr>
                <w:p w14:paraId="07E20C81">
                  <w:pPr>
                    <w:pStyle w:val="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TP</w:t>
                  </w:r>
                </w:p>
              </w:tc>
              <w:tc>
                <w:tcPr>
                  <w:tcW w:w="840" w:type="pct"/>
                  <w:tcBorders>
                    <w:tl2br w:val="nil"/>
                    <w:tr2bl w:val="nil"/>
                  </w:tcBorders>
                  <w:shd w:val="clear" w:color="auto" w:fill="auto"/>
                  <w:noWrap w:val="0"/>
                  <w:tcMar>
                    <w:top w:w="0" w:type="dxa"/>
                    <w:left w:w="0" w:type="dxa"/>
                    <w:bottom w:w="0" w:type="dxa"/>
                    <w:right w:w="0" w:type="dxa"/>
                  </w:tcMar>
                  <w:vAlign w:val="center"/>
                </w:tcPr>
                <w:p w14:paraId="21ADA546">
                  <w:pPr>
                    <w:pStyle w:val="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0.5</w:t>
                  </w:r>
                </w:p>
              </w:tc>
            </w:tr>
            <w:tr w14:paraId="097C64BB">
              <w:trPr>
                <w:trHeight w:val="369" w:hRule="atLeast"/>
              </w:trPr>
              <w:tc>
                <w:tcPr>
                  <w:tcW w:w="151" w:type="pct"/>
                  <w:vMerge w:val="continue"/>
                  <w:tcBorders>
                    <w:tl2br w:val="nil"/>
                    <w:tr2bl w:val="nil"/>
                  </w:tcBorders>
                  <w:noWrap w:val="0"/>
                  <w:tcMar>
                    <w:top w:w="0" w:type="dxa"/>
                    <w:left w:w="0" w:type="dxa"/>
                    <w:bottom w:w="0" w:type="dxa"/>
                    <w:right w:w="0" w:type="dxa"/>
                  </w:tcMar>
                  <w:vAlign w:val="center"/>
                </w:tcPr>
                <w:p w14:paraId="3B5A178B">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457" w:type="pct"/>
                  <w:vMerge w:val="continue"/>
                  <w:tcBorders>
                    <w:tl2br w:val="nil"/>
                    <w:tr2bl w:val="nil"/>
                  </w:tcBorders>
                  <w:noWrap w:val="0"/>
                  <w:tcMar>
                    <w:top w:w="0" w:type="dxa"/>
                    <w:left w:w="0" w:type="dxa"/>
                    <w:bottom w:w="0" w:type="dxa"/>
                    <w:right w:w="0" w:type="dxa"/>
                  </w:tcMar>
                  <w:vAlign w:val="center"/>
                </w:tcPr>
                <w:p w14:paraId="131862EF">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836" w:type="pct"/>
                  <w:vMerge w:val="continue"/>
                  <w:tcBorders>
                    <w:tl2br w:val="nil"/>
                    <w:tr2bl w:val="nil"/>
                  </w:tcBorders>
                  <w:noWrap w:val="0"/>
                  <w:tcMar>
                    <w:top w:w="0" w:type="dxa"/>
                    <w:left w:w="0" w:type="dxa"/>
                    <w:bottom w:w="0" w:type="dxa"/>
                    <w:right w:w="0" w:type="dxa"/>
                  </w:tcMar>
                  <w:vAlign w:val="center"/>
                </w:tcPr>
                <w:p w14:paraId="799CF8E4">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771" w:type="pct"/>
                  <w:vMerge w:val="continue"/>
                  <w:tcBorders>
                    <w:tl2br w:val="nil"/>
                    <w:tr2bl w:val="nil"/>
                  </w:tcBorders>
                  <w:noWrap w:val="0"/>
                  <w:tcMar>
                    <w:top w:w="0" w:type="dxa"/>
                    <w:left w:w="0" w:type="dxa"/>
                    <w:bottom w:w="0" w:type="dxa"/>
                    <w:right w:w="0" w:type="dxa"/>
                  </w:tcMar>
                  <w:vAlign w:val="center"/>
                </w:tcPr>
                <w:p w14:paraId="47A90B0B">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491" w:type="pct"/>
                  <w:vMerge w:val="continue"/>
                  <w:tcBorders>
                    <w:tl2br w:val="nil"/>
                    <w:tr2bl w:val="nil"/>
                  </w:tcBorders>
                  <w:noWrap w:val="0"/>
                  <w:tcMar>
                    <w:top w:w="0" w:type="dxa"/>
                    <w:left w:w="0" w:type="dxa"/>
                    <w:bottom w:w="0" w:type="dxa"/>
                    <w:right w:w="0" w:type="dxa"/>
                  </w:tcMar>
                  <w:vAlign w:val="center"/>
                </w:tcPr>
                <w:p w14:paraId="22B2FCD7">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369" w:type="pct"/>
                  <w:vMerge w:val="continue"/>
                  <w:tcBorders>
                    <w:tl2br w:val="nil"/>
                    <w:tr2bl w:val="nil"/>
                  </w:tcBorders>
                  <w:noWrap w:val="0"/>
                  <w:tcMar>
                    <w:top w:w="0" w:type="dxa"/>
                    <w:left w:w="0" w:type="dxa"/>
                    <w:bottom w:w="0" w:type="dxa"/>
                    <w:right w:w="0" w:type="dxa"/>
                  </w:tcMar>
                  <w:vAlign w:val="center"/>
                </w:tcPr>
                <w:p w14:paraId="2E73AC21">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191" w:type="pct"/>
                  <w:vMerge w:val="continue"/>
                  <w:tcBorders>
                    <w:tl2br w:val="nil"/>
                    <w:tr2bl w:val="nil"/>
                  </w:tcBorders>
                  <w:noWrap w:val="0"/>
                  <w:tcMar>
                    <w:top w:w="0" w:type="dxa"/>
                    <w:left w:w="0" w:type="dxa"/>
                    <w:bottom w:w="0" w:type="dxa"/>
                    <w:right w:w="0" w:type="dxa"/>
                  </w:tcMar>
                  <w:vAlign w:val="center"/>
                </w:tcPr>
                <w:p w14:paraId="61AEFB12">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227" w:type="pct"/>
                  <w:vMerge w:val="continue"/>
                  <w:tcBorders>
                    <w:tl2br w:val="nil"/>
                    <w:tr2bl w:val="nil"/>
                  </w:tcBorders>
                  <w:noWrap w:val="0"/>
                  <w:tcMar>
                    <w:top w:w="0" w:type="dxa"/>
                    <w:left w:w="0" w:type="dxa"/>
                    <w:bottom w:w="0" w:type="dxa"/>
                    <w:right w:w="0" w:type="dxa"/>
                  </w:tcMar>
                  <w:vAlign w:val="center"/>
                </w:tcPr>
                <w:p w14:paraId="2E902E09">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245" w:type="pct"/>
                  <w:vMerge w:val="continue"/>
                  <w:tcBorders>
                    <w:tl2br w:val="nil"/>
                    <w:tr2bl w:val="nil"/>
                  </w:tcBorders>
                  <w:noWrap w:val="0"/>
                  <w:tcMar>
                    <w:top w:w="0" w:type="dxa"/>
                    <w:left w:w="0" w:type="dxa"/>
                    <w:bottom w:w="0" w:type="dxa"/>
                    <w:right w:w="0" w:type="dxa"/>
                  </w:tcMar>
                  <w:vAlign w:val="center"/>
                </w:tcPr>
                <w:p w14:paraId="35BF3719">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rPr>
                  </w:pPr>
                </w:p>
              </w:tc>
              <w:tc>
                <w:tcPr>
                  <w:tcW w:w="663" w:type="dxa"/>
                  <w:tcBorders>
                    <w:tl2br w:val="nil"/>
                    <w:tr2bl w:val="nil"/>
                  </w:tcBorders>
                  <w:noWrap w:val="0"/>
                  <w:tcMar>
                    <w:top w:w="0" w:type="dxa"/>
                    <w:left w:w="0" w:type="dxa"/>
                    <w:bottom w:w="0" w:type="dxa"/>
                    <w:right w:w="0" w:type="dxa"/>
                  </w:tcMar>
                  <w:vAlign w:val="center"/>
                </w:tcPr>
                <w:p w14:paraId="13879B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cs="宋体"/>
                      <w:bCs/>
                      <w:color w:val="auto"/>
                      <w:spacing w:val="-11"/>
                      <w:sz w:val="21"/>
                      <w:szCs w:val="21"/>
                      <w:lang w:val="en-US" w:eastAsia="zh-CN"/>
                    </w:rPr>
                    <w:t>动植物油</w:t>
                  </w:r>
                </w:p>
              </w:tc>
              <w:tc>
                <w:tcPr>
                  <w:tcW w:w="1336" w:type="dxa"/>
                  <w:tcBorders>
                    <w:tl2br w:val="nil"/>
                    <w:tr2bl w:val="nil"/>
                  </w:tcBorders>
                  <w:noWrap w:val="0"/>
                  <w:tcMar>
                    <w:top w:w="0" w:type="dxa"/>
                    <w:left w:w="0" w:type="dxa"/>
                    <w:bottom w:w="0" w:type="dxa"/>
                    <w:right w:w="0" w:type="dxa"/>
                  </w:tcMar>
                  <w:vAlign w:val="center"/>
                </w:tcPr>
                <w:p w14:paraId="6F98F1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cs="宋体"/>
                      <w:bCs/>
                      <w:color w:val="auto"/>
                      <w:spacing w:val="-11"/>
                      <w:sz w:val="21"/>
                      <w:szCs w:val="21"/>
                      <w:lang w:val="en-US" w:eastAsia="zh-CN"/>
                    </w:rPr>
                    <w:t>1</w:t>
                  </w:r>
                </w:p>
              </w:tc>
            </w:tr>
          </w:tbl>
          <w:p w14:paraId="4DE1F1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olor w:val="auto"/>
                <w:sz w:val="24"/>
              </w:rPr>
            </w:pPr>
            <w:r>
              <w:rPr>
                <w:rFonts w:hint="default" w:ascii="Times New Roman" w:hAnsi="Times New Roman" w:eastAsia="宋体"/>
                <w:color w:val="auto"/>
                <w:sz w:val="24"/>
              </w:rPr>
              <w:t>本项目废水污染物排放执行标准见下表。</w:t>
            </w:r>
          </w:p>
          <w:p w14:paraId="6E953B1E">
            <w:pPr>
              <w:pStyle w:val="1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z w:val="21"/>
                <w:szCs w:val="21"/>
              </w:rPr>
            </w:pPr>
          </w:p>
          <w:p w14:paraId="381E72D9">
            <w:pPr>
              <w:pStyle w:val="1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表4</w:t>
            </w:r>
            <w:r>
              <w:rPr>
                <w:rFonts w:hint="eastAsia" w:ascii="Times New Roman" w:hAnsi="Times New Roman" w:eastAsia="宋体" w:cs="Times New Roman"/>
                <w:b/>
                <w:bCs w:val="0"/>
                <w:color w:val="auto"/>
                <w:sz w:val="21"/>
                <w:szCs w:val="21"/>
                <w:lang w:val="en-US" w:eastAsia="zh-CN"/>
              </w:rPr>
              <w:t>-1</w:t>
            </w:r>
            <w:r>
              <w:rPr>
                <w:rFonts w:hint="eastAsia" w:ascii="Times New Roman" w:hAnsi="Times New Roman" w:cs="Times New Roman"/>
                <w:b/>
                <w:bCs w:val="0"/>
                <w:color w:val="auto"/>
                <w:sz w:val="21"/>
                <w:szCs w:val="21"/>
                <w:lang w:val="en-US" w:eastAsia="zh-CN"/>
              </w:rPr>
              <w:t xml:space="preserve">6  </w:t>
            </w:r>
            <w:r>
              <w:rPr>
                <w:rFonts w:hint="default" w:ascii="Times New Roman" w:hAnsi="Times New Roman" w:eastAsia="宋体" w:cs="Times New Roman"/>
                <w:b/>
                <w:bCs w:val="0"/>
                <w:color w:val="auto"/>
                <w:sz w:val="21"/>
                <w:szCs w:val="21"/>
              </w:rPr>
              <w:t>项目废水污染物排放执行标准表</w:t>
            </w:r>
          </w:p>
          <w:tbl>
            <w:tblPr>
              <w:tblStyle w:val="21"/>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1236"/>
              <w:gridCol w:w="1503"/>
              <w:gridCol w:w="1741"/>
              <w:gridCol w:w="2821"/>
            </w:tblGrid>
            <w:tr w14:paraId="3A7E88B6">
              <w:trPr>
                <w:trHeight w:val="340" w:hRule="atLeast"/>
              </w:trPr>
              <w:tc>
                <w:tcPr>
                  <w:tcW w:w="403" w:type="pct"/>
                  <w:vMerge w:val="restart"/>
                  <w:tcBorders>
                    <w:tl2br w:val="nil"/>
                    <w:tr2bl w:val="nil"/>
                  </w:tcBorders>
                  <w:noWrap w:val="0"/>
                  <w:vAlign w:val="center"/>
                </w:tcPr>
                <w:p w14:paraId="51546056">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olor w:val="auto"/>
                      <w:sz w:val="21"/>
                      <w:szCs w:val="21"/>
                    </w:rPr>
                  </w:pPr>
                  <w:r>
                    <w:rPr>
                      <w:rFonts w:hint="eastAsia" w:ascii="Times New Roman" w:hAnsi="Times New Roman" w:eastAsia="宋体"/>
                      <w:color w:val="auto"/>
                      <w:sz w:val="21"/>
                      <w:szCs w:val="21"/>
                    </w:rPr>
                    <w:t>序号</w:t>
                  </w:r>
                </w:p>
              </w:tc>
              <w:tc>
                <w:tcPr>
                  <w:tcW w:w="778" w:type="pct"/>
                  <w:vMerge w:val="restart"/>
                  <w:tcBorders>
                    <w:tl2br w:val="nil"/>
                    <w:tr2bl w:val="nil"/>
                  </w:tcBorders>
                  <w:noWrap w:val="0"/>
                  <w:vAlign w:val="center"/>
                </w:tcPr>
                <w:p w14:paraId="2E05C9A3">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olor w:val="auto"/>
                      <w:sz w:val="21"/>
                      <w:szCs w:val="21"/>
                    </w:rPr>
                  </w:pPr>
                  <w:r>
                    <w:rPr>
                      <w:rFonts w:hint="eastAsia" w:ascii="Times New Roman" w:hAnsi="Times New Roman" w:eastAsia="宋体"/>
                      <w:color w:val="auto"/>
                      <w:sz w:val="21"/>
                      <w:szCs w:val="21"/>
                    </w:rPr>
                    <w:t>排放口编号</w:t>
                  </w:r>
                </w:p>
              </w:tc>
              <w:tc>
                <w:tcPr>
                  <w:tcW w:w="946" w:type="pct"/>
                  <w:vMerge w:val="restart"/>
                  <w:tcBorders>
                    <w:tl2br w:val="nil"/>
                    <w:tr2bl w:val="nil"/>
                  </w:tcBorders>
                  <w:noWrap w:val="0"/>
                  <w:vAlign w:val="center"/>
                </w:tcPr>
                <w:p w14:paraId="7F5428E7">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olor w:val="auto"/>
                      <w:sz w:val="21"/>
                      <w:szCs w:val="21"/>
                    </w:rPr>
                  </w:pPr>
                  <w:r>
                    <w:rPr>
                      <w:rFonts w:hint="eastAsia" w:ascii="Times New Roman" w:hAnsi="Times New Roman" w:eastAsia="宋体"/>
                      <w:color w:val="auto"/>
                      <w:sz w:val="21"/>
                      <w:szCs w:val="21"/>
                    </w:rPr>
                    <w:t>污染物种类</w:t>
                  </w:r>
                </w:p>
              </w:tc>
              <w:tc>
                <w:tcPr>
                  <w:tcW w:w="2872" w:type="pct"/>
                  <w:gridSpan w:val="2"/>
                  <w:tcBorders>
                    <w:tl2br w:val="nil"/>
                    <w:tr2bl w:val="nil"/>
                  </w:tcBorders>
                  <w:noWrap w:val="0"/>
                  <w:vAlign w:val="center"/>
                </w:tcPr>
                <w:p w14:paraId="0F24455A">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olor w:val="auto"/>
                      <w:sz w:val="21"/>
                      <w:szCs w:val="21"/>
                    </w:rPr>
                  </w:pPr>
                  <w:r>
                    <w:rPr>
                      <w:rFonts w:hint="eastAsia" w:ascii="Times New Roman" w:hAnsi="Times New Roman" w:eastAsia="宋体"/>
                      <w:color w:val="auto"/>
                      <w:sz w:val="21"/>
                      <w:szCs w:val="21"/>
                    </w:rPr>
                    <w:t>国家或地方污染物排放标准及其按规定商定的排放协议</w:t>
                  </w:r>
                </w:p>
              </w:tc>
            </w:tr>
            <w:tr w14:paraId="628296D7">
              <w:trPr>
                <w:trHeight w:val="340" w:hRule="atLeast"/>
              </w:trPr>
              <w:tc>
                <w:tcPr>
                  <w:tcW w:w="403" w:type="pct"/>
                  <w:vMerge w:val="continue"/>
                  <w:tcBorders>
                    <w:tl2br w:val="nil"/>
                    <w:tr2bl w:val="nil"/>
                  </w:tcBorders>
                  <w:noWrap w:val="0"/>
                  <w:vAlign w:val="center"/>
                </w:tcPr>
                <w:p w14:paraId="19D43468">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olor w:val="auto"/>
                      <w:sz w:val="21"/>
                      <w:szCs w:val="21"/>
                    </w:rPr>
                  </w:pPr>
                </w:p>
              </w:tc>
              <w:tc>
                <w:tcPr>
                  <w:tcW w:w="778" w:type="pct"/>
                  <w:vMerge w:val="continue"/>
                  <w:tcBorders>
                    <w:tl2br w:val="nil"/>
                    <w:tr2bl w:val="nil"/>
                  </w:tcBorders>
                  <w:noWrap w:val="0"/>
                  <w:vAlign w:val="center"/>
                </w:tcPr>
                <w:p w14:paraId="7FD3AD5E">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olor w:val="auto"/>
                      <w:sz w:val="21"/>
                      <w:szCs w:val="21"/>
                    </w:rPr>
                  </w:pPr>
                </w:p>
              </w:tc>
              <w:tc>
                <w:tcPr>
                  <w:tcW w:w="946" w:type="pct"/>
                  <w:vMerge w:val="continue"/>
                  <w:tcBorders>
                    <w:tl2br w:val="nil"/>
                    <w:tr2bl w:val="nil"/>
                  </w:tcBorders>
                  <w:noWrap w:val="0"/>
                  <w:vAlign w:val="center"/>
                </w:tcPr>
                <w:p w14:paraId="0D160BE2">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olor w:val="auto"/>
                      <w:sz w:val="21"/>
                      <w:szCs w:val="21"/>
                    </w:rPr>
                  </w:pPr>
                </w:p>
              </w:tc>
              <w:tc>
                <w:tcPr>
                  <w:tcW w:w="1096" w:type="pct"/>
                  <w:tcBorders>
                    <w:tl2br w:val="nil"/>
                    <w:tr2bl w:val="nil"/>
                  </w:tcBorders>
                  <w:noWrap w:val="0"/>
                  <w:vAlign w:val="center"/>
                </w:tcPr>
                <w:p w14:paraId="058C463C">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olor w:val="auto"/>
                      <w:sz w:val="21"/>
                      <w:szCs w:val="21"/>
                    </w:rPr>
                  </w:pPr>
                  <w:r>
                    <w:rPr>
                      <w:rFonts w:hint="eastAsia" w:ascii="Times New Roman" w:hAnsi="Times New Roman" w:eastAsia="宋体"/>
                      <w:color w:val="auto"/>
                      <w:sz w:val="21"/>
                      <w:szCs w:val="21"/>
                    </w:rPr>
                    <w:t>名称</w:t>
                  </w:r>
                </w:p>
              </w:tc>
              <w:tc>
                <w:tcPr>
                  <w:tcW w:w="1775" w:type="pct"/>
                  <w:tcBorders>
                    <w:tl2br w:val="nil"/>
                    <w:tr2bl w:val="nil"/>
                  </w:tcBorders>
                  <w:noWrap w:val="0"/>
                  <w:vAlign w:val="center"/>
                </w:tcPr>
                <w:p w14:paraId="555C0279">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olor w:val="auto"/>
                      <w:sz w:val="21"/>
                      <w:szCs w:val="21"/>
                    </w:rPr>
                  </w:pPr>
                  <w:r>
                    <w:rPr>
                      <w:rFonts w:hint="eastAsia" w:ascii="Times New Roman" w:hAnsi="Times New Roman" w:eastAsia="宋体"/>
                      <w:color w:val="auto"/>
                      <w:sz w:val="21"/>
                      <w:szCs w:val="21"/>
                    </w:rPr>
                    <w:t>浓度限值/（mg/L）</w:t>
                  </w:r>
                </w:p>
              </w:tc>
            </w:tr>
            <w:tr w14:paraId="75428116">
              <w:trPr>
                <w:trHeight w:val="340" w:hRule="atLeast"/>
              </w:trPr>
              <w:tc>
                <w:tcPr>
                  <w:tcW w:w="403" w:type="pct"/>
                  <w:vMerge w:val="restart"/>
                  <w:tcBorders>
                    <w:tl2br w:val="nil"/>
                    <w:tr2bl w:val="nil"/>
                  </w:tcBorders>
                  <w:noWrap w:val="0"/>
                  <w:vAlign w:val="center"/>
                </w:tcPr>
                <w:p w14:paraId="544ACF47">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olor w:val="auto"/>
                      <w:sz w:val="21"/>
                      <w:szCs w:val="21"/>
                    </w:rPr>
                  </w:pPr>
                  <w:r>
                    <w:rPr>
                      <w:rFonts w:hint="eastAsia" w:ascii="Times New Roman" w:hAnsi="Times New Roman" w:eastAsia="宋体"/>
                      <w:color w:val="auto"/>
                      <w:sz w:val="21"/>
                      <w:szCs w:val="21"/>
                    </w:rPr>
                    <w:t>1</w:t>
                  </w:r>
                </w:p>
              </w:tc>
              <w:tc>
                <w:tcPr>
                  <w:tcW w:w="778" w:type="pct"/>
                  <w:vMerge w:val="restart"/>
                  <w:tcBorders>
                    <w:tl2br w:val="nil"/>
                    <w:tr2bl w:val="nil"/>
                  </w:tcBorders>
                  <w:noWrap w:val="0"/>
                  <w:vAlign w:val="center"/>
                </w:tcPr>
                <w:p w14:paraId="327B4962">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DW001</w:t>
                  </w:r>
                </w:p>
              </w:tc>
              <w:tc>
                <w:tcPr>
                  <w:tcW w:w="946" w:type="pct"/>
                  <w:tcBorders>
                    <w:tl2br w:val="nil"/>
                    <w:tr2bl w:val="nil"/>
                  </w:tcBorders>
                  <w:noWrap w:val="0"/>
                  <w:vAlign w:val="center"/>
                </w:tcPr>
                <w:p w14:paraId="738D11AD">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olor w:val="auto"/>
                      <w:sz w:val="21"/>
                      <w:szCs w:val="21"/>
                    </w:rPr>
                  </w:pPr>
                  <w:r>
                    <w:rPr>
                      <w:rFonts w:hint="eastAsia" w:ascii="Times New Roman" w:hAnsi="Times New Roman" w:eastAsia="宋体"/>
                      <w:color w:val="auto"/>
                      <w:sz w:val="21"/>
                      <w:szCs w:val="21"/>
                    </w:rPr>
                    <w:t>COD</w:t>
                  </w:r>
                </w:p>
              </w:tc>
              <w:tc>
                <w:tcPr>
                  <w:tcW w:w="1096" w:type="pct"/>
                  <w:vMerge w:val="restart"/>
                  <w:tcBorders>
                    <w:tl2br w:val="nil"/>
                    <w:tr2bl w:val="nil"/>
                  </w:tcBorders>
                  <w:noWrap w:val="0"/>
                  <w:vAlign w:val="center"/>
                </w:tcPr>
                <w:p w14:paraId="53F6384A">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olor w:val="auto"/>
                      <w:sz w:val="21"/>
                      <w:szCs w:val="21"/>
                      <w:lang w:val="en-US"/>
                    </w:rPr>
                  </w:pPr>
                  <w:r>
                    <w:rPr>
                      <w:rFonts w:hint="eastAsia" w:ascii="Times New Roman" w:hAnsi="Times New Roman" w:eastAsia="宋体" w:cs="宋体"/>
                      <w:bCs/>
                      <w:color w:val="auto"/>
                      <w:spacing w:val="-11"/>
                      <w:sz w:val="21"/>
                      <w:szCs w:val="21"/>
                      <w:lang w:val="en-US" w:eastAsia="zh-CN"/>
                    </w:rPr>
                    <w:t>涟水经济开发区西区污水处理厂</w:t>
                  </w:r>
                  <w:r>
                    <w:rPr>
                      <w:rFonts w:hint="eastAsia" w:ascii="Times New Roman" w:hAnsi="Times New Roman" w:eastAsia="宋体"/>
                      <w:b w:val="0"/>
                      <w:color w:val="auto"/>
                      <w:sz w:val="21"/>
                      <w:szCs w:val="21"/>
                      <w:lang w:val="en-US" w:eastAsia="zh-CN"/>
                    </w:rPr>
                    <w:t>接管标准</w:t>
                  </w:r>
                </w:p>
              </w:tc>
              <w:tc>
                <w:tcPr>
                  <w:tcW w:w="1775" w:type="pct"/>
                  <w:tcBorders>
                    <w:tl2br w:val="nil"/>
                    <w:tr2bl w:val="nil"/>
                  </w:tcBorders>
                  <w:noWrap w:val="0"/>
                  <w:vAlign w:val="center"/>
                </w:tcPr>
                <w:p w14:paraId="0D716B22">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default" w:ascii="Times New Roman" w:hAnsi="Times New Roman" w:eastAsia="宋体"/>
                      <w:color w:val="auto"/>
                      <w:sz w:val="21"/>
                      <w:szCs w:val="21"/>
                      <w:lang w:val="en-US"/>
                    </w:rPr>
                  </w:pPr>
                  <w:r>
                    <w:rPr>
                      <w:rFonts w:hint="eastAsia" w:ascii="Times New Roman" w:hAnsi="Times New Roman" w:eastAsia="宋体"/>
                      <w:color w:val="auto"/>
                      <w:sz w:val="21"/>
                      <w:szCs w:val="21"/>
                      <w:lang w:val="en-US" w:eastAsia="zh-CN"/>
                    </w:rPr>
                    <w:t>500</w:t>
                  </w:r>
                </w:p>
              </w:tc>
            </w:tr>
            <w:tr w14:paraId="2CBADB33">
              <w:trPr>
                <w:trHeight w:val="340" w:hRule="atLeast"/>
              </w:trPr>
              <w:tc>
                <w:tcPr>
                  <w:tcW w:w="403" w:type="pct"/>
                  <w:vMerge w:val="continue"/>
                  <w:tcBorders>
                    <w:tl2br w:val="nil"/>
                    <w:tr2bl w:val="nil"/>
                  </w:tcBorders>
                  <w:noWrap w:val="0"/>
                  <w:vAlign w:val="center"/>
                </w:tcPr>
                <w:p w14:paraId="2A3D33D9">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olor w:val="auto"/>
                      <w:sz w:val="21"/>
                      <w:szCs w:val="21"/>
                    </w:rPr>
                  </w:pPr>
                </w:p>
              </w:tc>
              <w:tc>
                <w:tcPr>
                  <w:tcW w:w="778" w:type="pct"/>
                  <w:vMerge w:val="continue"/>
                  <w:tcBorders>
                    <w:tl2br w:val="nil"/>
                    <w:tr2bl w:val="nil"/>
                  </w:tcBorders>
                  <w:noWrap w:val="0"/>
                  <w:vAlign w:val="center"/>
                </w:tcPr>
                <w:p w14:paraId="5E39BA32">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olor w:val="auto"/>
                      <w:sz w:val="21"/>
                      <w:szCs w:val="21"/>
                    </w:rPr>
                  </w:pPr>
                </w:p>
              </w:tc>
              <w:tc>
                <w:tcPr>
                  <w:tcW w:w="946" w:type="pct"/>
                  <w:tcBorders>
                    <w:tl2br w:val="nil"/>
                    <w:tr2bl w:val="nil"/>
                  </w:tcBorders>
                  <w:noWrap w:val="0"/>
                  <w:vAlign w:val="center"/>
                </w:tcPr>
                <w:p w14:paraId="40DDEB60">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olor w:val="auto"/>
                      <w:sz w:val="21"/>
                      <w:szCs w:val="21"/>
                    </w:rPr>
                  </w:pPr>
                  <w:r>
                    <w:rPr>
                      <w:rFonts w:hint="eastAsia" w:ascii="Times New Roman" w:hAnsi="Times New Roman" w:eastAsia="宋体"/>
                      <w:color w:val="auto"/>
                      <w:sz w:val="21"/>
                      <w:szCs w:val="21"/>
                    </w:rPr>
                    <w:t>SS</w:t>
                  </w:r>
                </w:p>
              </w:tc>
              <w:tc>
                <w:tcPr>
                  <w:tcW w:w="1096" w:type="pct"/>
                  <w:vMerge w:val="continue"/>
                  <w:tcBorders>
                    <w:tl2br w:val="nil"/>
                    <w:tr2bl w:val="nil"/>
                  </w:tcBorders>
                  <w:noWrap w:val="0"/>
                  <w:vAlign w:val="center"/>
                </w:tcPr>
                <w:p w14:paraId="096D81DC">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olor w:val="auto"/>
                      <w:sz w:val="21"/>
                      <w:szCs w:val="21"/>
                    </w:rPr>
                  </w:pPr>
                </w:p>
              </w:tc>
              <w:tc>
                <w:tcPr>
                  <w:tcW w:w="1775" w:type="pct"/>
                  <w:tcBorders>
                    <w:tl2br w:val="nil"/>
                    <w:tr2bl w:val="nil"/>
                  </w:tcBorders>
                  <w:noWrap w:val="0"/>
                  <w:vAlign w:val="center"/>
                </w:tcPr>
                <w:p w14:paraId="400EFD28">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default" w:ascii="Times New Roman" w:hAnsi="Times New Roman" w:eastAsia="宋体"/>
                      <w:color w:val="auto"/>
                      <w:sz w:val="21"/>
                      <w:szCs w:val="21"/>
                      <w:lang w:val="en-US"/>
                    </w:rPr>
                  </w:pPr>
                  <w:r>
                    <w:rPr>
                      <w:rFonts w:hint="eastAsia" w:ascii="Times New Roman" w:hAnsi="Times New Roman" w:eastAsia="宋体"/>
                      <w:color w:val="auto"/>
                      <w:sz w:val="21"/>
                      <w:szCs w:val="21"/>
                      <w:lang w:val="en-US" w:eastAsia="zh-CN"/>
                    </w:rPr>
                    <w:t>400</w:t>
                  </w:r>
                </w:p>
              </w:tc>
            </w:tr>
            <w:tr w14:paraId="3E993212">
              <w:trPr>
                <w:trHeight w:val="340" w:hRule="atLeast"/>
              </w:trPr>
              <w:tc>
                <w:tcPr>
                  <w:tcW w:w="403" w:type="pct"/>
                  <w:vMerge w:val="continue"/>
                  <w:tcBorders>
                    <w:tl2br w:val="nil"/>
                    <w:tr2bl w:val="nil"/>
                  </w:tcBorders>
                  <w:noWrap w:val="0"/>
                  <w:vAlign w:val="center"/>
                </w:tcPr>
                <w:p w14:paraId="4A7FB223">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olor w:val="auto"/>
                      <w:sz w:val="21"/>
                      <w:szCs w:val="21"/>
                    </w:rPr>
                  </w:pPr>
                </w:p>
              </w:tc>
              <w:tc>
                <w:tcPr>
                  <w:tcW w:w="778" w:type="pct"/>
                  <w:vMerge w:val="continue"/>
                  <w:tcBorders>
                    <w:tl2br w:val="nil"/>
                    <w:tr2bl w:val="nil"/>
                  </w:tcBorders>
                  <w:noWrap w:val="0"/>
                  <w:vAlign w:val="center"/>
                </w:tcPr>
                <w:p w14:paraId="3ECC5899">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olor w:val="auto"/>
                      <w:sz w:val="21"/>
                      <w:szCs w:val="21"/>
                    </w:rPr>
                  </w:pPr>
                </w:p>
              </w:tc>
              <w:tc>
                <w:tcPr>
                  <w:tcW w:w="946" w:type="pct"/>
                  <w:tcBorders>
                    <w:tl2br w:val="nil"/>
                    <w:tr2bl w:val="nil"/>
                  </w:tcBorders>
                  <w:noWrap w:val="0"/>
                  <w:vAlign w:val="center"/>
                </w:tcPr>
                <w:p w14:paraId="3EED85AE">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BOD</w:t>
                  </w:r>
                  <w:r>
                    <w:rPr>
                      <w:rFonts w:hint="eastAsia"/>
                      <w:color w:val="auto"/>
                      <w:sz w:val="21"/>
                      <w:szCs w:val="21"/>
                      <w:vertAlign w:val="subscript"/>
                      <w:lang w:val="en-US" w:eastAsia="zh-CN"/>
                    </w:rPr>
                    <w:t>5</w:t>
                  </w:r>
                </w:p>
              </w:tc>
              <w:tc>
                <w:tcPr>
                  <w:tcW w:w="1096" w:type="pct"/>
                  <w:vMerge w:val="continue"/>
                  <w:tcBorders>
                    <w:tl2br w:val="nil"/>
                    <w:tr2bl w:val="nil"/>
                  </w:tcBorders>
                  <w:noWrap w:val="0"/>
                  <w:vAlign w:val="center"/>
                </w:tcPr>
                <w:p w14:paraId="69852F2A">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olor w:val="auto"/>
                      <w:sz w:val="21"/>
                      <w:szCs w:val="21"/>
                    </w:rPr>
                  </w:pPr>
                </w:p>
              </w:tc>
              <w:tc>
                <w:tcPr>
                  <w:tcW w:w="1775" w:type="pct"/>
                  <w:tcBorders>
                    <w:tl2br w:val="nil"/>
                    <w:tr2bl w:val="nil"/>
                  </w:tcBorders>
                  <w:noWrap w:val="0"/>
                  <w:vAlign w:val="center"/>
                </w:tcPr>
                <w:p w14:paraId="62D4AAE3">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180</w:t>
                  </w:r>
                </w:p>
              </w:tc>
            </w:tr>
            <w:tr w14:paraId="24108A09">
              <w:trPr>
                <w:trHeight w:val="340" w:hRule="atLeast"/>
              </w:trPr>
              <w:tc>
                <w:tcPr>
                  <w:tcW w:w="403" w:type="pct"/>
                  <w:vMerge w:val="continue"/>
                  <w:tcBorders>
                    <w:tl2br w:val="nil"/>
                    <w:tr2bl w:val="nil"/>
                  </w:tcBorders>
                  <w:noWrap w:val="0"/>
                  <w:vAlign w:val="center"/>
                </w:tcPr>
                <w:p w14:paraId="7FB4217D">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olor w:val="auto"/>
                      <w:sz w:val="21"/>
                      <w:szCs w:val="21"/>
                    </w:rPr>
                  </w:pPr>
                </w:p>
              </w:tc>
              <w:tc>
                <w:tcPr>
                  <w:tcW w:w="778" w:type="pct"/>
                  <w:vMerge w:val="continue"/>
                  <w:tcBorders>
                    <w:tl2br w:val="nil"/>
                    <w:tr2bl w:val="nil"/>
                  </w:tcBorders>
                  <w:noWrap w:val="0"/>
                  <w:vAlign w:val="center"/>
                </w:tcPr>
                <w:p w14:paraId="7FA89DE8">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olor w:val="auto"/>
                      <w:sz w:val="21"/>
                      <w:szCs w:val="21"/>
                    </w:rPr>
                  </w:pPr>
                </w:p>
              </w:tc>
              <w:tc>
                <w:tcPr>
                  <w:tcW w:w="946" w:type="pct"/>
                  <w:tcBorders>
                    <w:tl2br w:val="nil"/>
                    <w:tr2bl w:val="nil"/>
                  </w:tcBorders>
                  <w:noWrap w:val="0"/>
                  <w:vAlign w:val="center"/>
                </w:tcPr>
                <w:p w14:paraId="69B702DD">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rPr>
                    <w:t>NH</w:t>
                  </w:r>
                  <w:r>
                    <w:rPr>
                      <w:rFonts w:hint="eastAsia" w:ascii="Times New Roman" w:hAnsi="Times New Roman" w:eastAsia="宋体"/>
                      <w:color w:val="auto"/>
                      <w:sz w:val="21"/>
                      <w:szCs w:val="21"/>
                      <w:vertAlign w:val="subscript"/>
                    </w:rPr>
                    <w:t>3</w:t>
                  </w:r>
                  <w:r>
                    <w:rPr>
                      <w:rFonts w:hint="eastAsia" w:ascii="Times New Roman" w:hAnsi="Times New Roman" w:eastAsia="宋体"/>
                      <w:color w:val="auto"/>
                      <w:sz w:val="21"/>
                      <w:szCs w:val="21"/>
                    </w:rPr>
                    <w:t>-</w:t>
                  </w:r>
                  <w:r>
                    <w:rPr>
                      <w:rFonts w:hint="eastAsia" w:ascii="Times New Roman" w:hAnsi="Times New Roman" w:eastAsia="宋体"/>
                      <w:color w:val="auto"/>
                      <w:sz w:val="21"/>
                      <w:szCs w:val="21"/>
                      <w:lang w:val="en-US" w:eastAsia="zh-CN"/>
                    </w:rPr>
                    <w:t>N</w:t>
                  </w:r>
                </w:p>
              </w:tc>
              <w:tc>
                <w:tcPr>
                  <w:tcW w:w="1096" w:type="pct"/>
                  <w:vMerge w:val="continue"/>
                  <w:tcBorders>
                    <w:tl2br w:val="nil"/>
                    <w:tr2bl w:val="nil"/>
                  </w:tcBorders>
                  <w:noWrap w:val="0"/>
                  <w:vAlign w:val="center"/>
                </w:tcPr>
                <w:p w14:paraId="7115D9C5">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olor w:val="auto"/>
                      <w:sz w:val="21"/>
                      <w:szCs w:val="21"/>
                    </w:rPr>
                  </w:pPr>
                </w:p>
              </w:tc>
              <w:tc>
                <w:tcPr>
                  <w:tcW w:w="1775" w:type="pct"/>
                  <w:tcBorders>
                    <w:tl2br w:val="nil"/>
                    <w:tr2bl w:val="nil"/>
                  </w:tcBorders>
                  <w:noWrap w:val="0"/>
                  <w:vAlign w:val="center"/>
                </w:tcPr>
                <w:p w14:paraId="147C2551">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default" w:ascii="Times New Roman" w:hAnsi="Times New Roman" w:eastAsia="宋体"/>
                      <w:color w:val="auto"/>
                      <w:sz w:val="21"/>
                      <w:szCs w:val="21"/>
                      <w:lang w:val="en-US"/>
                    </w:rPr>
                  </w:pPr>
                  <w:r>
                    <w:rPr>
                      <w:rFonts w:hint="eastAsia" w:ascii="Times New Roman" w:hAnsi="Times New Roman" w:eastAsia="宋体"/>
                      <w:color w:val="auto"/>
                      <w:sz w:val="21"/>
                      <w:szCs w:val="21"/>
                      <w:lang w:val="en-US" w:eastAsia="zh-CN"/>
                    </w:rPr>
                    <w:t>30</w:t>
                  </w:r>
                </w:p>
              </w:tc>
            </w:tr>
            <w:tr w14:paraId="36B5086C">
              <w:trPr>
                <w:trHeight w:val="340" w:hRule="atLeast"/>
              </w:trPr>
              <w:tc>
                <w:tcPr>
                  <w:tcW w:w="403" w:type="pct"/>
                  <w:vMerge w:val="continue"/>
                  <w:tcBorders>
                    <w:tl2br w:val="nil"/>
                    <w:tr2bl w:val="nil"/>
                  </w:tcBorders>
                  <w:noWrap w:val="0"/>
                  <w:vAlign w:val="center"/>
                </w:tcPr>
                <w:p w14:paraId="1B0A1D90">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olor w:val="auto"/>
                      <w:sz w:val="21"/>
                      <w:szCs w:val="21"/>
                    </w:rPr>
                  </w:pPr>
                </w:p>
              </w:tc>
              <w:tc>
                <w:tcPr>
                  <w:tcW w:w="778" w:type="pct"/>
                  <w:vMerge w:val="continue"/>
                  <w:tcBorders>
                    <w:tl2br w:val="nil"/>
                    <w:tr2bl w:val="nil"/>
                  </w:tcBorders>
                  <w:noWrap w:val="0"/>
                  <w:vAlign w:val="center"/>
                </w:tcPr>
                <w:p w14:paraId="76618DC7">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olor w:val="auto"/>
                      <w:sz w:val="21"/>
                      <w:szCs w:val="21"/>
                    </w:rPr>
                  </w:pPr>
                </w:p>
              </w:tc>
              <w:tc>
                <w:tcPr>
                  <w:tcW w:w="946" w:type="pct"/>
                  <w:tcBorders>
                    <w:tl2br w:val="nil"/>
                    <w:tr2bl w:val="nil"/>
                  </w:tcBorders>
                  <w:noWrap w:val="0"/>
                  <w:vAlign w:val="center"/>
                </w:tcPr>
                <w:p w14:paraId="0EDCFB24">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olor w:val="auto"/>
                      <w:sz w:val="21"/>
                      <w:szCs w:val="21"/>
                    </w:rPr>
                  </w:pPr>
                  <w:r>
                    <w:rPr>
                      <w:rFonts w:hint="eastAsia" w:ascii="Times New Roman" w:hAnsi="Times New Roman" w:eastAsia="宋体"/>
                      <w:color w:val="auto"/>
                      <w:sz w:val="21"/>
                      <w:szCs w:val="21"/>
                    </w:rPr>
                    <w:t>TN</w:t>
                  </w:r>
                </w:p>
              </w:tc>
              <w:tc>
                <w:tcPr>
                  <w:tcW w:w="1096" w:type="pct"/>
                  <w:vMerge w:val="continue"/>
                  <w:tcBorders>
                    <w:tl2br w:val="nil"/>
                    <w:tr2bl w:val="nil"/>
                  </w:tcBorders>
                  <w:noWrap w:val="0"/>
                  <w:vAlign w:val="center"/>
                </w:tcPr>
                <w:p w14:paraId="6B5A3E03">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olor w:val="auto"/>
                      <w:sz w:val="21"/>
                      <w:szCs w:val="21"/>
                    </w:rPr>
                  </w:pPr>
                </w:p>
              </w:tc>
              <w:tc>
                <w:tcPr>
                  <w:tcW w:w="1775" w:type="pct"/>
                  <w:tcBorders>
                    <w:tl2br w:val="nil"/>
                    <w:tr2bl w:val="nil"/>
                  </w:tcBorders>
                  <w:noWrap w:val="0"/>
                  <w:vAlign w:val="center"/>
                </w:tcPr>
                <w:p w14:paraId="4118A5E8">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default" w:ascii="Times New Roman" w:hAnsi="Times New Roman" w:eastAsia="宋体"/>
                      <w:color w:val="auto"/>
                      <w:sz w:val="21"/>
                      <w:szCs w:val="21"/>
                    </w:rPr>
                  </w:pPr>
                  <w:r>
                    <w:rPr>
                      <w:rFonts w:hint="eastAsia" w:ascii="Times New Roman" w:hAnsi="Times New Roman" w:eastAsia="宋体"/>
                      <w:color w:val="auto"/>
                      <w:sz w:val="21"/>
                      <w:szCs w:val="21"/>
                      <w:lang w:val="en-US" w:eastAsia="zh-CN"/>
                    </w:rPr>
                    <w:t>45</w:t>
                  </w:r>
                </w:p>
              </w:tc>
            </w:tr>
            <w:tr w14:paraId="41B52D3C">
              <w:trPr>
                <w:trHeight w:val="340" w:hRule="atLeast"/>
              </w:trPr>
              <w:tc>
                <w:tcPr>
                  <w:tcW w:w="403" w:type="pct"/>
                  <w:vMerge w:val="continue"/>
                  <w:tcBorders>
                    <w:tl2br w:val="nil"/>
                    <w:tr2bl w:val="nil"/>
                  </w:tcBorders>
                  <w:noWrap w:val="0"/>
                  <w:vAlign w:val="center"/>
                </w:tcPr>
                <w:p w14:paraId="4A4A63F0">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olor w:val="auto"/>
                      <w:sz w:val="21"/>
                      <w:szCs w:val="21"/>
                    </w:rPr>
                  </w:pPr>
                </w:p>
              </w:tc>
              <w:tc>
                <w:tcPr>
                  <w:tcW w:w="778" w:type="pct"/>
                  <w:vMerge w:val="continue"/>
                  <w:tcBorders>
                    <w:tl2br w:val="nil"/>
                    <w:tr2bl w:val="nil"/>
                  </w:tcBorders>
                  <w:noWrap w:val="0"/>
                  <w:vAlign w:val="center"/>
                </w:tcPr>
                <w:p w14:paraId="60841D85">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olor w:val="auto"/>
                      <w:sz w:val="21"/>
                      <w:szCs w:val="21"/>
                    </w:rPr>
                  </w:pPr>
                </w:p>
              </w:tc>
              <w:tc>
                <w:tcPr>
                  <w:tcW w:w="946" w:type="pct"/>
                  <w:tcBorders>
                    <w:tl2br w:val="nil"/>
                    <w:tr2bl w:val="nil"/>
                  </w:tcBorders>
                  <w:shd w:val="clear" w:color="auto" w:fill="auto"/>
                  <w:noWrap w:val="0"/>
                  <w:vAlign w:val="center"/>
                </w:tcPr>
                <w:p w14:paraId="476B022D">
                  <w:pPr>
                    <w:pStyle w:val="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olor w:val="auto"/>
                      <w:sz w:val="21"/>
                      <w:szCs w:val="21"/>
                    </w:rPr>
                    <w:t>TP</w:t>
                  </w:r>
                </w:p>
              </w:tc>
              <w:tc>
                <w:tcPr>
                  <w:tcW w:w="1096" w:type="pct"/>
                  <w:vMerge w:val="continue"/>
                  <w:tcBorders>
                    <w:tl2br w:val="nil"/>
                    <w:tr2bl w:val="nil"/>
                  </w:tcBorders>
                  <w:shd w:val="clear" w:color="auto" w:fill="auto"/>
                  <w:noWrap w:val="0"/>
                  <w:vAlign w:val="center"/>
                </w:tcPr>
                <w:p w14:paraId="0428721D">
                  <w:pPr>
                    <w:pStyle w:val="16"/>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p>
              </w:tc>
              <w:tc>
                <w:tcPr>
                  <w:tcW w:w="1775" w:type="pct"/>
                  <w:tcBorders>
                    <w:tl2br w:val="nil"/>
                    <w:tr2bl w:val="nil"/>
                  </w:tcBorders>
                  <w:shd w:val="clear" w:color="auto" w:fill="auto"/>
                  <w:noWrap w:val="0"/>
                  <w:vAlign w:val="center"/>
                </w:tcPr>
                <w:p w14:paraId="23B0E276">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olor w:val="auto"/>
                      <w:sz w:val="21"/>
                      <w:szCs w:val="21"/>
                      <w:lang w:val="en-US" w:eastAsia="zh-CN"/>
                    </w:rPr>
                    <w:t>8</w:t>
                  </w:r>
                </w:p>
              </w:tc>
            </w:tr>
            <w:tr w14:paraId="5A791271">
              <w:trPr>
                <w:trHeight w:val="340" w:hRule="atLeast"/>
              </w:trPr>
              <w:tc>
                <w:tcPr>
                  <w:tcW w:w="403" w:type="pct"/>
                  <w:vMerge w:val="continue"/>
                  <w:tcBorders>
                    <w:tl2br w:val="nil"/>
                    <w:tr2bl w:val="nil"/>
                  </w:tcBorders>
                  <w:noWrap w:val="0"/>
                  <w:vAlign w:val="center"/>
                </w:tcPr>
                <w:p w14:paraId="4921576E">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olor w:val="auto"/>
                      <w:sz w:val="21"/>
                      <w:szCs w:val="21"/>
                    </w:rPr>
                  </w:pPr>
                </w:p>
              </w:tc>
              <w:tc>
                <w:tcPr>
                  <w:tcW w:w="778" w:type="pct"/>
                  <w:vMerge w:val="continue"/>
                  <w:tcBorders>
                    <w:tl2br w:val="nil"/>
                    <w:tr2bl w:val="nil"/>
                  </w:tcBorders>
                  <w:noWrap w:val="0"/>
                  <w:vAlign w:val="center"/>
                </w:tcPr>
                <w:p w14:paraId="1EBF9034">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olor w:val="auto"/>
                      <w:sz w:val="21"/>
                      <w:szCs w:val="21"/>
                    </w:rPr>
                  </w:pPr>
                </w:p>
              </w:tc>
              <w:tc>
                <w:tcPr>
                  <w:tcW w:w="946" w:type="pct"/>
                  <w:tcBorders>
                    <w:tl2br w:val="nil"/>
                    <w:tr2bl w:val="nil"/>
                  </w:tcBorders>
                  <w:noWrap w:val="0"/>
                  <w:vAlign w:val="center"/>
                </w:tcPr>
                <w:p w14:paraId="3CFAD4D2">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动植物油</w:t>
                  </w:r>
                </w:p>
              </w:tc>
              <w:tc>
                <w:tcPr>
                  <w:tcW w:w="1096" w:type="pct"/>
                  <w:vMerge w:val="continue"/>
                  <w:tcBorders>
                    <w:tl2br w:val="nil"/>
                    <w:tr2bl w:val="nil"/>
                  </w:tcBorders>
                  <w:noWrap w:val="0"/>
                  <w:vAlign w:val="center"/>
                </w:tcPr>
                <w:p w14:paraId="43591DD5">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olor w:val="auto"/>
                      <w:sz w:val="21"/>
                      <w:szCs w:val="21"/>
                    </w:rPr>
                  </w:pPr>
                </w:p>
              </w:tc>
              <w:tc>
                <w:tcPr>
                  <w:tcW w:w="1775" w:type="pct"/>
                  <w:tcBorders>
                    <w:tl2br w:val="nil"/>
                    <w:tr2bl w:val="nil"/>
                  </w:tcBorders>
                  <w:noWrap w:val="0"/>
                  <w:vAlign w:val="center"/>
                </w:tcPr>
                <w:p w14:paraId="1FD44588">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100</w:t>
                  </w:r>
                </w:p>
              </w:tc>
            </w:tr>
          </w:tbl>
          <w:p w14:paraId="418DF43C">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Times New Roman" w:hAnsi="Times New Roman" w:eastAsia="宋体"/>
                <w:b/>
                <w:bCs/>
                <w:color w:val="auto"/>
                <w:sz w:val="21"/>
                <w:szCs w:val="21"/>
              </w:rPr>
            </w:pPr>
            <w:r>
              <w:rPr>
                <w:rFonts w:hint="eastAsia" w:ascii="Times New Roman" w:hAnsi="Times New Roman" w:eastAsia="宋体"/>
                <w:color w:val="auto"/>
              </w:rPr>
              <w:t>本项目废水污染物排放信息见</w:t>
            </w:r>
            <w:r>
              <w:rPr>
                <w:rFonts w:hint="eastAsia" w:ascii="Times New Roman" w:hAnsi="Times New Roman" w:eastAsia="宋体"/>
                <w:color w:val="auto"/>
                <w:lang w:val="en-US" w:eastAsia="zh-CN"/>
              </w:rPr>
              <w:t>下表</w:t>
            </w:r>
            <w:r>
              <w:rPr>
                <w:rFonts w:hint="eastAsia" w:ascii="Times New Roman" w:hAnsi="Times New Roman" w:eastAsia="宋体"/>
                <w:color w:val="auto"/>
              </w:rPr>
              <w:t>。</w:t>
            </w:r>
          </w:p>
          <w:p w14:paraId="00315BF3">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b/>
                <w:bCs/>
                <w:color w:val="auto"/>
                <w:sz w:val="21"/>
                <w:szCs w:val="21"/>
              </w:rPr>
            </w:pPr>
            <w:r>
              <w:rPr>
                <w:rFonts w:hint="eastAsia" w:ascii="Times New Roman" w:hAnsi="Times New Roman" w:eastAsia="宋体"/>
                <w:b/>
                <w:bCs/>
                <w:color w:val="auto"/>
                <w:sz w:val="21"/>
                <w:szCs w:val="21"/>
              </w:rPr>
              <w:t>表4-</w:t>
            </w:r>
            <w:r>
              <w:rPr>
                <w:rFonts w:hint="eastAsia" w:ascii="Times New Roman" w:hAnsi="Times New Roman" w:eastAsia="宋体"/>
                <w:b/>
                <w:bCs/>
                <w:color w:val="auto"/>
                <w:sz w:val="21"/>
                <w:szCs w:val="21"/>
                <w:lang w:val="en-US" w:eastAsia="zh-CN"/>
              </w:rPr>
              <w:t>1</w:t>
            </w:r>
            <w:r>
              <w:rPr>
                <w:rFonts w:hint="eastAsia"/>
                <w:b/>
                <w:bCs/>
                <w:color w:val="auto"/>
                <w:sz w:val="21"/>
                <w:szCs w:val="21"/>
                <w:lang w:val="en-US" w:eastAsia="zh-CN"/>
              </w:rPr>
              <w:t xml:space="preserve">7  </w:t>
            </w:r>
            <w:r>
              <w:rPr>
                <w:rFonts w:hint="eastAsia" w:ascii="Times New Roman" w:hAnsi="Times New Roman" w:eastAsia="宋体"/>
                <w:b/>
                <w:bCs/>
                <w:color w:val="auto"/>
                <w:sz w:val="21"/>
                <w:szCs w:val="21"/>
              </w:rPr>
              <w:t>项目废水污染物排放信息表</w:t>
            </w:r>
          </w:p>
          <w:tbl>
            <w:tblPr>
              <w:tblStyle w:val="21"/>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3"/>
              <w:gridCol w:w="1323"/>
              <w:gridCol w:w="1323"/>
              <w:gridCol w:w="1323"/>
              <w:gridCol w:w="1325"/>
              <w:gridCol w:w="1323"/>
            </w:tblGrid>
            <w:tr w14:paraId="555FB484">
              <w:trPr>
                <w:trHeight w:val="340" w:hRule="atLeast"/>
              </w:trPr>
              <w:tc>
                <w:tcPr>
                  <w:tcW w:w="833" w:type="pct"/>
                  <w:tcBorders>
                    <w:tl2br w:val="nil"/>
                    <w:tr2bl w:val="nil"/>
                  </w:tcBorders>
                  <w:noWrap w:val="0"/>
                  <w:vAlign w:val="center"/>
                </w:tcPr>
                <w:p w14:paraId="71E55368">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olor w:val="auto"/>
                      <w:sz w:val="21"/>
                      <w:szCs w:val="21"/>
                    </w:rPr>
                  </w:pPr>
                  <w:r>
                    <w:rPr>
                      <w:rFonts w:hint="eastAsia" w:ascii="Times New Roman" w:hAnsi="Times New Roman" w:eastAsia="宋体"/>
                      <w:color w:val="auto"/>
                      <w:sz w:val="21"/>
                      <w:szCs w:val="21"/>
                    </w:rPr>
                    <w:t>序号</w:t>
                  </w:r>
                </w:p>
              </w:tc>
              <w:tc>
                <w:tcPr>
                  <w:tcW w:w="833" w:type="pct"/>
                  <w:tcBorders>
                    <w:tl2br w:val="nil"/>
                    <w:tr2bl w:val="nil"/>
                  </w:tcBorders>
                  <w:noWrap w:val="0"/>
                  <w:vAlign w:val="center"/>
                </w:tcPr>
                <w:p w14:paraId="4CBD72DB">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olor w:val="auto"/>
                      <w:sz w:val="21"/>
                      <w:szCs w:val="21"/>
                    </w:rPr>
                  </w:pPr>
                  <w:r>
                    <w:rPr>
                      <w:rFonts w:hint="eastAsia" w:ascii="Times New Roman" w:hAnsi="Times New Roman" w:eastAsia="宋体"/>
                      <w:color w:val="auto"/>
                      <w:sz w:val="21"/>
                      <w:szCs w:val="21"/>
                    </w:rPr>
                    <w:t>排放口编号</w:t>
                  </w:r>
                </w:p>
              </w:tc>
              <w:tc>
                <w:tcPr>
                  <w:tcW w:w="833" w:type="pct"/>
                  <w:tcBorders>
                    <w:tl2br w:val="nil"/>
                    <w:tr2bl w:val="nil"/>
                  </w:tcBorders>
                  <w:noWrap w:val="0"/>
                  <w:vAlign w:val="center"/>
                </w:tcPr>
                <w:p w14:paraId="569451B3">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olor w:val="auto"/>
                      <w:sz w:val="21"/>
                      <w:szCs w:val="21"/>
                    </w:rPr>
                  </w:pPr>
                  <w:r>
                    <w:rPr>
                      <w:rFonts w:hint="eastAsia" w:ascii="Times New Roman" w:hAnsi="Times New Roman" w:eastAsia="宋体"/>
                      <w:color w:val="auto"/>
                      <w:sz w:val="21"/>
                      <w:szCs w:val="21"/>
                    </w:rPr>
                    <w:t>污染物种类</w:t>
                  </w:r>
                </w:p>
              </w:tc>
              <w:tc>
                <w:tcPr>
                  <w:tcW w:w="833" w:type="pct"/>
                  <w:tcBorders>
                    <w:tl2br w:val="nil"/>
                    <w:tr2bl w:val="nil"/>
                  </w:tcBorders>
                  <w:noWrap w:val="0"/>
                  <w:vAlign w:val="center"/>
                </w:tcPr>
                <w:p w14:paraId="300621D3">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olor w:val="auto"/>
                      <w:sz w:val="21"/>
                      <w:szCs w:val="21"/>
                    </w:rPr>
                  </w:pPr>
                  <w:r>
                    <w:rPr>
                      <w:rFonts w:hint="eastAsia" w:ascii="Times New Roman" w:hAnsi="Times New Roman" w:eastAsia="宋体"/>
                      <w:color w:val="auto"/>
                      <w:sz w:val="21"/>
                      <w:szCs w:val="21"/>
                    </w:rPr>
                    <w:t>排放浓度（mg/L）</w:t>
                  </w:r>
                </w:p>
              </w:tc>
              <w:tc>
                <w:tcPr>
                  <w:tcW w:w="834" w:type="pct"/>
                  <w:tcBorders>
                    <w:tl2br w:val="nil"/>
                    <w:tr2bl w:val="nil"/>
                  </w:tcBorders>
                  <w:noWrap w:val="0"/>
                  <w:vAlign w:val="center"/>
                </w:tcPr>
                <w:p w14:paraId="5D06924C">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olor w:val="auto"/>
                      <w:sz w:val="21"/>
                      <w:szCs w:val="21"/>
                    </w:rPr>
                  </w:pPr>
                  <w:r>
                    <w:rPr>
                      <w:rFonts w:hint="eastAsia" w:ascii="Times New Roman" w:hAnsi="Times New Roman" w:eastAsia="宋体"/>
                      <w:color w:val="auto"/>
                      <w:sz w:val="21"/>
                      <w:szCs w:val="21"/>
                    </w:rPr>
                    <w:t>日排放量</w:t>
                  </w:r>
                </w:p>
                <w:p w14:paraId="64C6CD43">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olor w:val="auto"/>
                      <w:sz w:val="21"/>
                      <w:szCs w:val="21"/>
                    </w:rPr>
                  </w:pPr>
                  <w:r>
                    <w:rPr>
                      <w:rFonts w:hint="eastAsia"/>
                      <w:color w:val="auto"/>
                      <w:sz w:val="21"/>
                      <w:szCs w:val="21"/>
                      <w:lang w:eastAsia="zh-CN"/>
                    </w:rPr>
                    <w:t>(</w:t>
                  </w:r>
                  <w:r>
                    <w:rPr>
                      <w:rFonts w:hint="eastAsia" w:ascii="Times New Roman" w:hAnsi="Times New Roman" w:eastAsia="宋体"/>
                      <w:color w:val="auto"/>
                      <w:sz w:val="21"/>
                      <w:szCs w:val="21"/>
                      <w:lang w:val="en-US" w:eastAsia="zh-CN"/>
                    </w:rPr>
                    <w:t>kg</w:t>
                  </w:r>
                  <w:r>
                    <w:rPr>
                      <w:rFonts w:hint="eastAsia" w:ascii="Times New Roman" w:hAnsi="Times New Roman" w:eastAsia="宋体"/>
                      <w:color w:val="auto"/>
                      <w:sz w:val="21"/>
                      <w:szCs w:val="21"/>
                    </w:rPr>
                    <w:t>/d</w:t>
                  </w:r>
                  <w:r>
                    <w:rPr>
                      <w:rFonts w:hint="eastAsia"/>
                      <w:color w:val="auto"/>
                      <w:sz w:val="21"/>
                      <w:szCs w:val="21"/>
                      <w:lang w:eastAsia="zh-CN"/>
                    </w:rPr>
                    <w:t>)</w:t>
                  </w:r>
                </w:p>
              </w:tc>
              <w:tc>
                <w:tcPr>
                  <w:tcW w:w="833" w:type="pct"/>
                  <w:tcBorders>
                    <w:tl2br w:val="nil"/>
                    <w:tr2bl w:val="nil"/>
                  </w:tcBorders>
                  <w:noWrap w:val="0"/>
                  <w:vAlign w:val="center"/>
                </w:tcPr>
                <w:p w14:paraId="0A4257D6">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olor w:val="auto"/>
                      <w:sz w:val="21"/>
                      <w:szCs w:val="21"/>
                    </w:rPr>
                  </w:pPr>
                  <w:r>
                    <w:rPr>
                      <w:rFonts w:hint="eastAsia" w:ascii="Times New Roman" w:hAnsi="Times New Roman" w:eastAsia="宋体"/>
                      <w:color w:val="auto"/>
                      <w:sz w:val="21"/>
                      <w:szCs w:val="21"/>
                    </w:rPr>
                    <w:t>年排放量（t/a）</w:t>
                  </w:r>
                </w:p>
              </w:tc>
            </w:tr>
            <w:tr w14:paraId="690FCB27">
              <w:trPr>
                <w:trHeight w:val="340" w:hRule="atLeast"/>
              </w:trPr>
              <w:tc>
                <w:tcPr>
                  <w:tcW w:w="833" w:type="pct"/>
                  <w:vMerge w:val="restart"/>
                  <w:tcBorders>
                    <w:tl2br w:val="nil"/>
                    <w:tr2bl w:val="nil"/>
                  </w:tcBorders>
                  <w:noWrap w:val="0"/>
                  <w:vAlign w:val="center"/>
                </w:tcPr>
                <w:p w14:paraId="1AB4AC13">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olor w:val="auto"/>
                      <w:sz w:val="21"/>
                      <w:szCs w:val="21"/>
                    </w:rPr>
                  </w:pPr>
                  <w:r>
                    <w:rPr>
                      <w:rFonts w:hint="eastAsia" w:ascii="Times New Roman" w:hAnsi="Times New Roman" w:eastAsia="宋体"/>
                      <w:color w:val="auto"/>
                      <w:sz w:val="21"/>
                      <w:szCs w:val="21"/>
                    </w:rPr>
                    <w:t>1</w:t>
                  </w:r>
                </w:p>
              </w:tc>
              <w:tc>
                <w:tcPr>
                  <w:tcW w:w="833" w:type="pct"/>
                  <w:vMerge w:val="restart"/>
                  <w:tcBorders>
                    <w:tl2br w:val="nil"/>
                    <w:tr2bl w:val="nil"/>
                  </w:tcBorders>
                  <w:noWrap w:val="0"/>
                  <w:vAlign w:val="center"/>
                </w:tcPr>
                <w:p w14:paraId="35B3BFCA">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DW001</w:t>
                  </w:r>
                </w:p>
              </w:tc>
              <w:tc>
                <w:tcPr>
                  <w:tcW w:w="833" w:type="pct"/>
                  <w:tcBorders>
                    <w:tl2br w:val="nil"/>
                    <w:tr2bl w:val="nil"/>
                  </w:tcBorders>
                  <w:noWrap w:val="0"/>
                  <w:vAlign w:val="center"/>
                </w:tcPr>
                <w:p w14:paraId="75953592">
                  <w:pPr>
                    <w:pStyle w:val="16"/>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olor w:val="auto"/>
                      <w:kern w:val="0"/>
                      <w:sz w:val="21"/>
                      <w:szCs w:val="21"/>
                      <w:lang w:val="en-US" w:eastAsia="zh-CN" w:bidi="ar-SA"/>
                    </w:rPr>
                  </w:pPr>
                  <w:r>
                    <w:rPr>
                      <w:rFonts w:hint="eastAsia" w:ascii="Times New Roman" w:hAnsi="Times New Roman" w:eastAsia="宋体"/>
                      <w:color w:val="auto"/>
                      <w:sz w:val="21"/>
                      <w:szCs w:val="21"/>
                    </w:rPr>
                    <w:t>COD</w:t>
                  </w:r>
                </w:p>
              </w:tc>
              <w:tc>
                <w:tcPr>
                  <w:tcW w:w="1323" w:type="dxa"/>
                  <w:tcBorders>
                    <w:tl2br w:val="nil"/>
                    <w:tr2bl w:val="nil"/>
                  </w:tcBorders>
                  <w:noWrap w:val="0"/>
                  <w:vAlign w:val="center"/>
                </w:tcPr>
                <w:p w14:paraId="0ADE10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130.2</w:t>
                  </w:r>
                </w:p>
              </w:tc>
              <w:tc>
                <w:tcPr>
                  <w:tcW w:w="1325" w:type="dxa"/>
                  <w:tcBorders>
                    <w:tl2br w:val="nil"/>
                    <w:tr2bl w:val="nil"/>
                  </w:tcBorders>
                  <w:noWrap w:val="0"/>
                  <w:vAlign w:val="center"/>
                </w:tcPr>
                <w:p w14:paraId="5E94B2B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39.255</w:t>
                  </w:r>
                </w:p>
              </w:tc>
              <w:tc>
                <w:tcPr>
                  <w:tcW w:w="1323" w:type="dxa"/>
                  <w:tcBorders>
                    <w:tl2br w:val="nil"/>
                    <w:tr2bl w:val="nil"/>
                  </w:tcBorders>
                  <w:noWrap w:val="0"/>
                  <w:vAlign w:val="center"/>
                </w:tcPr>
                <w:p w14:paraId="280E41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12.954</w:t>
                  </w:r>
                </w:p>
              </w:tc>
            </w:tr>
            <w:tr w14:paraId="5F08937E">
              <w:trPr>
                <w:trHeight w:val="340" w:hRule="atLeast"/>
              </w:trPr>
              <w:tc>
                <w:tcPr>
                  <w:tcW w:w="833" w:type="pct"/>
                  <w:vMerge w:val="continue"/>
                  <w:tcBorders>
                    <w:tl2br w:val="nil"/>
                    <w:tr2bl w:val="nil"/>
                  </w:tcBorders>
                  <w:noWrap w:val="0"/>
                  <w:vAlign w:val="center"/>
                </w:tcPr>
                <w:p w14:paraId="6564EF26">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olor w:val="auto"/>
                      <w:sz w:val="21"/>
                      <w:szCs w:val="21"/>
                    </w:rPr>
                  </w:pPr>
                </w:p>
              </w:tc>
              <w:tc>
                <w:tcPr>
                  <w:tcW w:w="833" w:type="pct"/>
                  <w:vMerge w:val="continue"/>
                  <w:tcBorders>
                    <w:tl2br w:val="nil"/>
                    <w:tr2bl w:val="nil"/>
                  </w:tcBorders>
                  <w:noWrap w:val="0"/>
                  <w:vAlign w:val="center"/>
                </w:tcPr>
                <w:p w14:paraId="47727A50">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olor w:val="auto"/>
                      <w:sz w:val="21"/>
                      <w:szCs w:val="21"/>
                      <w:lang w:val="en-US" w:eastAsia="zh-CN"/>
                    </w:rPr>
                  </w:pPr>
                </w:p>
              </w:tc>
              <w:tc>
                <w:tcPr>
                  <w:tcW w:w="833" w:type="pct"/>
                  <w:tcBorders>
                    <w:tl2br w:val="nil"/>
                    <w:tr2bl w:val="nil"/>
                  </w:tcBorders>
                  <w:noWrap w:val="0"/>
                  <w:vAlign w:val="center"/>
                </w:tcPr>
                <w:p w14:paraId="79853456">
                  <w:pPr>
                    <w:pStyle w:val="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olor w:val="auto"/>
                      <w:kern w:val="0"/>
                      <w:sz w:val="21"/>
                      <w:szCs w:val="21"/>
                      <w:lang w:val="en-US" w:eastAsia="zh-CN" w:bidi="ar-SA"/>
                    </w:rPr>
                  </w:pPr>
                  <w:r>
                    <w:rPr>
                      <w:rFonts w:hint="eastAsia" w:ascii="Times New Roman" w:hAnsi="Times New Roman" w:eastAsia="宋体"/>
                      <w:color w:val="auto"/>
                      <w:sz w:val="21"/>
                      <w:szCs w:val="21"/>
                    </w:rPr>
                    <w:t>SS</w:t>
                  </w:r>
                </w:p>
              </w:tc>
              <w:tc>
                <w:tcPr>
                  <w:tcW w:w="1323" w:type="dxa"/>
                  <w:tcBorders>
                    <w:tl2br w:val="nil"/>
                    <w:tr2bl w:val="nil"/>
                  </w:tcBorders>
                  <w:noWrap w:val="0"/>
                  <w:vAlign w:val="center"/>
                </w:tcPr>
                <w:p w14:paraId="037C70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52.1 </w:t>
                  </w:r>
                </w:p>
              </w:tc>
              <w:tc>
                <w:tcPr>
                  <w:tcW w:w="1325" w:type="dxa"/>
                  <w:tcBorders>
                    <w:tl2br w:val="nil"/>
                    <w:tr2bl w:val="nil"/>
                  </w:tcBorders>
                  <w:noWrap w:val="0"/>
                  <w:vAlign w:val="center"/>
                </w:tcPr>
                <w:p w14:paraId="5E1FE84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15.706 </w:t>
                  </w:r>
                </w:p>
              </w:tc>
              <w:tc>
                <w:tcPr>
                  <w:tcW w:w="1323" w:type="dxa"/>
                  <w:tcBorders>
                    <w:tl2br w:val="nil"/>
                    <w:tr2bl w:val="nil"/>
                  </w:tcBorders>
                  <w:noWrap w:val="0"/>
                  <w:vAlign w:val="center"/>
                </w:tcPr>
                <w:p w14:paraId="29C5E4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5.183 </w:t>
                  </w:r>
                </w:p>
              </w:tc>
            </w:tr>
            <w:tr w14:paraId="06E124DB">
              <w:trPr>
                <w:trHeight w:val="340" w:hRule="atLeast"/>
              </w:trPr>
              <w:tc>
                <w:tcPr>
                  <w:tcW w:w="833" w:type="pct"/>
                  <w:vMerge w:val="continue"/>
                  <w:tcBorders>
                    <w:tl2br w:val="nil"/>
                    <w:tr2bl w:val="nil"/>
                  </w:tcBorders>
                  <w:noWrap w:val="0"/>
                  <w:vAlign w:val="center"/>
                </w:tcPr>
                <w:p w14:paraId="138A824E">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olor w:val="auto"/>
                      <w:sz w:val="21"/>
                      <w:szCs w:val="21"/>
                    </w:rPr>
                  </w:pPr>
                </w:p>
              </w:tc>
              <w:tc>
                <w:tcPr>
                  <w:tcW w:w="833" w:type="pct"/>
                  <w:vMerge w:val="continue"/>
                  <w:tcBorders>
                    <w:tl2br w:val="nil"/>
                    <w:tr2bl w:val="nil"/>
                  </w:tcBorders>
                  <w:noWrap w:val="0"/>
                  <w:vAlign w:val="center"/>
                </w:tcPr>
                <w:p w14:paraId="02F15830">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olor w:val="auto"/>
                      <w:sz w:val="21"/>
                      <w:szCs w:val="21"/>
                      <w:lang w:val="en-US" w:eastAsia="zh-CN"/>
                    </w:rPr>
                  </w:pPr>
                </w:p>
              </w:tc>
              <w:tc>
                <w:tcPr>
                  <w:tcW w:w="833" w:type="pct"/>
                  <w:tcBorders>
                    <w:tl2br w:val="nil"/>
                    <w:tr2bl w:val="nil"/>
                  </w:tcBorders>
                  <w:noWrap w:val="0"/>
                  <w:vAlign w:val="center"/>
                </w:tcPr>
                <w:p w14:paraId="15D3BB77">
                  <w:pPr>
                    <w:pStyle w:val="16"/>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BOD</w:t>
                  </w:r>
                  <w:r>
                    <w:rPr>
                      <w:rFonts w:hint="eastAsia"/>
                      <w:color w:val="auto"/>
                      <w:sz w:val="21"/>
                      <w:szCs w:val="21"/>
                      <w:vertAlign w:val="subscript"/>
                      <w:lang w:val="en-US" w:eastAsia="zh-CN"/>
                    </w:rPr>
                    <w:t>5</w:t>
                  </w:r>
                </w:p>
              </w:tc>
              <w:tc>
                <w:tcPr>
                  <w:tcW w:w="1323" w:type="dxa"/>
                  <w:tcBorders>
                    <w:tl2br w:val="nil"/>
                    <w:tr2bl w:val="nil"/>
                  </w:tcBorders>
                  <w:noWrap w:val="0"/>
                  <w:vAlign w:val="center"/>
                </w:tcPr>
                <w:p w14:paraId="219C77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50.5 </w:t>
                  </w:r>
                </w:p>
              </w:tc>
              <w:tc>
                <w:tcPr>
                  <w:tcW w:w="1325" w:type="dxa"/>
                  <w:tcBorders>
                    <w:tl2br w:val="nil"/>
                    <w:tr2bl w:val="nil"/>
                  </w:tcBorders>
                  <w:noWrap w:val="0"/>
                  <w:vAlign w:val="center"/>
                </w:tcPr>
                <w:p w14:paraId="27AD7D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15.216 </w:t>
                  </w:r>
                </w:p>
              </w:tc>
              <w:tc>
                <w:tcPr>
                  <w:tcW w:w="1323" w:type="dxa"/>
                  <w:tcBorders>
                    <w:tl2br w:val="nil"/>
                    <w:tr2bl w:val="nil"/>
                  </w:tcBorders>
                  <w:noWrap w:val="0"/>
                  <w:vAlign w:val="center"/>
                </w:tcPr>
                <w:p w14:paraId="2487072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5.021 </w:t>
                  </w:r>
                </w:p>
              </w:tc>
            </w:tr>
            <w:tr w14:paraId="206DD847">
              <w:trPr>
                <w:trHeight w:val="340" w:hRule="atLeast"/>
              </w:trPr>
              <w:tc>
                <w:tcPr>
                  <w:tcW w:w="833" w:type="pct"/>
                  <w:vMerge w:val="continue"/>
                  <w:tcBorders>
                    <w:tl2br w:val="nil"/>
                    <w:tr2bl w:val="nil"/>
                  </w:tcBorders>
                  <w:noWrap w:val="0"/>
                  <w:vAlign w:val="center"/>
                </w:tcPr>
                <w:p w14:paraId="070E0D5D">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olor w:val="auto"/>
                      <w:sz w:val="21"/>
                      <w:szCs w:val="21"/>
                    </w:rPr>
                  </w:pPr>
                </w:p>
              </w:tc>
              <w:tc>
                <w:tcPr>
                  <w:tcW w:w="833" w:type="pct"/>
                  <w:vMerge w:val="continue"/>
                  <w:tcBorders>
                    <w:tl2br w:val="nil"/>
                    <w:tr2bl w:val="nil"/>
                  </w:tcBorders>
                  <w:noWrap w:val="0"/>
                  <w:vAlign w:val="center"/>
                </w:tcPr>
                <w:p w14:paraId="3264D12E">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olor w:val="auto"/>
                      <w:sz w:val="21"/>
                      <w:szCs w:val="21"/>
                      <w:lang w:val="en-US" w:eastAsia="zh-CN"/>
                    </w:rPr>
                  </w:pPr>
                </w:p>
              </w:tc>
              <w:tc>
                <w:tcPr>
                  <w:tcW w:w="833" w:type="pct"/>
                  <w:tcBorders>
                    <w:tl2br w:val="nil"/>
                    <w:tr2bl w:val="nil"/>
                  </w:tcBorders>
                  <w:noWrap w:val="0"/>
                  <w:vAlign w:val="center"/>
                </w:tcPr>
                <w:p w14:paraId="2A85AD56">
                  <w:pPr>
                    <w:pStyle w:val="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olor w:val="auto"/>
                      <w:kern w:val="0"/>
                      <w:sz w:val="21"/>
                      <w:szCs w:val="21"/>
                      <w:lang w:val="en-US" w:eastAsia="zh-CN" w:bidi="ar-SA"/>
                    </w:rPr>
                  </w:pPr>
                  <w:r>
                    <w:rPr>
                      <w:rFonts w:hint="eastAsia" w:ascii="Times New Roman" w:hAnsi="Times New Roman" w:eastAsia="宋体"/>
                      <w:color w:val="auto"/>
                      <w:sz w:val="21"/>
                      <w:szCs w:val="21"/>
                    </w:rPr>
                    <w:t>NH</w:t>
                  </w:r>
                  <w:r>
                    <w:rPr>
                      <w:rFonts w:hint="eastAsia" w:ascii="Times New Roman" w:hAnsi="Times New Roman" w:eastAsia="宋体"/>
                      <w:color w:val="auto"/>
                      <w:sz w:val="21"/>
                      <w:szCs w:val="21"/>
                      <w:vertAlign w:val="subscript"/>
                    </w:rPr>
                    <w:t>3</w:t>
                  </w:r>
                  <w:r>
                    <w:rPr>
                      <w:rFonts w:hint="eastAsia" w:ascii="Times New Roman" w:hAnsi="Times New Roman" w:eastAsia="宋体"/>
                      <w:color w:val="auto"/>
                      <w:sz w:val="21"/>
                      <w:szCs w:val="21"/>
                    </w:rPr>
                    <w:t>-</w:t>
                  </w:r>
                  <w:r>
                    <w:rPr>
                      <w:rFonts w:hint="eastAsia" w:ascii="Times New Roman" w:hAnsi="Times New Roman" w:eastAsia="宋体"/>
                      <w:color w:val="auto"/>
                      <w:sz w:val="21"/>
                      <w:szCs w:val="21"/>
                      <w:lang w:val="en-US" w:eastAsia="zh-CN"/>
                    </w:rPr>
                    <w:t>N</w:t>
                  </w:r>
                </w:p>
              </w:tc>
              <w:tc>
                <w:tcPr>
                  <w:tcW w:w="1323" w:type="dxa"/>
                  <w:tcBorders>
                    <w:tl2br w:val="nil"/>
                    <w:tr2bl w:val="nil"/>
                  </w:tcBorders>
                  <w:noWrap w:val="0"/>
                  <w:vAlign w:val="center"/>
                </w:tcPr>
                <w:p w14:paraId="6A97AE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1.9 </w:t>
                  </w:r>
                </w:p>
              </w:tc>
              <w:tc>
                <w:tcPr>
                  <w:tcW w:w="1325" w:type="dxa"/>
                  <w:tcBorders>
                    <w:tl2br w:val="nil"/>
                    <w:tr2bl w:val="nil"/>
                  </w:tcBorders>
                  <w:noWrap w:val="0"/>
                  <w:vAlign w:val="center"/>
                </w:tcPr>
                <w:p w14:paraId="63353E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0.581 </w:t>
                  </w:r>
                </w:p>
              </w:tc>
              <w:tc>
                <w:tcPr>
                  <w:tcW w:w="1323" w:type="dxa"/>
                  <w:tcBorders>
                    <w:tl2br w:val="nil"/>
                    <w:tr2bl w:val="nil"/>
                  </w:tcBorders>
                  <w:noWrap w:val="0"/>
                  <w:vAlign w:val="center"/>
                </w:tcPr>
                <w:p w14:paraId="0FC70B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0.192 </w:t>
                  </w:r>
                </w:p>
              </w:tc>
            </w:tr>
            <w:tr w14:paraId="357D3ADC">
              <w:trPr>
                <w:trHeight w:val="340" w:hRule="atLeast"/>
              </w:trPr>
              <w:tc>
                <w:tcPr>
                  <w:tcW w:w="833" w:type="pct"/>
                  <w:vMerge w:val="continue"/>
                  <w:tcBorders>
                    <w:tl2br w:val="nil"/>
                    <w:tr2bl w:val="nil"/>
                  </w:tcBorders>
                  <w:noWrap w:val="0"/>
                  <w:vAlign w:val="center"/>
                </w:tcPr>
                <w:p w14:paraId="6D3CB144">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olor w:val="auto"/>
                      <w:sz w:val="21"/>
                      <w:szCs w:val="21"/>
                    </w:rPr>
                  </w:pPr>
                </w:p>
              </w:tc>
              <w:tc>
                <w:tcPr>
                  <w:tcW w:w="833" w:type="pct"/>
                  <w:vMerge w:val="continue"/>
                  <w:tcBorders>
                    <w:tl2br w:val="nil"/>
                    <w:tr2bl w:val="nil"/>
                  </w:tcBorders>
                  <w:noWrap w:val="0"/>
                  <w:vAlign w:val="center"/>
                </w:tcPr>
                <w:p w14:paraId="76907C54">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olor w:val="auto"/>
                      <w:sz w:val="21"/>
                      <w:szCs w:val="21"/>
                    </w:rPr>
                  </w:pPr>
                </w:p>
              </w:tc>
              <w:tc>
                <w:tcPr>
                  <w:tcW w:w="833" w:type="pct"/>
                  <w:tcBorders>
                    <w:tl2br w:val="nil"/>
                    <w:tr2bl w:val="nil"/>
                  </w:tcBorders>
                  <w:noWrap w:val="0"/>
                  <w:vAlign w:val="center"/>
                </w:tcPr>
                <w:p w14:paraId="22855238">
                  <w:pPr>
                    <w:pStyle w:val="16"/>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olor w:val="auto"/>
                      <w:kern w:val="0"/>
                      <w:sz w:val="21"/>
                      <w:szCs w:val="21"/>
                      <w:lang w:val="en-US" w:eastAsia="zh-CN" w:bidi="ar-SA"/>
                    </w:rPr>
                  </w:pPr>
                  <w:r>
                    <w:rPr>
                      <w:rFonts w:hint="eastAsia" w:ascii="Times New Roman" w:hAnsi="Times New Roman" w:eastAsia="宋体"/>
                      <w:color w:val="auto"/>
                      <w:sz w:val="21"/>
                      <w:szCs w:val="21"/>
                    </w:rPr>
                    <w:t>TN</w:t>
                  </w:r>
                </w:p>
              </w:tc>
              <w:tc>
                <w:tcPr>
                  <w:tcW w:w="1323" w:type="dxa"/>
                  <w:tcBorders>
                    <w:tl2br w:val="nil"/>
                    <w:tr2bl w:val="nil"/>
                  </w:tcBorders>
                  <w:noWrap w:val="0"/>
                  <w:vAlign w:val="center"/>
                </w:tcPr>
                <w:p w14:paraId="7AE2B57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9.5 </w:t>
                  </w:r>
                </w:p>
              </w:tc>
              <w:tc>
                <w:tcPr>
                  <w:tcW w:w="1325" w:type="dxa"/>
                  <w:tcBorders>
                    <w:tl2br w:val="nil"/>
                    <w:tr2bl w:val="nil"/>
                  </w:tcBorders>
                  <w:noWrap w:val="0"/>
                  <w:vAlign w:val="center"/>
                </w:tcPr>
                <w:p w14:paraId="459345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2.864 </w:t>
                  </w:r>
                </w:p>
              </w:tc>
              <w:tc>
                <w:tcPr>
                  <w:tcW w:w="1323" w:type="dxa"/>
                  <w:tcBorders>
                    <w:tl2br w:val="nil"/>
                    <w:tr2bl w:val="nil"/>
                  </w:tcBorders>
                  <w:noWrap w:val="0"/>
                  <w:vAlign w:val="center"/>
                </w:tcPr>
                <w:p w14:paraId="4D58E9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0.945 </w:t>
                  </w:r>
                </w:p>
              </w:tc>
            </w:tr>
            <w:tr w14:paraId="52F7E5EA">
              <w:trPr>
                <w:trHeight w:val="340" w:hRule="atLeast"/>
              </w:trPr>
              <w:tc>
                <w:tcPr>
                  <w:tcW w:w="833" w:type="pct"/>
                  <w:vMerge w:val="continue"/>
                  <w:tcBorders>
                    <w:tl2br w:val="nil"/>
                    <w:tr2bl w:val="nil"/>
                  </w:tcBorders>
                  <w:noWrap w:val="0"/>
                  <w:vAlign w:val="center"/>
                </w:tcPr>
                <w:p w14:paraId="12386167">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olor w:val="auto"/>
                      <w:sz w:val="21"/>
                      <w:szCs w:val="21"/>
                    </w:rPr>
                  </w:pPr>
                </w:p>
              </w:tc>
              <w:tc>
                <w:tcPr>
                  <w:tcW w:w="833" w:type="pct"/>
                  <w:vMerge w:val="continue"/>
                  <w:tcBorders>
                    <w:tl2br w:val="nil"/>
                    <w:tr2bl w:val="nil"/>
                  </w:tcBorders>
                  <w:noWrap w:val="0"/>
                  <w:vAlign w:val="center"/>
                </w:tcPr>
                <w:p w14:paraId="3138F853">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olor w:val="auto"/>
                      <w:sz w:val="21"/>
                      <w:szCs w:val="21"/>
                    </w:rPr>
                  </w:pPr>
                </w:p>
              </w:tc>
              <w:tc>
                <w:tcPr>
                  <w:tcW w:w="833" w:type="pct"/>
                  <w:tcBorders>
                    <w:tl2br w:val="nil"/>
                    <w:tr2bl w:val="nil"/>
                  </w:tcBorders>
                  <w:noWrap w:val="0"/>
                  <w:vAlign w:val="center"/>
                </w:tcPr>
                <w:p w14:paraId="5FAA1229">
                  <w:pPr>
                    <w:pStyle w:val="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olor w:val="auto"/>
                      <w:kern w:val="0"/>
                      <w:sz w:val="21"/>
                      <w:szCs w:val="21"/>
                      <w:lang w:val="en-US" w:eastAsia="zh-CN" w:bidi="ar-SA"/>
                    </w:rPr>
                  </w:pPr>
                  <w:r>
                    <w:rPr>
                      <w:rFonts w:hint="eastAsia" w:ascii="Times New Roman" w:hAnsi="Times New Roman" w:eastAsia="宋体"/>
                      <w:color w:val="auto"/>
                      <w:sz w:val="21"/>
                      <w:szCs w:val="21"/>
                    </w:rPr>
                    <w:t>TP</w:t>
                  </w:r>
                </w:p>
              </w:tc>
              <w:tc>
                <w:tcPr>
                  <w:tcW w:w="1323" w:type="dxa"/>
                  <w:tcBorders>
                    <w:tl2br w:val="nil"/>
                    <w:tr2bl w:val="nil"/>
                  </w:tcBorders>
                  <w:noWrap w:val="0"/>
                  <w:vAlign w:val="center"/>
                </w:tcPr>
                <w:p w14:paraId="68C9F7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0.8 </w:t>
                  </w:r>
                </w:p>
              </w:tc>
              <w:tc>
                <w:tcPr>
                  <w:tcW w:w="1325" w:type="dxa"/>
                  <w:tcBorders>
                    <w:tl2br w:val="nil"/>
                    <w:tr2bl w:val="nil"/>
                  </w:tcBorders>
                  <w:noWrap w:val="0"/>
                  <w:vAlign w:val="center"/>
                </w:tcPr>
                <w:p w14:paraId="5043CD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0.246 </w:t>
                  </w:r>
                </w:p>
              </w:tc>
              <w:tc>
                <w:tcPr>
                  <w:tcW w:w="1323" w:type="dxa"/>
                  <w:tcBorders>
                    <w:tl2br w:val="nil"/>
                    <w:tr2bl w:val="nil"/>
                  </w:tcBorders>
                  <w:noWrap w:val="0"/>
                  <w:vAlign w:val="center"/>
                </w:tcPr>
                <w:p w14:paraId="4E15C3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0.081 </w:t>
                  </w:r>
                </w:p>
              </w:tc>
            </w:tr>
            <w:tr w14:paraId="3029895A">
              <w:trPr>
                <w:trHeight w:val="340" w:hRule="atLeast"/>
              </w:trPr>
              <w:tc>
                <w:tcPr>
                  <w:tcW w:w="833" w:type="pct"/>
                  <w:vMerge w:val="continue"/>
                  <w:tcBorders>
                    <w:tl2br w:val="nil"/>
                    <w:tr2bl w:val="nil"/>
                  </w:tcBorders>
                  <w:noWrap w:val="0"/>
                  <w:vAlign w:val="center"/>
                </w:tcPr>
                <w:p w14:paraId="63525F94">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olor w:val="auto"/>
                      <w:sz w:val="21"/>
                      <w:szCs w:val="21"/>
                    </w:rPr>
                  </w:pPr>
                </w:p>
              </w:tc>
              <w:tc>
                <w:tcPr>
                  <w:tcW w:w="833" w:type="pct"/>
                  <w:vMerge w:val="continue"/>
                  <w:tcBorders>
                    <w:tl2br w:val="nil"/>
                    <w:tr2bl w:val="nil"/>
                  </w:tcBorders>
                  <w:noWrap w:val="0"/>
                  <w:vAlign w:val="center"/>
                </w:tcPr>
                <w:p w14:paraId="3EC92301">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olor w:val="auto"/>
                      <w:sz w:val="21"/>
                      <w:szCs w:val="21"/>
                    </w:rPr>
                  </w:pPr>
                </w:p>
              </w:tc>
              <w:tc>
                <w:tcPr>
                  <w:tcW w:w="833" w:type="pct"/>
                  <w:tcBorders>
                    <w:tl2br w:val="nil"/>
                    <w:tr2bl w:val="nil"/>
                  </w:tcBorders>
                  <w:noWrap w:val="0"/>
                  <w:vAlign w:val="center"/>
                </w:tcPr>
                <w:p w14:paraId="03F750AD">
                  <w:pPr>
                    <w:pStyle w:val="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olor w:val="auto"/>
                      <w:sz w:val="21"/>
                      <w:szCs w:val="21"/>
                      <w:lang w:val="en-US" w:eastAsia="zh-CN"/>
                    </w:rPr>
                  </w:pPr>
                  <w:r>
                    <w:rPr>
                      <w:rFonts w:hint="eastAsia"/>
                      <w:color w:val="auto"/>
                      <w:sz w:val="21"/>
                      <w:szCs w:val="21"/>
                      <w:lang w:val="en-US" w:eastAsia="zh-CN"/>
                    </w:rPr>
                    <w:t>动植物油</w:t>
                  </w:r>
                </w:p>
              </w:tc>
              <w:tc>
                <w:tcPr>
                  <w:tcW w:w="1323" w:type="dxa"/>
                  <w:tcBorders>
                    <w:tl2br w:val="nil"/>
                    <w:tr2bl w:val="nil"/>
                  </w:tcBorders>
                  <w:noWrap w:val="0"/>
                  <w:vAlign w:val="center"/>
                </w:tcPr>
                <w:p w14:paraId="23AC599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 </w:t>
                  </w:r>
                </w:p>
              </w:tc>
              <w:tc>
                <w:tcPr>
                  <w:tcW w:w="1325" w:type="dxa"/>
                  <w:tcBorders>
                    <w:tl2br w:val="nil"/>
                    <w:tr2bl w:val="nil"/>
                  </w:tcBorders>
                  <w:noWrap w:val="0"/>
                  <w:vAlign w:val="center"/>
                </w:tcPr>
                <w:p w14:paraId="01B6AE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0.060 </w:t>
                  </w:r>
                </w:p>
              </w:tc>
              <w:tc>
                <w:tcPr>
                  <w:tcW w:w="1323" w:type="dxa"/>
                  <w:tcBorders>
                    <w:tl2br w:val="nil"/>
                    <w:tr2bl w:val="nil"/>
                  </w:tcBorders>
                  <w:noWrap w:val="0"/>
                  <w:vAlign w:val="center"/>
                </w:tcPr>
                <w:p w14:paraId="2A67FC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0.020 </w:t>
                  </w:r>
                </w:p>
              </w:tc>
            </w:tr>
            <w:tr w14:paraId="216BAFCB">
              <w:trPr>
                <w:trHeight w:val="340" w:hRule="atLeast"/>
              </w:trPr>
              <w:tc>
                <w:tcPr>
                  <w:tcW w:w="1666" w:type="pct"/>
                  <w:gridSpan w:val="2"/>
                  <w:vMerge w:val="restart"/>
                  <w:tcBorders>
                    <w:tl2br w:val="nil"/>
                    <w:tr2bl w:val="nil"/>
                  </w:tcBorders>
                  <w:noWrap w:val="0"/>
                  <w:vAlign w:val="center"/>
                </w:tcPr>
                <w:p w14:paraId="70E273AD">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olor w:val="auto"/>
                      <w:sz w:val="21"/>
                      <w:szCs w:val="21"/>
                    </w:rPr>
                  </w:pPr>
                  <w:r>
                    <w:rPr>
                      <w:rFonts w:hint="eastAsia" w:ascii="Times New Roman" w:hAnsi="Times New Roman" w:eastAsia="宋体"/>
                      <w:color w:val="auto"/>
                      <w:sz w:val="21"/>
                      <w:szCs w:val="21"/>
                    </w:rPr>
                    <w:t>合计</w:t>
                  </w:r>
                </w:p>
              </w:tc>
              <w:tc>
                <w:tcPr>
                  <w:tcW w:w="2500" w:type="pct"/>
                  <w:gridSpan w:val="3"/>
                  <w:tcBorders>
                    <w:tl2br w:val="nil"/>
                    <w:tr2bl w:val="nil"/>
                  </w:tcBorders>
                  <w:noWrap w:val="0"/>
                  <w:vAlign w:val="center"/>
                </w:tcPr>
                <w:p w14:paraId="262459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COD</w:t>
                  </w:r>
                </w:p>
              </w:tc>
              <w:tc>
                <w:tcPr>
                  <w:tcW w:w="1323" w:type="dxa"/>
                  <w:tcBorders>
                    <w:tl2br w:val="nil"/>
                    <w:tr2bl w:val="nil"/>
                  </w:tcBorders>
                  <w:noWrap w:val="0"/>
                  <w:vAlign w:val="center"/>
                </w:tcPr>
                <w:p w14:paraId="11368E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12.954</w:t>
                  </w:r>
                </w:p>
              </w:tc>
            </w:tr>
            <w:tr w14:paraId="02ABD0E7">
              <w:trPr>
                <w:trHeight w:val="340" w:hRule="atLeast"/>
              </w:trPr>
              <w:tc>
                <w:tcPr>
                  <w:tcW w:w="1666" w:type="pct"/>
                  <w:gridSpan w:val="2"/>
                  <w:vMerge w:val="continue"/>
                  <w:tcBorders>
                    <w:tl2br w:val="nil"/>
                    <w:tr2bl w:val="nil"/>
                  </w:tcBorders>
                  <w:noWrap w:val="0"/>
                  <w:vAlign w:val="center"/>
                </w:tcPr>
                <w:p w14:paraId="51B4B967">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olor w:val="auto"/>
                      <w:sz w:val="21"/>
                      <w:szCs w:val="21"/>
                    </w:rPr>
                  </w:pPr>
                </w:p>
              </w:tc>
              <w:tc>
                <w:tcPr>
                  <w:tcW w:w="2500" w:type="pct"/>
                  <w:gridSpan w:val="3"/>
                  <w:tcBorders>
                    <w:tl2br w:val="nil"/>
                    <w:tr2bl w:val="nil"/>
                  </w:tcBorders>
                  <w:noWrap w:val="0"/>
                  <w:vAlign w:val="center"/>
                </w:tcPr>
                <w:p w14:paraId="1127BDE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SS</w:t>
                  </w:r>
                </w:p>
              </w:tc>
              <w:tc>
                <w:tcPr>
                  <w:tcW w:w="1323" w:type="dxa"/>
                  <w:tcBorders>
                    <w:tl2br w:val="nil"/>
                    <w:tr2bl w:val="nil"/>
                  </w:tcBorders>
                  <w:noWrap w:val="0"/>
                  <w:vAlign w:val="center"/>
                </w:tcPr>
                <w:p w14:paraId="4CA46DF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5.183 </w:t>
                  </w:r>
                </w:p>
              </w:tc>
            </w:tr>
            <w:tr w14:paraId="742517F5">
              <w:trPr>
                <w:trHeight w:val="340" w:hRule="atLeast"/>
              </w:trPr>
              <w:tc>
                <w:tcPr>
                  <w:tcW w:w="1666" w:type="pct"/>
                  <w:gridSpan w:val="2"/>
                  <w:vMerge w:val="continue"/>
                  <w:tcBorders>
                    <w:tl2br w:val="nil"/>
                    <w:tr2bl w:val="nil"/>
                  </w:tcBorders>
                  <w:noWrap w:val="0"/>
                  <w:vAlign w:val="center"/>
                </w:tcPr>
                <w:p w14:paraId="0B22B26A">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olor w:val="auto"/>
                      <w:sz w:val="21"/>
                      <w:szCs w:val="21"/>
                    </w:rPr>
                  </w:pPr>
                </w:p>
              </w:tc>
              <w:tc>
                <w:tcPr>
                  <w:tcW w:w="2500" w:type="pct"/>
                  <w:gridSpan w:val="3"/>
                  <w:tcBorders>
                    <w:tl2br w:val="nil"/>
                    <w:tr2bl w:val="nil"/>
                  </w:tcBorders>
                  <w:noWrap w:val="0"/>
                  <w:vAlign w:val="center"/>
                </w:tcPr>
                <w:p w14:paraId="548C00C8">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BOD</w:t>
                  </w:r>
                  <w:r>
                    <w:rPr>
                      <w:rFonts w:hint="eastAsia" w:ascii="Times New Roman" w:hAnsi="Times New Roman" w:eastAsia="宋体" w:cs="Times New Roman"/>
                      <w:i w:val="0"/>
                      <w:iCs w:val="0"/>
                      <w:color w:val="auto"/>
                      <w:kern w:val="0"/>
                      <w:sz w:val="21"/>
                      <w:szCs w:val="21"/>
                      <w:u w:val="none"/>
                      <w:vertAlign w:val="subscript"/>
                      <w:lang w:val="en-US" w:eastAsia="zh-CN" w:bidi="ar"/>
                    </w:rPr>
                    <w:t>5</w:t>
                  </w:r>
                </w:p>
              </w:tc>
              <w:tc>
                <w:tcPr>
                  <w:tcW w:w="1323" w:type="dxa"/>
                  <w:tcBorders>
                    <w:tl2br w:val="nil"/>
                    <w:tr2bl w:val="nil"/>
                  </w:tcBorders>
                  <w:noWrap w:val="0"/>
                  <w:vAlign w:val="center"/>
                </w:tcPr>
                <w:p w14:paraId="52A613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5.021 </w:t>
                  </w:r>
                </w:p>
              </w:tc>
            </w:tr>
            <w:tr w14:paraId="1B5EE191">
              <w:trPr>
                <w:trHeight w:val="340" w:hRule="atLeast"/>
              </w:trPr>
              <w:tc>
                <w:tcPr>
                  <w:tcW w:w="1666" w:type="pct"/>
                  <w:gridSpan w:val="2"/>
                  <w:vMerge w:val="continue"/>
                  <w:tcBorders>
                    <w:tl2br w:val="nil"/>
                    <w:tr2bl w:val="nil"/>
                  </w:tcBorders>
                  <w:noWrap w:val="0"/>
                  <w:vAlign w:val="center"/>
                </w:tcPr>
                <w:p w14:paraId="75B472A8">
                  <w:pPr>
                    <w:pStyle w:val="16"/>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olor w:val="auto"/>
                      <w:sz w:val="21"/>
                      <w:szCs w:val="21"/>
                    </w:rPr>
                  </w:pPr>
                </w:p>
              </w:tc>
              <w:tc>
                <w:tcPr>
                  <w:tcW w:w="2500" w:type="pct"/>
                  <w:gridSpan w:val="3"/>
                  <w:tcBorders>
                    <w:tl2br w:val="nil"/>
                    <w:tr2bl w:val="nil"/>
                  </w:tcBorders>
                  <w:noWrap w:val="0"/>
                  <w:vAlign w:val="center"/>
                </w:tcPr>
                <w:p w14:paraId="345AB069">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NH</w:t>
                  </w:r>
                  <w:r>
                    <w:rPr>
                      <w:rFonts w:hint="eastAsia" w:ascii="Times New Roman" w:hAnsi="Times New Roman" w:eastAsia="宋体" w:cs="Times New Roman"/>
                      <w:i w:val="0"/>
                      <w:iCs w:val="0"/>
                      <w:color w:val="auto"/>
                      <w:kern w:val="0"/>
                      <w:sz w:val="21"/>
                      <w:szCs w:val="21"/>
                      <w:u w:val="none"/>
                      <w:vertAlign w:val="subscript"/>
                      <w:lang w:val="en-US" w:eastAsia="zh-CN" w:bidi="ar"/>
                    </w:rPr>
                    <w:t>3</w:t>
                  </w:r>
                  <w:r>
                    <w:rPr>
                      <w:rFonts w:hint="eastAsia" w:ascii="Times New Roman" w:hAnsi="Times New Roman" w:eastAsia="宋体" w:cs="Times New Roman"/>
                      <w:i w:val="0"/>
                      <w:iCs w:val="0"/>
                      <w:color w:val="auto"/>
                      <w:kern w:val="0"/>
                      <w:sz w:val="21"/>
                      <w:szCs w:val="21"/>
                      <w:u w:val="none"/>
                      <w:lang w:val="en-US" w:eastAsia="zh-CN" w:bidi="ar"/>
                    </w:rPr>
                    <w:t>-N</w:t>
                  </w:r>
                </w:p>
              </w:tc>
              <w:tc>
                <w:tcPr>
                  <w:tcW w:w="1323" w:type="dxa"/>
                  <w:tcBorders>
                    <w:tl2br w:val="nil"/>
                    <w:tr2bl w:val="nil"/>
                  </w:tcBorders>
                  <w:noWrap w:val="0"/>
                  <w:vAlign w:val="center"/>
                </w:tcPr>
                <w:p w14:paraId="4BCD2E48">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0.192 </w:t>
                  </w:r>
                </w:p>
              </w:tc>
            </w:tr>
            <w:tr w14:paraId="0CA2391F">
              <w:trPr>
                <w:trHeight w:val="340" w:hRule="atLeast"/>
              </w:trPr>
              <w:tc>
                <w:tcPr>
                  <w:tcW w:w="1666" w:type="pct"/>
                  <w:gridSpan w:val="2"/>
                  <w:vMerge w:val="continue"/>
                  <w:tcBorders>
                    <w:tl2br w:val="nil"/>
                    <w:tr2bl w:val="nil"/>
                  </w:tcBorders>
                  <w:noWrap w:val="0"/>
                  <w:vAlign w:val="center"/>
                </w:tcPr>
                <w:p w14:paraId="268B18B8">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olor w:val="auto"/>
                      <w:sz w:val="21"/>
                      <w:szCs w:val="21"/>
                    </w:rPr>
                  </w:pPr>
                </w:p>
              </w:tc>
              <w:tc>
                <w:tcPr>
                  <w:tcW w:w="2500" w:type="pct"/>
                  <w:gridSpan w:val="3"/>
                  <w:tcBorders>
                    <w:tl2br w:val="nil"/>
                    <w:tr2bl w:val="nil"/>
                  </w:tcBorders>
                  <w:noWrap w:val="0"/>
                  <w:vAlign w:val="center"/>
                </w:tcPr>
                <w:p w14:paraId="2601D3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TN</w:t>
                  </w:r>
                </w:p>
              </w:tc>
              <w:tc>
                <w:tcPr>
                  <w:tcW w:w="1323" w:type="dxa"/>
                  <w:tcBorders>
                    <w:tl2br w:val="nil"/>
                    <w:tr2bl w:val="nil"/>
                  </w:tcBorders>
                  <w:noWrap w:val="0"/>
                  <w:vAlign w:val="center"/>
                </w:tcPr>
                <w:p w14:paraId="241405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0.945 </w:t>
                  </w:r>
                </w:p>
              </w:tc>
            </w:tr>
            <w:tr w14:paraId="3DE140F1">
              <w:trPr>
                <w:trHeight w:val="340" w:hRule="atLeast"/>
              </w:trPr>
              <w:tc>
                <w:tcPr>
                  <w:tcW w:w="1666" w:type="pct"/>
                  <w:gridSpan w:val="2"/>
                  <w:vMerge w:val="continue"/>
                  <w:tcBorders>
                    <w:tl2br w:val="nil"/>
                    <w:tr2bl w:val="nil"/>
                  </w:tcBorders>
                  <w:noWrap w:val="0"/>
                  <w:vAlign w:val="center"/>
                </w:tcPr>
                <w:p w14:paraId="52BADBC8">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olor w:val="auto"/>
                      <w:sz w:val="21"/>
                      <w:szCs w:val="21"/>
                    </w:rPr>
                  </w:pPr>
                </w:p>
              </w:tc>
              <w:tc>
                <w:tcPr>
                  <w:tcW w:w="2500" w:type="pct"/>
                  <w:gridSpan w:val="3"/>
                  <w:tcBorders>
                    <w:tl2br w:val="nil"/>
                    <w:tr2bl w:val="nil"/>
                  </w:tcBorders>
                  <w:noWrap w:val="0"/>
                  <w:vAlign w:val="center"/>
                </w:tcPr>
                <w:p w14:paraId="4AE57C2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TP</w:t>
                  </w:r>
                </w:p>
              </w:tc>
              <w:tc>
                <w:tcPr>
                  <w:tcW w:w="1323" w:type="dxa"/>
                  <w:tcBorders>
                    <w:tl2br w:val="nil"/>
                    <w:tr2bl w:val="nil"/>
                  </w:tcBorders>
                  <w:noWrap w:val="0"/>
                  <w:vAlign w:val="center"/>
                </w:tcPr>
                <w:p w14:paraId="3E4806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0.081 </w:t>
                  </w:r>
                </w:p>
              </w:tc>
            </w:tr>
            <w:tr w14:paraId="48B3FC2C">
              <w:trPr>
                <w:trHeight w:val="340" w:hRule="atLeast"/>
              </w:trPr>
              <w:tc>
                <w:tcPr>
                  <w:tcW w:w="1666" w:type="pct"/>
                  <w:gridSpan w:val="2"/>
                  <w:vMerge w:val="continue"/>
                  <w:tcBorders>
                    <w:tl2br w:val="nil"/>
                    <w:tr2bl w:val="nil"/>
                  </w:tcBorders>
                  <w:noWrap w:val="0"/>
                  <w:vAlign w:val="center"/>
                </w:tcPr>
                <w:p w14:paraId="03990C5A">
                  <w:pPr>
                    <w:pStyle w:val="1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olor w:val="auto"/>
                      <w:sz w:val="21"/>
                      <w:szCs w:val="21"/>
                    </w:rPr>
                  </w:pPr>
                </w:p>
              </w:tc>
              <w:tc>
                <w:tcPr>
                  <w:tcW w:w="2500" w:type="pct"/>
                  <w:gridSpan w:val="3"/>
                  <w:tcBorders>
                    <w:tl2br w:val="nil"/>
                    <w:tr2bl w:val="nil"/>
                  </w:tcBorders>
                  <w:noWrap w:val="0"/>
                  <w:vAlign w:val="center"/>
                </w:tcPr>
                <w:p w14:paraId="2B8492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动植物油</w:t>
                  </w:r>
                </w:p>
              </w:tc>
              <w:tc>
                <w:tcPr>
                  <w:tcW w:w="1323" w:type="dxa"/>
                  <w:tcBorders>
                    <w:tl2br w:val="nil"/>
                    <w:tr2bl w:val="nil"/>
                  </w:tcBorders>
                  <w:noWrap w:val="0"/>
                  <w:vAlign w:val="center"/>
                </w:tcPr>
                <w:p w14:paraId="1C535E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0.020 </w:t>
                  </w:r>
                </w:p>
              </w:tc>
            </w:tr>
          </w:tbl>
          <w:p w14:paraId="50ECBCAD">
            <w:pPr>
              <w:pStyle w:val="16"/>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200"/>
              <w:textAlignment w:val="auto"/>
              <w:rPr>
                <w:rFonts w:hint="eastAsia"/>
                <w:b w:val="0"/>
                <w:bCs w:val="0"/>
                <w:color w:val="auto"/>
              </w:rPr>
            </w:pPr>
            <w:r>
              <w:rPr>
                <w:rFonts w:hint="eastAsia"/>
                <w:b w:val="0"/>
                <w:bCs w:val="0"/>
                <w:color w:val="auto"/>
                <w:lang w:val="en-US" w:eastAsia="zh-CN"/>
              </w:rPr>
              <w:t>4.接管可行性</w:t>
            </w:r>
            <w:r>
              <w:rPr>
                <w:rFonts w:hint="eastAsia"/>
                <w:b w:val="0"/>
                <w:bCs w:val="0"/>
                <w:color w:val="auto"/>
              </w:rPr>
              <w:t>分析</w:t>
            </w:r>
          </w:p>
          <w:p w14:paraId="27C221FA">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textAlignment w:val="auto"/>
              <w:rPr>
                <w:rFonts w:hint="eastAsia"/>
                <w:color w:val="auto"/>
                <w:lang w:eastAsia="zh-CN"/>
              </w:rPr>
            </w:pPr>
            <w:r>
              <w:rPr>
                <w:rFonts w:hint="eastAsia"/>
                <w:color w:val="auto"/>
                <w:lang w:val="en-US" w:eastAsia="zh-CN"/>
              </w:rPr>
              <w:t>本项目生活污水（含食堂废水）经隔油池+化粪池处理，杀菌废水、乙酸雾吸收废水、设备清洗废水、地面清洗废水经厂区污水处理站处理，处理后生活污水（含食堂废水）、生产废水与纯水制备废水一起</w:t>
            </w:r>
            <w:r>
              <w:rPr>
                <w:color w:val="auto"/>
              </w:rPr>
              <w:t>接管至涟水经济开发区西区污水处理厂</w:t>
            </w:r>
            <w:r>
              <w:rPr>
                <w:rFonts w:hint="eastAsia"/>
                <w:color w:val="auto"/>
                <w:lang w:eastAsia="zh-CN"/>
              </w:rPr>
              <w:t>。</w:t>
            </w:r>
          </w:p>
          <w:p w14:paraId="3483D66D">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textAlignment w:val="auto"/>
              <w:rPr>
                <w:rFonts w:hint="default" w:eastAsia="宋体"/>
                <w:bCs/>
                <w:color w:val="auto"/>
                <w:szCs w:val="24"/>
                <w:lang w:val="en-US" w:eastAsia="zh-CN"/>
              </w:rPr>
            </w:pPr>
            <w:r>
              <w:rPr>
                <w:rFonts w:hint="eastAsia"/>
                <w:bCs/>
                <w:color w:val="auto"/>
                <w:szCs w:val="24"/>
              </w:rPr>
              <w:t>（1）</w:t>
            </w:r>
            <w:r>
              <w:rPr>
                <w:rFonts w:hint="eastAsia"/>
                <w:bCs/>
                <w:color w:val="auto"/>
                <w:szCs w:val="24"/>
                <w:lang w:val="en-US" w:eastAsia="zh-CN"/>
              </w:rPr>
              <w:t>水质接管可行性分析</w:t>
            </w:r>
          </w:p>
          <w:p w14:paraId="4D4685B9">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textAlignment w:val="auto"/>
              <w:rPr>
                <w:rFonts w:hint="eastAsia"/>
                <w:color w:val="auto"/>
                <w:szCs w:val="24"/>
                <w:lang w:val="en-US" w:eastAsia="zh-CN"/>
              </w:rPr>
            </w:pPr>
            <w:r>
              <w:rPr>
                <w:rFonts w:hint="eastAsia"/>
                <w:color w:val="auto"/>
                <w:szCs w:val="24"/>
                <w:lang w:val="en-US" w:eastAsia="zh-CN"/>
              </w:rPr>
              <w:t>本项目生活污水（含食堂废水）经隔油池+化粪池处理，杀菌废水、乙酸雾吸收废水、设备清洗废水、地面清洗废水经厂区污水处理站处理，处理后生活污水（含食堂废水）、生产废水与纯水制备废水一起接管至涟水经济开发区西区污水处理厂，水质可达</w:t>
            </w:r>
            <w:r>
              <w:rPr>
                <w:rFonts w:hint="eastAsia" w:ascii="Times New Roman" w:hAnsi="Times New Roman" w:eastAsia="宋体" w:cs="宋体"/>
                <w:b w:val="0"/>
                <w:bCs w:val="0"/>
                <w:color w:val="auto"/>
                <w:kern w:val="2"/>
                <w:sz w:val="24"/>
                <w:szCs w:val="24"/>
                <w:lang w:val="en-US" w:eastAsia="zh-CN" w:bidi="ar-SA"/>
              </w:rPr>
              <w:t>涟水经济开发区西区污水处理厂接管标准，不会影响污水处理厂的正常运行</w:t>
            </w:r>
            <w:r>
              <w:rPr>
                <w:rFonts w:hint="default" w:ascii="Times New Roman" w:hAnsi="Times New Roman" w:eastAsia="宋体" w:cs="宋体"/>
                <w:b w:val="0"/>
                <w:bCs w:val="0"/>
                <w:color w:val="auto"/>
                <w:kern w:val="2"/>
                <w:sz w:val="24"/>
                <w:szCs w:val="24"/>
                <w:lang w:val="en-US" w:eastAsia="zh-CN" w:bidi="ar-SA"/>
              </w:rPr>
              <w:t>。</w:t>
            </w:r>
            <w:r>
              <w:rPr>
                <w:rFonts w:hint="default" w:ascii="Times New Roman" w:hAnsi="Times New Roman" w:eastAsia="宋体"/>
                <w:b w:val="0"/>
                <w:bCs w:val="0"/>
                <w:color w:val="auto"/>
                <w:sz w:val="24"/>
                <w:lang w:val="en-US" w:eastAsia="zh-CN"/>
              </w:rPr>
              <w:t>因此</w:t>
            </w:r>
            <w:r>
              <w:rPr>
                <w:rFonts w:hint="eastAsia" w:ascii="Times New Roman" w:hAnsi="Times New Roman"/>
                <w:b w:val="0"/>
                <w:bCs w:val="0"/>
                <w:color w:val="auto"/>
                <w:sz w:val="24"/>
                <w:lang w:val="en-US" w:eastAsia="zh-CN"/>
              </w:rPr>
              <w:t>，</w:t>
            </w:r>
            <w:r>
              <w:rPr>
                <w:rFonts w:hint="default" w:ascii="Times New Roman" w:hAnsi="Times New Roman" w:eastAsia="宋体"/>
                <w:b w:val="0"/>
                <w:bCs w:val="0"/>
                <w:color w:val="auto"/>
                <w:sz w:val="24"/>
                <w:lang w:val="en-US" w:eastAsia="zh-CN"/>
              </w:rPr>
              <w:t>从水质上来说</w:t>
            </w:r>
            <w:r>
              <w:rPr>
                <w:rFonts w:hint="eastAsia" w:ascii="Times New Roman" w:hAnsi="Times New Roman"/>
                <w:b w:val="0"/>
                <w:bCs w:val="0"/>
                <w:color w:val="auto"/>
                <w:sz w:val="24"/>
                <w:lang w:val="en-US" w:eastAsia="zh-CN"/>
              </w:rPr>
              <w:t>，</w:t>
            </w:r>
            <w:r>
              <w:rPr>
                <w:rFonts w:hint="default" w:ascii="Times New Roman" w:hAnsi="Times New Roman" w:eastAsia="宋体"/>
                <w:b w:val="0"/>
                <w:bCs w:val="0"/>
                <w:color w:val="auto"/>
                <w:sz w:val="24"/>
                <w:lang w:val="en-US" w:eastAsia="zh-CN"/>
              </w:rPr>
              <w:t>本项目废水排入</w:t>
            </w:r>
            <w:r>
              <w:rPr>
                <w:rFonts w:hint="eastAsia" w:ascii="Times New Roman" w:hAnsi="Times New Roman" w:eastAsia="宋体"/>
                <w:b w:val="0"/>
                <w:bCs w:val="0"/>
                <w:color w:val="auto"/>
                <w:sz w:val="24"/>
                <w:lang w:val="en-US" w:eastAsia="zh-CN"/>
              </w:rPr>
              <w:t>涟水经济开发区西区污水处理厂</w:t>
            </w:r>
            <w:r>
              <w:rPr>
                <w:rFonts w:hint="default" w:ascii="Times New Roman" w:hAnsi="Times New Roman" w:eastAsia="宋体"/>
                <w:b w:val="0"/>
                <w:bCs w:val="0"/>
                <w:color w:val="auto"/>
                <w:sz w:val="24"/>
                <w:lang w:val="en-US" w:eastAsia="zh-CN"/>
              </w:rPr>
              <w:t>处理是可行的。</w:t>
            </w:r>
          </w:p>
          <w:p w14:paraId="12DCF4AA">
            <w:pPr>
              <w:pStyle w:val="16"/>
              <w:keepNext w:val="0"/>
              <w:keepLines w:val="0"/>
              <w:pageBreakBefore w:val="0"/>
              <w:widowControl w:val="0"/>
              <w:numPr>
                <w:ilvl w:val="0"/>
                <w:numId w:val="23"/>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textAlignment w:val="auto"/>
              <w:rPr>
                <w:rFonts w:hint="eastAsia"/>
                <w:color w:val="auto"/>
              </w:rPr>
            </w:pPr>
            <w:r>
              <w:rPr>
                <w:rFonts w:hint="eastAsia"/>
                <w:color w:val="auto"/>
                <w:szCs w:val="24"/>
                <w:lang w:val="en-US" w:eastAsia="zh-CN"/>
              </w:rPr>
              <w:t>水量接管可行性</w:t>
            </w:r>
            <w:r>
              <w:rPr>
                <w:rFonts w:hint="eastAsia"/>
                <w:color w:val="auto"/>
                <w:szCs w:val="24"/>
              </w:rPr>
              <w:t>分析</w:t>
            </w:r>
          </w:p>
          <w:p w14:paraId="10CA75C4">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textAlignment w:val="auto"/>
              <w:rPr>
                <w:rFonts w:hint="eastAsia"/>
                <w:color w:val="auto"/>
                <w:szCs w:val="24"/>
                <w:lang w:val="en-US" w:eastAsia="zh-CN"/>
              </w:rPr>
            </w:pPr>
            <w:r>
              <w:rPr>
                <w:rFonts w:hint="eastAsia" w:ascii="Times New Roman" w:hAnsi="Times New Roman" w:eastAsia="宋体" w:cs="宋体"/>
                <w:b w:val="0"/>
                <w:bCs w:val="0"/>
                <w:color w:val="auto"/>
                <w:kern w:val="2"/>
                <w:sz w:val="24"/>
                <w:szCs w:val="24"/>
                <w:lang w:val="en-US" w:eastAsia="zh-CN" w:bidi="ar-SA"/>
              </w:rPr>
              <w:t>涟水经济开发区西区污水处理厂现有</w:t>
            </w:r>
            <w:r>
              <w:rPr>
                <w:rFonts w:hint="eastAsia" w:cs="宋体"/>
                <w:b w:val="0"/>
                <w:bCs w:val="0"/>
                <w:color w:val="auto"/>
                <w:kern w:val="2"/>
                <w:sz w:val="24"/>
                <w:szCs w:val="24"/>
                <w:lang w:val="en-US" w:eastAsia="zh-CN" w:bidi="ar-SA"/>
              </w:rPr>
              <w:t>处理</w:t>
            </w:r>
            <w:r>
              <w:rPr>
                <w:rFonts w:hint="default" w:ascii="Times New Roman" w:hAnsi="Times New Roman" w:eastAsia="宋体" w:cs="宋体"/>
                <w:b w:val="0"/>
                <w:bCs w:val="0"/>
                <w:color w:val="auto"/>
                <w:kern w:val="2"/>
                <w:sz w:val="24"/>
                <w:szCs w:val="24"/>
                <w:lang w:val="en-US" w:eastAsia="zh-CN" w:bidi="ar-SA"/>
              </w:rPr>
              <w:t>规模</w:t>
            </w:r>
            <w:r>
              <w:rPr>
                <w:rFonts w:hint="eastAsia" w:ascii="Times New Roman" w:hAnsi="Times New Roman" w:eastAsia="宋体" w:cs="宋体"/>
                <w:b w:val="0"/>
                <w:bCs w:val="0"/>
                <w:color w:val="auto"/>
                <w:kern w:val="2"/>
                <w:sz w:val="24"/>
                <w:szCs w:val="24"/>
                <w:lang w:val="en-US" w:eastAsia="zh-CN" w:bidi="ar-SA"/>
              </w:rPr>
              <w:t>3</w:t>
            </w:r>
            <w:r>
              <w:rPr>
                <w:rFonts w:hint="default" w:ascii="Times New Roman" w:hAnsi="Times New Roman" w:eastAsia="宋体" w:cs="宋体"/>
                <w:b w:val="0"/>
                <w:bCs w:val="0"/>
                <w:color w:val="auto"/>
                <w:kern w:val="2"/>
                <w:sz w:val="24"/>
                <w:szCs w:val="24"/>
                <w:lang w:val="en-US" w:eastAsia="zh-CN" w:bidi="ar-SA"/>
              </w:rPr>
              <w:t>万</w:t>
            </w:r>
            <w:r>
              <w:rPr>
                <w:rFonts w:hint="eastAsia" w:ascii="Times New Roman" w:hAnsi="Times New Roman" w:eastAsia="宋体" w:cs="宋体"/>
                <w:b w:val="0"/>
                <w:bCs w:val="0"/>
                <w:color w:val="auto"/>
                <w:kern w:val="2"/>
                <w:sz w:val="24"/>
                <w:szCs w:val="24"/>
                <w:lang w:val="en-US" w:eastAsia="zh-CN" w:bidi="ar-SA"/>
              </w:rPr>
              <w:t>m</w:t>
            </w:r>
            <w:r>
              <w:rPr>
                <w:rFonts w:hint="eastAsia" w:ascii="Times New Roman" w:hAnsi="Times New Roman" w:eastAsia="宋体" w:cs="宋体"/>
                <w:b w:val="0"/>
                <w:bCs w:val="0"/>
                <w:color w:val="auto"/>
                <w:kern w:val="2"/>
                <w:sz w:val="24"/>
                <w:szCs w:val="24"/>
                <w:vertAlign w:val="superscript"/>
                <w:lang w:val="en-US" w:eastAsia="zh-CN" w:bidi="ar-SA"/>
              </w:rPr>
              <w:t>3</w:t>
            </w:r>
            <w:r>
              <w:rPr>
                <w:rFonts w:hint="eastAsia" w:ascii="Times New Roman" w:hAnsi="Times New Roman" w:eastAsia="宋体" w:cs="宋体"/>
                <w:b w:val="0"/>
                <w:bCs w:val="0"/>
                <w:color w:val="auto"/>
                <w:kern w:val="2"/>
                <w:sz w:val="24"/>
                <w:szCs w:val="24"/>
                <w:lang w:val="en-US" w:eastAsia="zh-CN" w:bidi="ar-SA"/>
              </w:rPr>
              <w:t>/</w:t>
            </w:r>
            <w:r>
              <w:rPr>
                <w:rFonts w:hint="eastAsia" w:cs="宋体"/>
                <w:b w:val="0"/>
                <w:bCs w:val="0"/>
                <w:color w:val="auto"/>
                <w:kern w:val="2"/>
                <w:sz w:val="24"/>
                <w:szCs w:val="24"/>
                <w:lang w:val="en-US" w:eastAsia="zh-CN" w:bidi="ar-SA"/>
              </w:rPr>
              <w:t>d</w:t>
            </w:r>
            <w:r>
              <w:rPr>
                <w:rFonts w:hint="default" w:ascii="Times New Roman" w:hAnsi="Times New Roman" w:eastAsia="宋体" w:cs="宋体"/>
                <w:b w:val="0"/>
                <w:bCs w:val="0"/>
                <w:color w:val="auto"/>
                <w:kern w:val="2"/>
                <w:sz w:val="24"/>
                <w:szCs w:val="24"/>
                <w:lang w:val="en-US" w:eastAsia="zh-CN" w:bidi="ar-SA"/>
              </w:rPr>
              <w:t>，有足够富余量处理本项目的</w:t>
            </w:r>
            <w:r>
              <w:rPr>
                <w:rFonts w:hint="eastAsia" w:cs="宋体"/>
                <w:b w:val="0"/>
                <w:bCs w:val="0"/>
                <w:color w:val="auto"/>
                <w:kern w:val="2"/>
                <w:sz w:val="24"/>
                <w:szCs w:val="24"/>
                <w:lang w:val="en-US" w:eastAsia="zh-CN" w:bidi="ar-SA"/>
              </w:rPr>
              <w:t>生活污水</w:t>
            </w:r>
            <w:r>
              <w:rPr>
                <w:rFonts w:hint="default" w:ascii="Times New Roman" w:hAnsi="Times New Roman" w:eastAsia="宋体" w:cs="宋体"/>
                <w:b w:val="0"/>
                <w:bCs w:val="0"/>
                <w:color w:val="auto"/>
                <w:kern w:val="2"/>
                <w:sz w:val="24"/>
                <w:szCs w:val="24"/>
                <w:lang w:val="en-US" w:eastAsia="zh-CN" w:bidi="ar-SA"/>
              </w:rPr>
              <w:t>。本项目营运后新增</w:t>
            </w:r>
            <w:r>
              <w:rPr>
                <w:rFonts w:hint="eastAsia" w:ascii="Times New Roman" w:hAnsi="Times New Roman" w:eastAsia="宋体" w:cs="宋体"/>
                <w:b w:val="0"/>
                <w:bCs w:val="0"/>
                <w:color w:val="auto"/>
                <w:kern w:val="2"/>
                <w:sz w:val="24"/>
                <w:szCs w:val="24"/>
                <w:lang w:val="en-US" w:eastAsia="zh-CN" w:bidi="ar-SA"/>
              </w:rPr>
              <w:t>废</w:t>
            </w:r>
            <w:r>
              <w:rPr>
                <w:rFonts w:hint="default" w:ascii="Times New Roman" w:hAnsi="Times New Roman" w:eastAsia="宋体" w:cs="宋体"/>
                <w:b w:val="0"/>
                <w:bCs w:val="0"/>
                <w:color w:val="auto"/>
                <w:kern w:val="2"/>
                <w:sz w:val="24"/>
                <w:szCs w:val="24"/>
                <w:lang w:val="en-US" w:eastAsia="zh-CN" w:bidi="ar-SA"/>
              </w:rPr>
              <w:t>水量为</w:t>
            </w:r>
            <w:r>
              <w:rPr>
                <w:rFonts w:hint="eastAsia" w:cs="宋体"/>
                <w:b w:val="0"/>
                <w:bCs w:val="0"/>
                <w:color w:val="auto"/>
                <w:kern w:val="2"/>
                <w:sz w:val="24"/>
                <w:szCs w:val="24"/>
                <w:lang w:val="en-US" w:eastAsia="zh-CN" w:bidi="ar-SA"/>
              </w:rPr>
              <w:t>301.5</w:t>
            </w:r>
            <w:r>
              <w:rPr>
                <w:rFonts w:hint="eastAsia" w:ascii="Times New Roman" w:hAnsi="Times New Roman" w:eastAsia="宋体" w:cs="宋体"/>
                <w:b w:val="0"/>
                <w:bCs w:val="0"/>
                <w:color w:val="auto"/>
                <w:kern w:val="2"/>
                <w:sz w:val="24"/>
                <w:szCs w:val="24"/>
                <w:lang w:val="en-US" w:eastAsia="zh-CN" w:bidi="ar-SA"/>
              </w:rPr>
              <w:t>m</w:t>
            </w:r>
            <w:r>
              <w:rPr>
                <w:rFonts w:hint="eastAsia" w:ascii="Times New Roman" w:hAnsi="Times New Roman" w:eastAsia="宋体" w:cs="宋体"/>
                <w:b w:val="0"/>
                <w:bCs w:val="0"/>
                <w:color w:val="auto"/>
                <w:kern w:val="2"/>
                <w:sz w:val="24"/>
                <w:szCs w:val="24"/>
                <w:vertAlign w:val="superscript"/>
                <w:lang w:val="en-US" w:eastAsia="zh-CN" w:bidi="ar-SA"/>
              </w:rPr>
              <w:t>3</w:t>
            </w:r>
            <w:r>
              <w:rPr>
                <w:rFonts w:hint="eastAsia" w:ascii="Times New Roman" w:hAnsi="Times New Roman" w:eastAsia="宋体" w:cs="宋体"/>
                <w:b w:val="0"/>
                <w:bCs w:val="0"/>
                <w:color w:val="auto"/>
                <w:kern w:val="2"/>
                <w:sz w:val="24"/>
                <w:szCs w:val="24"/>
                <w:lang w:val="en-US" w:eastAsia="zh-CN" w:bidi="ar-SA"/>
              </w:rPr>
              <w:t>/</w:t>
            </w:r>
            <w:r>
              <w:rPr>
                <w:rFonts w:hint="eastAsia" w:cs="宋体"/>
                <w:b w:val="0"/>
                <w:bCs w:val="0"/>
                <w:color w:val="auto"/>
                <w:kern w:val="2"/>
                <w:sz w:val="24"/>
                <w:szCs w:val="24"/>
                <w:lang w:val="en-US" w:eastAsia="zh-CN" w:bidi="ar-SA"/>
              </w:rPr>
              <w:t>d</w:t>
            </w:r>
            <w:r>
              <w:rPr>
                <w:rFonts w:hint="default" w:ascii="Times New Roman" w:hAnsi="Times New Roman" w:eastAsia="宋体" w:cs="宋体"/>
                <w:b w:val="0"/>
                <w:bCs w:val="0"/>
                <w:color w:val="auto"/>
                <w:kern w:val="2"/>
                <w:sz w:val="24"/>
                <w:szCs w:val="24"/>
                <w:lang w:val="en-US" w:eastAsia="zh-CN" w:bidi="ar-SA"/>
              </w:rPr>
              <w:t>，占</w:t>
            </w:r>
            <w:r>
              <w:rPr>
                <w:rFonts w:hint="eastAsia" w:ascii="Times New Roman" w:hAnsi="Times New Roman" w:eastAsia="宋体" w:cs="宋体"/>
                <w:b w:val="0"/>
                <w:bCs w:val="0"/>
                <w:color w:val="auto"/>
                <w:kern w:val="2"/>
                <w:sz w:val="24"/>
                <w:szCs w:val="24"/>
                <w:lang w:val="en-US" w:eastAsia="zh-CN" w:bidi="ar-SA"/>
              </w:rPr>
              <w:t>涟水经济开发区西区污水处理厂现状</w:t>
            </w:r>
            <w:r>
              <w:rPr>
                <w:rFonts w:hint="default" w:ascii="Times New Roman" w:hAnsi="Times New Roman" w:eastAsia="宋体" w:cs="宋体"/>
                <w:b w:val="0"/>
                <w:bCs w:val="0"/>
                <w:color w:val="auto"/>
                <w:kern w:val="2"/>
                <w:sz w:val="24"/>
                <w:szCs w:val="24"/>
                <w:lang w:val="en-US" w:eastAsia="zh-CN" w:bidi="ar-SA"/>
              </w:rPr>
              <w:t>规模的比例很小，因此本项目所排废水的水量在污水处理厂的处理能力内。</w:t>
            </w:r>
          </w:p>
          <w:p w14:paraId="095D7C9B">
            <w:pPr>
              <w:pStyle w:val="16"/>
              <w:keepNext w:val="0"/>
              <w:keepLines w:val="0"/>
              <w:pageBreakBefore w:val="0"/>
              <w:widowControl w:val="0"/>
              <w:numPr>
                <w:ilvl w:val="0"/>
                <w:numId w:val="23"/>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textAlignment w:val="auto"/>
              <w:rPr>
                <w:rFonts w:hint="eastAsia"/>
                <w:color w:val="auto"/>
              </w:rPr>
            </w:pPr>
            <w:r>
              <w:rPr>
                <w:rFonts w:hint="eastAsia"/>
                <w:color w:val="auto"/>
                <w:szCs w:val="24"/>
                <w:lang w:val="en-US" w:eastAsia="zh-CN"/>
              </w:rPr>
              <w:t>管网可行性</w:t>
            </w:r>
            <w:r>
              <w:rPr>
                <w:rFonts w:hint="eastAsia"/>
                <w:color w:val="auto"/>
                <w:szCs w:val="24"/>
              </w:rPr>
              <w:t>分析</w:t>
            </w:r>
          </w:p>
          <w:p w14:paraId="19731171">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textAlignment w:val="auto"/>
              <w:rPr>
                <w:rFonts w:hint="default"/>
                <w:color w:val="auto"/>
                <w:szCs w:val="24"/>
              </w:rPr>
            </w:pPr>
            <w:r>
              <w:rPr>
                <w:rFonts w:hint="eastAsia"/>
                <w:color w:val="auto"/>
                <w:szCs w:val="24"/>
                <w:lang w:val="en-US" w:eastAsia="zh-CN"/>
              </w:rPr>
              <w:t>项目所在地污水管网已铺设完成，能满足接管条件</w:t>
            </w:r>
            <w:r>
              <w:rPr>
                <w:rFonts w:hint="default"/>
                <w:color w:val="auto"/>
                <w:szCs w:val="24"/>
              </w:rPr>
              <w:t>。</w:t>
            </w:r>
          </w:p>
          <w:p w14:paraId="753579D6">
            <w:pPr>
              <w:pStyle w:val="17"/>
              <w:keepNext w:val="0"/>
              <w:keepLines w:val="0"/>
              <w:pageBreakBefore w:val="0"/>
              <w:widowControl w:val="0"/>
              <w:suppressLineNumbers w:val="0"/>
              <w:kinsoku/>
              <w:wordWrap/>
              <w:overflowPunct/>
              <w:topLinePunct w:val="0"/>
              <w:bidi w:val="0"/>
              <w:adjustRightInd w:val="0"/>
              <w:snapToGrid/>
              <w:spacing w:before="0" w:beforeAutospacing="0" w:after="0" w:afterAutospacing="0" w:line="360" w:lineRule="auto"/>
              <w:ind w:left="0" w:right="0" w:firstLine="480" w:firstLineChars="200"/>
              <w:textAlignment w:val="auto"/>
              <w:rPr>
                <w:rFonts w:hint="default"/>
                <w:b w:val="0"/>
                <w:bCs/>
                <w:color w:val="auto"/>
              </w:rPr>
            </w:pPr>
            <w:r>
              <w:rPr>
                <w:rFonts w:hint="eastAsia" w:ascii="Times New Roman" w:hAnsi="Times New Roman" w:cs="Times New Roman"/>
                <w:b w:val="0"/>
                <w:bCs/>
                <w:color w:val="auto"/>
                <w:lang w:val="en-US" w:eastAsia="zh-CN"/>
              </w:rPr>
              <w:t>5.</w:t>
            </w:r>
            <w:r>
              <w:rPr>
                <w:rFonts w:hint="eastAsia" w:ascii="Times New Roman" w:hAnsi="Times New Roman" w:cs="Times New Roman"/>
                <w:b w:val="0"/>
                <w:bCs/>
                <w:color w:val="auto"/>
              </w:rPr>
              <w:t>水环境影响分析结论</w:t>
            </w:r>
          </w:p>
          <w:p w14:paraId="4FD5E2FC">
            <w:pPr>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color w:val="auto"/>
                <w:sz w:val="24"/>
              </w:rPr>
            </w:pPr>
            <w:r>
              <w:rPr>
                <w:rFonts w:hint="eastAsia" w:ascii="Times New Roman" w:hAnsi="Times New Roman"/>
                <w:b w:val="0"/>
                <w:bCs/>
                <w:color w:val="auto"/>
                <w:sz w:val="24"/>
                <w:lang w:val="en-US" w:eastAsia="zh-CN"/>
              </w:rPr>
              <w:t>生活污水（含食堂废水）经隔油池+化粪池处理</w:t>
            </w:r>
            <w:r>
              <w:rPr>
                <w:rFonts w:hint="eastAsia"/>
                <w:b w:val="0"/>
                <w:bCs/>
                <w:color w:val="auto"/>
                <w:sz w:val="24"/>
                <w:lang w:val="en-US" w:eastAsia="zh-CN"/>
              </w:rPr>
              <w:t>，</w:t>
            </w:r>
            <w:r>
              <w:rPr>
                <w:rFonts w:hint="eastAsia" w:ascii="Times New Roman" w:hAnsi="Times New Roman"/>
                <w:b w:val="0"/>
                <w:bCs/>
                <w:color w:val="auto"/>
                <w:sz w:val="24"/>
                <w:lang w:val="en-US" w:eastAsia="zh-CN"/>
              </w:rPr>
              <w:t>杀菌废水、乙酸雾吸收废水、设备清洗废水、地面清洗废水经厂区污水处理站处理，处理后生活污水（含食堂废水）</w:t>
            </w:r>
            <w:r>
              <w:rPr>
                <w:rFonts w:hint="eastAsia"/>
                <w:b w:val="0"/>
                <w:bCs/>
                <w:color w:val="auto"/>
                <w:sz w:val="24"/>
                <w:lang w:val="en-US" w:eastAsia="zh-CN"/>
              </w:rPr>
              <w:t>、生产</w:t>
            </w:r>
            <w:r>
              <w:rPr>
                <w:rFonts w:hint="eastAsia" w:ascii="Times New Roman" w:hAnsi="Times New Roman"/>
                <w:b w:val="0"/>
                <w:bCs/>
                <w:color w:val="auto"/>
                <w:sz w:val="24"/>
                <w:lang w:val="en-US" w:eastAsia="zh-CN"/>
              </w:rPr>
              <w:t>废水与纯水制备废水一起接管至涟水经济开发区西区污水处理厂</w:t>
            </w:r>
            <w:r>
              <w:rPr>
                <w:rFonts w:hint="eastAsia"/>
                <w:b w:val="0"/>
                <w:bCs/>
                <w:color w:val="auto"/>
                <w:sz w:val="24"/>
                <w:lang w:val="en-US" w:eastAsia="zh-CN"/>
              </w:rPr>
              <w:t>，处理后废水</w:t>
            </w:r>
            <w:r>
              <w:rPr>
                <w:rFonts w:hint="eastAsia" w:ascii="Times New Roman" w:hAnsi="Times New Roman"/>
                <w:b w:val="0"/>
                <w:bCs/>
                <w:color w:val="auto"/>
                <w:sz w:val="24"/>
                <w:lang w:val="en-US" w:eastAsia="zh-CN"/>
              </w:rPr>
              <w:t>达到涟水经济开发区西区污水处理厂接管标准，通过市政污水管网接管至涟水经济开发区西区处理厂处理，尾水</w:t>
            </w:r>
            <w:r>
              <w:rPr>
                <w:rFonts w:hint="eastAsia"/>
                <w:b w:val="0"/>
                <w:bCs/>
                <w:color w:val="auto"/>
                <w:sz w:val="24"/>
                <w:lang w:val="en-US" w:eastAsia="zh-CN"/>
              </w:rPr>
              <w:t>经祁六沟</w:t>
            </w:r>
            <w:r>
              <w:rPr>
                <w:rFonts w:hint="eastAsia" w:ascii="Times New Roman" w:hAnsi="Times New Roman"/>
                <w:b w:val="0"/>
                <w:bCs/>
                <w:color w:val="auto"/>
                <w:sz w:val="24"/>
                <w:lang w:val="en-US" w:eastAsia="zh-CN"/>
              </w:rPr>
              <w:t>排入公兴河；且从水量、水质、配套管网建设情况等方面综合考虑，</w:t>
            </w:r>
            <w:r>
              <w:rPr>
                <w:color w:val="auto"/>
                <w:sz w:val="24"/>
              </w:rPr>
              <w:t>项目废水接管至涟水经济开发区西区污水处理厂处理是可行的。</w:t>
            </w:r>
          </w:p>
          <w:p w14:paraId="411C16B2">
            <w:pPr>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rFonts w:hint="eastAsia" w:ascii="Times New Roman" w:hAnsi="Times New Roman"/>
                <w:b w:val="0"/>
                <w:bCs/>
                <w:color w:val="auto"/>
                <w:sz w:val="24"/>
                <w:lang w:val="en-US" w:eastAsia="zh-CN"/>
              </w:rPr>
            </w:pPr>
            <w:r>
              <w:rPr>
                <w:rFonts w:hint="eastAsia" w:ascii="Times New Roman" w:hAnsi="Times New Roman"/>
                <w:b w:val="0"/>
                <w:bCs/>
                <w:color w:val="auto"/>
                <w:sz w:val="24"/>
                <w:lang w:val="en-US" w:eastAsia="zh-CN"/>
              </w:rPr>
              <w:t>（6）废水监测要求</w:t>
            </w:r>
          </w:p>
          <w:p w14:paraId="0922B2DC">
            <w:pPr>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rFonts w:hint="eastAsia" w:ascii="Times New Roman" w:hAnsi="Times New Roman"/>
                <w:b w:val="0"/>
                <w:bCs/>
                <w:color w:val="auto"/>
                <w:sz w:val="24"/>
                <w:lang w:val="en-US" w:eastAsia="zh-CN"/>
              </w:rPr>
            </w:pPr>
            <w:r>
              <w:rPr>
                <w:rFonts w:hint="eastAsia" w:ascii="Times New Roman" w:hAnsi="Times New Roman"/>
                <w:b w:val="0"/>
                <w:bCs/>
                <w:color w:val="auto"/>
                <w:sz w:val="24"/>
                <w:lang w:val="en-US" w:eastAsia="zh-CN"/>
              </w:rPr>
              <w:t>根据《排污单位自行监测技术指南总则》（HJ819-2017）、《排污单位自行监测技术指南 酒、饮料制造》（HJ 1085-2020）中相关规定，项目营运期废水应进行常规自行监测，废水监测要求如下表</w:t>
            </w:r>
          </w:p>
          <w:p w14:paraId="700A4481">
            <w:pPr>
              <w:pStyle w:val="56"/>
              <w:keepNext w:val="0"/>
              <w:keepLines w:val="0"/>
              <w:suppressLineNumbers w:val="0"/>
              <w:bidi w:val="0"/>
              <w:spacing w:after="0"/>
              <w:ind w:left="0" w:right="0"/>
              <w:rPr>
                <w:color w:val="auto"/>
              </w:rPr>
            </w:pPr>
          </w:p>
          <w:p w14:paraId="6106AA20">
            <w:pPr>
              <w:pStyle w:val="56"/>
              <w:keepNext w:val="0"/>
              <w:keepLines w:val="0"/>
              <w:suppressLineNumbers w:val="0"/>
              <w:bidi w:val="0"/>
              <w:spacing w:after="0"/>
              <w:ind w:left="0" w:right="0"/>
              <w:rPr>
                <w:color w:val="auto"/>
              </w:rPr>
            </w:pPr>
          </w:p>
          <w:p w14:paraId="7F4F25CD">
            <w:pPr>
              <w:pStyle w:val="56"/>
              <w:keepNext w:val="0"/>
              <w:keepLines w:val="0"/>
              <w:suppressLineNumbers w:val="0"/>
              <w:bidi w:val="0"/>
              <w:spacing w:after="0"/>
              <w:ind w:left="0" w:right="0"/>
              <w:rPr>
                <w:color w:val="auto"/>
              </w:rPr>
            </w:pPr>
          </w:p>
          <w:p w14:paraId="6BAF5EF0">
            <w:pPr>
              <w:pStyle w:val="56"/>
              <w:keepNext w:val="0"/>
              <w:keepLines w:val="0"/>
              <w:suppressLineNumbers w:val="0"/>
              <w:bidi w:val="0"/>
              <w:spacing w:after="0"/>
              <w:ind w:left="0" w:right="0"/>
              <w:rPr>
                <w:color w:val="auto"/>
              </w:rPr>
            </w:pPr>
          </w:p>
          <w:p w14:paraId="132F0C8C">
            <w:pPr>
              <w:pStyle w:val="56"/>
              <w:keepNext w:val="0"/>
              <w:keepLines w:val="0"/>
              <w:suppressLineNumbers w:val="0"/>
              <w:bidi w:val="0"/>
              <w:spacing w:after="0"/>
              <w:ind w:left="0" w:right="0"/>
              <w:rPr>
                <w:color w:val="auto"/>
              </w:rPr>
            </w:pPr>
          </w:p>
          <w:p w14:paraId="40A17972">
            <w:pPr>
              <w:pStyle w:val="56"/>
              <w:keepNext w:val="0"/>
              <w:keepLines w:val="0"/>
              <w:suppressLineNumbers w:val="0"/>
              <w:bidi w:val="0"/>
              <w:spacing w:after="0"/>
              <w:ind w:left="0" w:right="0"/>
              <w:rPr>
                <w:color w:val="auto"/>
              </w:rPr>
            </w:pPr>
            <w:r>
              <w:rPr>
                <w:color w:val="auto"/>
              </w:rPr>
              <w:t>表4-1</w:t>
            </w:r>
            <w:r>
              <w:rPr>
                <w:rFonts w:hint="eastAsia"/>
                <w:color w:val="auto"/>
                <w:lang w:val="en-US" w:eastAsia="zh-CN"/>
              </w:rPr>
              <w:t>8</w:t>
            </w:r>
            <w:r>
              <w:rPr>
                <w:color w:val="auto"/>
              </w:rPr>
              <w:t xml:space="preserve"> </w:t>
            </w:r>
            <w:r>
              <w:rPr>
                <w:rFonts w:hint="eastAsia"/>
                <w:color w:val="auto"/>
                <w:lang w:val="en-US" w:eastAsia="zh-CN"/>
              </w:rPr>
              <w:t xml:space="preserve"> </w:t>
            </w:r>
            <w:r>
              <w:rPr>
                <w:color w:val="auto"/>
              </w:rPr>
              <w:t>项目废水监测要求一览表</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1111"/>
              <w:gridCol w:w="2730"/>
              <w:gridCol w:w="1200"/>
              <w:gridCol w:w="2190"/>
            </w:tblGrid>
            <w:tr w14:paraId="287F1508">
              <w:trPr>
                <w:trHeight w:val="454" w:hRule="atLeast"/>
                <w:jc w:val="center"/>
              </w:trPr>
              <w:tc>
                <w:tcPr>
                  <w:tcW w:w="448" w:type="pct"/>
                  <w:noWrap w:val="0"/>
                  <w:vAlign w:val="center"/>
                </w:tcPr>
                <w:p w14:paraId="72905D49">
                  <w:pPr>
                    <w:pStyle w:val="36"/>
                    <w:keepNext w:val="0"/>
                    <w:keepLines w:val="0"/>
                    <w:suppressLineNumbers w:val="0"/>
                    <w:bidi w:val="0"/>
                    <w:spacing w:before="0" w:beforeAutospacing="0" w:after="0" w:afterAutospacing="0"/>
                    <w:ind w:left="0" w:right="0"/>
                    <w:rPr>
                      <w:rFonts w:ascii="Times New Roman" w:hAnsi="Times New Roman" w:eastAsia="宋体"/>
                      <w:color w:val="auto"/>
                      <w:sz w:val="21"/>
                    </w:rPr>
                  </w:pPr>
                  <w:r>
                    <w:rPr>
                      <w:rFonts w:ascii="Times New Roman" w:hAnsi="Times New Roman" w:eastAsia="宋体"/>
                      <w:color w:val="auto"/>
                      <w:sz w:val="21"/>
                    </w:rPr>
                    <w:t>序号</w:t>
                  </w:r>
                </w:p>
              </w:tc>
              <w:tc>
                <w:tcPr>
                  <w:tcW w:w="699" w:type="pct"/>
                  <w:noWrap w:val="0"/>
                  <w:vAlign w:val="center"/>
                </w:tcPr>
                <w:p w14:paraId="2A7B7511">
                  <w:pPr>
                    <w:pStyle w:val="36"/>
                    <w:keepNext w:val="0"/>
                    <w:keepLines w:val="0"/>
                    <w:suppressLineNumbers w:val="0"/>
                    <w:bidi w:val="0"/>
                    <w:spacing w:before="0" w:beforeAutospacing="0" w:after="0" w:afterAutospacing="0"/>
                    <w:ind w:left="0" w:right="0"/>
                    <w:rPr>
                      <w:rFonts w:ascii="Times New Roman" w:hAnsi="Times New Roman" w:eastAsia="宋体"/>
                      <w:color w:val="auto"/>
                      <w:sz w:val="21"/>
                    </w:rPr>
                  </w:pPr>
                  <w:r>
                    <w:rPr>
                      <w:rFonts w:ascii="Times New Roman" w:hAnsi="Times New Roman" w:eastAsia="宋体"/>
                      <w:color w:val="auto"/>
                      <w:sz w:val="21"/>
                    </w:rPr>
                    <w:t>监测点位</w:t>
                  </w:r>
                </w:p>
              </w:tc>
              <w:tc>
                <w:tcPr>
                  <w:tcW w:w="1718" w:type="pct"/>
                  <w:noWrap w:val="0"/>
                  <w:vAlign w:val="center"/>
                </w:tcPr>
                <w:p w14:paraId="1E1AF119">
                  <w:pPr>
                    <w:pStyle w:val="36"/>
                    <w:keepNext w:val="0"/>
                    <w:keepLines w:val="0"/>
                    <w:suppressLineNumbers w:val="0"/>
                    <w:bidi w:val="0"/>
                    <w:spacing w:before="0" w:beforeAutospacing="0" w:after="0" w:afterAutospacing="0"/>
                    <w:ind w:left="0" w:right="0"/>
                    <w:rPr>
                      <w:rFonts w:ascii="Times New Roman" w:hAnsi="Times New Roman" w:eastAsia="宋体"/>
                      <w:color w:val="auto"/>
                      <w:sz w:val="21"/>
                    </w:rPr>
                  </w:pPr>
                  <w:r>
                    <w:rPr>
                      <w:rFonts w:ascii="Times New Roman" w:hAnsi="Times New Roman" w:eastAsia="宋体"/>
                      <w:color w:val="auto"/>
                      <w:sz w:val="21"/>
                    </w:rPr>
                    <w:t>监测因子</w:t>
                  </w:r>
                </w:p>
              </w:tc>
              <w:tc>
                <w:tcPr>
                  <w:tcW w:w="755" w:type="pct"/>
                  <w:noWrap w:val="0"/>
                  <w:vAlign w:val="center"/>
                </w:tcPr>
                <w:p w14:paraId="7C6E2AF7">
                  <w:pPr>
                    <w:pStyle w:val="36"/>
                    <w:keepNext w:val="0"/>
                    <w:keepLines w:val="0"/>
                    <w:suppressLineNumbers w:val="0"/>
                    <w:bidi w:val="0"/>
                    <w:spacing w:before="0" w:beforeAutospacing="0" w:after="0" w:afterAutospacing="0"/>
                    <w:ind w:left="0" w:right="0"/>
                    <w:rPr>
                      <w:rFonts w:ascii="Times New Roman" w:hAnsi="Times New Roman" w:eastAsia="宋体"/>
                      <w:color w:val="auto"/>
                      <w:sz w:val="21"/>
                    </w:rPr>
                  </w:pPr>
                  <w:r>
                    <w:rPr>
                      <w:rFonts w:ascii="Times New Roman" w:hAnsi="Times New Roman" w:eastAsia="宋体"/>
                      <w:color w:val="auto"/>
                      <w:sz w:val="21"/>
                    </w:rPr>
                    <w:t>监测频次</w:t>
                  </w:r>
                </w:p>
              </w:tc>
              <w:tc>
                <w:tcPr>
                  <w:tcW w:w="1378" w:type="pct"/>
                  <w:noWrap w:val="0"/>
                  <w:vAlign w:val="center"/>
                </w:tcPr>
                <w:p w14:paraId="21E7C5FC">
                  <w:pPr>
                    <w:pStyle w:val="36"/>
                    <w:keepNext w:val="0"/>
                    <w:keepLines w:val="0"/>
                    <w:suppressLineNumbers w:val="0"/>
                    <w:bidi w:val="0"/>
                    <w:spacing w:before="0" w:beforeAutospacing="0" w:after="0" w:afterAutospacing="0"/>
                    <w:ind w:left="0" w:right="0"/>
                    <w:rPr>
                      <w:rFonts w:ascii="Times New Roman" w:hAnsi="Times New Roman" w:eastAsia="宋体"/>
                      <w:color w:val="auto"/>
                      <w:sz w:val="21"/>
                    </w:rPr>
                  </w:pPr>
                  <w:r>
                    <w:rPr>
                      <w:rFonts w:ascii="Times New Roman" w:hAnsi="Times New Roman" w:eastAsia="宋体"/>
                      <w:color w:val="auto"/>
                      <w:sz w:val="21"/>
                    </w:rPr>
                    <w:t>执行标准</w:t>
                  </w:r>
                </w:p>
              </w:tc>
            </w:tr>
            <w:tr w14:paraId="658E3C63">
              <w:trPr>
                <w:trHeight w:val="454" w:hRule="atLeast"/>
                <w:jc w:val="center"/>
              </w:trPr>
              <w:tc>
                <w:tcPr>
                  <w:tcW w:w="448" w:type="pct"/>
                  <w:noWrap w:val="0"/>
                  <w:vAlign w:val="center"/>
                </w:tcPr>
                <w:p w14:paraId="180AEE34">
                  <w:pPr>
                    <w:pStyle w:val="36"/>
                    <w:keepNext w:val="0"/>
                    <w:keepLines w:val="0"/>
                    <w:suppressLineNumbers w:val="0"/>
                    <w:bidi w:val="0"/>
                    <w:spacing w:before="0" w:beforeAutospacing="0" w:after="0" w:afterAutospacing="0"/>
                    <w:ind w:left="0" w:right="0"/>
                    <w:rPr>
                      <w:rFonts w:ascii="Times New Roman" w:hAnsi="Times New Roman" w:eastAsia="宋体"/>
                      <w:color w:val="auto"/>
                      <w:sz w:val="21"/>
                    </w:rPr>
                  </w:pPr>
                  <w:r>
                    <w:rPr>
                      <w:rFonts w:ascii="Times New Roman" w:hAnsi="Times New Roman" w:eastAsia="宋体"/>
                      <w:color w:val="auto"/>
                      <w:sz w:val="21"/>
                    </w:rPr>
                    <w:t>1</w:t>
                  </w:r>
                </w:p>
              </w:tc>
              <w:tc>
                <w:tcPr>
                  <w:tcW w:w="699" w:type="pct"/>
                  <w:noWrap w:val="0"/>
                  <w:vAlign w:val="center"/>
                </w:tcPr>
                <w:p w14:paraId="0BA346DA">
                  <w:pPr>
                    <w:pStyle w:val="36"/>
                    <w:keepNext w:val="0"/>
                    <w:keepLines w:val="0"/>
                    <w:suppressLineNumbers w:val="0"/>
                    <w:bidi w:val="0"/>
                    <w:spacing w:before="0" w:beforeAutospacing="0" w:after="0" w:afterAutospacing="0"/>
                    <w:ind w:left="0" w:right="0"/>
                    <w:rPr>
                      <w:rFonts w:ascii="Times New Roman" w:hAnsi="Times New Roman" w:eastAsia="宋体"/>
                      <w:color w:val="auto"/>
                      <w:sz w:val="21"/>
                    </w:rPr>
                  </w:pPr>
                  <w:r>
                    <w:rPr>
                      <w:rFonts w:ascii="Times New Roman" w:hAnsi="Times New Roman" w:eastAsia="宋体"/>
                      <w:color w:val="auto"/>
                      <w:sz w:val="21"/>
                    </w:rPr>
                    <w:t>DW001</w:t>
                  </w:r>
                </w:p>
              </w:tc>
              <w:tc>
                <w:tcPr>
                  <w:tcW w:w="1718" w:type="pct"/>
                  <w:noWrap w:val="0"/>
                  <w:vAlign w:val="center"/>
                </w:tcPr>
                <w:p w14:paraId="3051C509">
                  <w:pPr>
                    <w:pStyle w:val="36"/>
                    <w:keepNext w:val="0"/>
                    <w:keepLines w:val="0"/>
                    <w:suppressLineNumbers w:val="0"/>
                    <w:bidi w:val="0"/>
                    <w:spacing w:before="0" w:beforeAutospacing="0" w:after="0" w:afterAutospacing="0"/>
                    <w:ind w:left="0" w:right="0"/>
                    <w:rPr>
                      <w:rFonts w:ascii="Times New Roman" w:hAnsi="Times New Roman" w:eastAsia="宋体"/>
                      <w:color w:val="auto"/>
                      <w:sz w:val="21"/>
                    </w:rPr>
                  </w:pPr>
                  <w:r>
                    <w:rPr>
                      <w:rFonts w:ascii="Times New Roman" w:hAnsi="Times New Roman" w:eastAsia="宋体"/>
                      <w:color w:val="auto"/>
                      <w:sz w:val="21"/>
                    </w:rPr>
                    <w:t>pH</w:t>
                  </w:r>
                  <w:r>
                    <w:rPr>
                      <w:rFonts w:hint="eastAsia" w:ascii="Times New Roman" w:hAnsi="Times New Roman" w:eastAsia="宋体"/>
                      <w:color w:val="auto"/>
                      <w:sz w:val="21"/>
                    </w:rPr>
                    <w:t>、</w:t>
                  </w:r>
                  <w:r>
                    <w:rPr>
                      <w:rFonts w:ascii="Times New Roman" w:hAnsi="Times New Roman" w:eastAsia="宋体"/>
                      <w:color w:val="auto"/>
                      <w:sz w:val="21"/>
                    </w:rPr>
                    <w:t>COD</w:t>
                  </w:r>
                  <w:r>
                    <w:rPr>
                      <w:rFonts w:hint="eastAsia" w:ascii="Times New Roman" w:hAnsi="Times New Roman" w:eastAsia="宋体"/>
                      <w:color w:val="auto"/>
                      <w:sz w:val="21"/>
                    </w:rPr>
                    <w:t>、</w:t>
                  </w:r>
                  <w:r>
                    <w:rPr>
                      <w:rFonts w:ascii="Times New Roman" w:hAnsi="Times New Roman" w:eastAsia="宋体"/>
                      <w:color w:val="auto"/>
                      <w:sz w:val="21"/>
                    </w:rPr>
                    <w:t>SS</w:t>
                  </w:r>
                  <w:r>
                    <w:rPr>
                      <w:rFonts w:hint="eastAsia" w:ascii="Times New Roman" w:hAnsi="Times New Roman" w:eastAsia="宋体"/>
                      <w:color w:val="auto"/>
                      <w:sz w:val="21"/>
                    </w:rPr>
                    <w:t>、</w:t>
                  </w:r>
                  <w:r>
                    <w:rPr>
                      <w:rFonts w:ascii="Times New Roman" w:hAnsi="Times New Roman" w:eastAsia="宋体"/>
                      <w:color w:val="auto"/>
                      <w:sz w:val="21"/>
                    </w:rPr>
                    <w:t>B</w:t>
                  </w:r>
                  <w:r>
                    <w:rPr>
                      <w:rFonts w:hint="eastAsia" w:ascii="Times New Roman" w:hAnsi="Times New Roman" w:eastAsia="宋体"/>
                      <w:color w:val="auto"/>
                      <w:sz w:val="21"/>
                    </w:rPr>
                    <w:t>O</w:t>
                  </w:r>
                  <w:r>
                    <w:rPr>
                      <w:rFonts w:ascii="Times New Roman" w:hAnsi="Times New Roman" w:eastAsia="宋体"/>
                      <w:color w:val="auto"/>
                      <w:sz w:val="21"/>
                    </w:rPr>
                    <w:t>D</w:t>
                  </w:r>
                  <w:r>
                    <w:rPr>
                      <w:rFonts w:ascii="Times New Roman" w:hAnsi="Times New Roman" w:eastAsia="宋体"/>
                      <w:color w:val="auto"/>
                      <w:sz w:val="21"/>
                      <w:vertAlign w:val="subscript"/>
                    </w:rPr>
                    <w:t>5</w:t>
                  </w:r>
                  <w:r>
                    <w:rPr>
                      <w:rFonts w:hint="eastAsia" w:ascii="Times New Roman" w:hAnsi="Times New Roman" w:eastAsia="宋体"/>
                      <w:color w:val="auto"/>
                      <w:sz w:val="21"/>
                    </w:rPr>
                    <w:t>、</w:t>
                  </w:r>
                  <w:r>
                    <w:rPr>
                      <w:rFonts w:ascii="Times New Roman" w:hAnsi="Times New Roman" w:eastAsia="宋体"/>
                      <w:color w:val="auto"/>
                      <w:sz w:val="21"/>
                    </w:rPr>
                    <w:t>NH</w:t>
                  </w:r>
                  <w:r>
                    <w:rPr>
                      <w:rFonts w:ascii="Times New Roman" w:hAnsi="Times New Roman" w:eastAsia="宋体"/>
                      <w:color w:val="auto"/>
                      <w:sz w:val="21"/>
                      <w:vertAlign w:val="subscript"/>
                    </w:rPr>
                    <w:t>3</w:t>
                  </w:r>
                  <w:r>
                    <w:rPr>
                      <w:rFonts w:ascii="Times New Roman" w:hAnsi="Times New Roman" w:eastAsia="宋体"/>
                      <w:color w:val="auto"/>
                      <w:sz w:val="21"/>
                    </w:rPr>
                    <w:t>-N</w:t>
                  </w:r>
                  <w:r>
                    <w:rPr>
                      <w:rFonts w:hint="eastAsia" w:ascii="Times New Roman" w:hAnsi="Times New Roman" w:eastAsia="宋体"/>
                      <w:color w:val="auto"/>
                      <w:sz w:val="21"/>
                    </w:rPr>
                    <w:t>、</w:t>
                  </w:r>
                  <w:r>
                    <w:rPr>
                      <w:rFonts w:ascii="Times New Roman" w:hAnsi="Times New Roman" w:eastAsia="宋体"/>
                      <w:color w:val="auto"/>
                      <w:sz w:val="21"/>
                    </w:rPr>
                    <w:t>TP</w:t>
                  </w:r>
                  <w:r>
                    <w:rPr>
                      <w:rFonts w:hint="eastAsia" w:ascii="Times New Roman" w:hAnsi="Times New Roman" w:eastAsia="宋体"/>
                      <w:color w:val="auto"/>
                      <w:sz w:val="21"/>
                    </w:rPr>
                    <w:t>、</w:t>
                  </w:r>
                  <w:r>
                    <w:rPr>
                      <w:rFonts w:ascii="Times New Roman" w:hAnsi="Times New Roman" w:eastAsia="宋体"/>
                      <w:color w:val="auto"/>
                      <w:sz w:val="21"/>
                    </w:rPr>
                    <w:t>TN</w:t>
                  </w:r>
                  <w:r>
                    <w:rPr>
                      <w:rFonts w:hint="eastAsia" w:ascii="Times New Roman" w:hAnsi="Times New Roman" w:eastAsia="宋体"/>
                      <w:color w:val="auto"/>
                      <w:sz w:val="21"/>
                    </w:rPr>
                    <w:t>、动植物油</w:t>
                  </w:r>
                </w:p>
              </w:tc>
              <w:tc>
                <w:tcPr>
                  <w:tcW w:w="755" w:type="pct"/>
                  <w:noWrap w:val="0"/>
                  <w:vAlign w:val="center"/>
                </w:tcPr>
                <w:p w14:paraId="29A106DA">
                  <w:pPr>
                    <w:pStyle w:val="36"/>
                    <w:keepNext w:val="0"/>
                    <w:keepLines w:val="0"/>
                    <w:suppressLineNumbers w:val="0"/>
                    <w:bidi w:val="0"/>
                    <w:spacing w:before="0" w:beforeAutospacing="0" w:after="0" w:afterAutospacing="0"/>
                    <w:ind w:left="0" w:right="0"/>
                    <w:rPr>
                      <w:rFonts w:ascii="Times New Roman" w:hAnsi="Times New Roman" w:eastAsia="宋体"/>
                      <w:color w:val="auto"/>
                      <w:sz w:val="21"/>
                    </w:rPr>
                  </w:pPr>
                  <w:r>
                    <w:rPr>
                      <w:rFonts w:ascii="Times New Roman" w:hAnsi="Times New Roman" w:eastAsia="宋体"/>
                      <w:color w:val="auto"/>
                      <w:sz w:val="21"/>
                    </w:rPr>
                    <w:t>1次/</w:t>
                  </w:r>
                  <w:r>
                    <w:rPr>
                      <w:rFonts w:hint="eastAsia" w:ascii="Times New Roman" w:hAnsi="Times New Roman" w:eastAsia="宋体"/>
                      <w:color w:val="auto"/>
                      <w:sz w:val="21"/>
                    </w:rPr>
                    <w:t>半</w:t>
                  </w:r>
                  <w:r>
                    <w:rPr>
                      <w:rFonts w:ascii="Times New Roman" w:hAnsi="Times New Roman" w:eastAsia="宋体"/>
                      <w:color w:val="auto"/>
                      <w:sz w:val="21"/>
                    </w:rPr>
                    <w:t>年</w:t>
                  </w:r>
                </w:p>
              </w:tc>
              <w:tc>
                <w:tcPr>
                  <w:tcW w:w="1378" w:type="pct"/>
                  <w:noWrap w:val="0"/>
                  <w:vAlign w:val="center"/>
                </w:tcPr>
                <w:p w14:paraId="473357D2">
                  <w:pPr>
                    <w:pStyle w:val="36"/>
                    <w:keepNext w:val="0"/>
                    <w:keepLines w:val="0"/>
                    <w:suppressLineNumbers w:val="0"/>
                    <w:bidi w:val="0"/>
                    <w:spacing w:before="0" w:beforeAutospacing="0" w:after="0" w:afterAutospacing="0"/>
                    <w:ind w:left="0" w:right="0"/>
                    <w:rPr>
                      <w:rFonts w:ascii="Times New Roman" w:hAnsi="Times New Roman" w:eastAsia="宋体"/>
                      <w:color w:val="auto"/>
                      <w:sz w:val="21"/>
                    </w:rPr>
                  </w:pPr>
                  <w:r>
                    <w:rPr>
                      <w:rFonts w:ascii="Times New Roman" w:hAnsi="Times New Roman" w:eastAsia="宋体"/>
                      <w:color w:val="auto"/>
                      <w:sz w:val="21"/>
                    </w:rPr>
                    <w:t>涟水经济开发区西区污水处理厂接管标准</w:t>
                  </w:r>
                </w:p>
              </w:tc>
            </w:tr>
          </w:tbl>
          <w:p w14:paraId="46FC60DD">
            <w:pPr>
              <w:pStyle w:val="46"/>
              <w:keepNext w:val="0"/>
              <w:keepLines w:val="0"/>
              <w:pageBreakBefore w:val="0"/>
              <w:widowControl w:val="0"/>
              <w:kinsoku/>
              <w:wordWrap/>
              <w:overflowPunct/>
              <w:topLinePunct w:val="0"/>
              <w:bidi w:val="0"/>
              <w:adjustRightInd/>
              <w:snapToGrid w:val="0"/>
              <w:spacing w:line="360" w:lineRule="auto"/>
              <w:ind w:left="0" w:right="0" w:firstLineChars="200"/>
              <w:rPr>
                <w:b/>
                <w:color w:val="auto"/>
                <w:szCs w:val="24"/>
              </w:rPr>
            </w:pPr>
            <w:r>
              <w:rPr>
                <w:rFonts w:hint="eastAsia"/>
                <w:b/>
                <w:color w:val="auto"/>
                <w:szCs w:val="24"/>
              </w:rPr>
              <w:t>三</w:t>
            </w:r>
            <w:r>
              <w:rPr>
                <w:b/>
                <w:color w:val="auto"/>
                <w:szCs w:val="24"/>
              </w:rPr>
              <w:t>、</w:t>
            </w:r>
            <w:r>
              <w:rPr>
                <w:rFonts w:hint="eastAsia"/>
                <w:b/>
                <w:color w:val="auto"/>
                <w:szCs w:val="24"/>
              </w:rPr>
              <w:t>噪声</w:t>
            </w:r>
          </w:p>
          <w:p w14:paraId="77DE56C6">
            <w:pPr>
              <w:pStyle w:val="48"/>
              <w:keepNext w:val="0"/>
              <w:keepLines w:val="0"/>
              <w:pageBreakBefore w:val="0"/>
              <w:widowControl w:val="0"/>
              <w:kinsoku/>
              <w:wordWrap/>
              <w:overflowPunct/>
              <w:topLinePunct w:val="0"/>
              <w:bidi w:val="0"/>
              <w:adjustRightInd w:val="0"/>
              <w:snapToGrid w:val="0"/>
              <w:spacing w:line="360" w:lineRule="auto"/>
              <w:ind w:firstLine="480"/>
              <w:jc w:val="both"/>
              <w:rPr>
                <w:rFonts w:ascii="Times New Roman" w:eastAsia="宋体"/>
                <w:bCs/>
                <w:color w:val="auto"/>
                <w:sz w:val="24"/>
                <w:szCs w:val="24"/>
              </w:rPr>
            </w:pPr>
            <w:r>
              <w:rPr>
                <w:rFonts w:hint="eastAsia" w:ascii="Times New Roman" w:eastAsia="宋体"/>
                <w:bCs/>
                <w:color w:val="auto"/>
                <w:sz w:val="24"/>
                <w:szCs w:val="24"/>
                <w:lang w:eastAsia="zh-CN"/>
              </w:rPr>
              <w:t>1.</w:t>
            </w:r>
            <w:r>
              <w:rPr>
                <w:rFonts w:hint="eastAsia" w:ascii="Times New Roman" w:eastAsia="宋体"/>
                <w:bCs/>
                <w:color w:val="auto"/>
                <w:sz w:val="24"/>
                <w:szCs w:val="24"/>
              </w:rPr>
              <w:t>噪声源分析</w:t>
            </w:r>
          </w:p>
          <w:p w14:paraId="5D564DE9">
            <w:pPr>
              <w:pStyle w:val="17"/>
              <w:keepNext w:val="0"/>
              <w:keepLines w:val="0"/>
              <w:pageBreakBefore w:val="0"/>
              <w:widowControl w:val="0"/>
              <w:kinsoku/>
              <w:wordWrap/>
              <w:overflowPunct/>
              <w:topLinePunct w:val="0"/>
              <w:bidi w:val="0"/>
              <w:adjustRightInd w:val="0"/>
              <w:snapToGrid w:val="0"/>
              <w:spacing w:line="360" w:lineRule="auto"/>
              <w:ind w:firstLine="480" w:firstLineChars="200"/>
              <w:rPr>
                <w:rFonts w:hint="eastAsia" w:eastAsia="宋体"/>
                <w:bCs/>
                <w:color w:val="auto"/>
                <w:sz w:val="24"/>
                <w:szCs w:val="24"/>
                <w:lang w:val="en-US" w:eastAsia="zh-CN"/>
              </w:rPr>
            </w:pPr>
            <w:r>
              <w:rPr>
                <w:rFonts w:hint="eastAsia" w:ascii="Times New Roman" w:hAnsi="Times New Roman"/>
                <w:b w:val="0"/>
                <w:bCs w:val="0"/>
                <w:color w:val="auto"/>
                <w:sz w:val="24"/>
              </w:rPr>
              <w:t>本项目营运期</w:t>
            </w:r>
            <w:r>
              <w:rPr>
                <w:rFonts w:ascii="Times New Roman" w:hAnsi="Times New Roman"/>
                <w:b w:val="0"/>
                <w:bCs w:val="0"/>
                <w:color w:val="auto"/>
                <w:sz w:val="24"/>
              </w:rPr>
              <w:t>主要固</w:t>
            </w:r>
            <w:r>
              <w:rPr>
                <w:rFonts w:ascii="Times New Roman" w:hAnsi="Times New Roman" w:eastAsia="宋体" w:cs="宋体"/>
                <w:b w:val="0"/>
                <w:bCs w:val="0"/>
                <w:color w:val="auto"/>
                <w:sz w:val="24"/>
              </w:rPr>
              <w:t>定噪声源为</w:t>
            </w:r>
            <w:r>
              <w:rPr>
                <w:rFonts w:hint="eastAsia" w:ascii="Times New Roman" w:hAnsi="Times New Roman" w:cs="宋体"/>
                <w:b w:val="0"/>
                <w:bCs w:val="0"/>
                <w:color w:val="auto"/>
                <w:sz w:val="24"/>
                <w:lang w:val="en-US" w:eastAsia="zh-CN"/>
              </w:rPr>
              <w:t>出水制备系统</w:t>
            </w:r>
            <w:r>
              <w:rPr>
                <w:rFonts w:hint="eastAsia" w:ascii="Times New Roman" w:hAnsi="Times New Roman" w:eastAsia="宋体" w:cs="宋体"/>
                <w:b w:val="0"/>
                <w:bCs w:val="0"/>
                <w:color w:val="auto"/>
                <w:sz w:val="24"/>
                <w:lang w:val="en-US" w:eastAsia="zh-CN"/>
              </w:rPr>
              <w:t>、</w:t>
            </w:r>
            <w:r>
              <w:rPr>
                <w:rFonts w:hint="eastAsia" w:ascii="Times New Roman" w:hAnsi="Times New Roman" w:cs="宋体"/>
                <w:b w:val="0"/>
                <w:bCs w:val="0"/>
                <w:color w:val="auto"/>
                <w:sz w:val="24"/>
                <w:lang w:val="en-US" w:eastAsia="zh-CN"/>
              </w:rPr>
              <w:t>碟式分离机</w:t>
            </w:r>
            <w:r>
              <w:rPr>
                <w:rFonts w:hint="eastAsia" w:ascii="Times New Roman" w:hAnsi="Times New Roman" w:eastAsia="宋体" w:cs="宋体"/>
                <w:b w:val="0"/>
                <w:bCs w:val="0"/>
                <w:color w:val="auto"/>
                <w:sz w:val="24"/>
                <w:lang w:val="en-US" w:eastAsia="zh-CN"/>
              </w:rPr>
              <w:t>、</w:t>
            </w:r>
            <w:r>
              <w:rPr>
                <w:rFonts w:hint="eastAsia" w:ascii="Times New Roman" w:hAnsi="Times New Roman" w:cs="宋体"/>
                <w:b w:val="0"/>
                <w:bCs w:val="0"/>
                <w:color w:val="auto"/>
                <w:sz w:val="24"/>
                <w:lang w:val="en-US" w:eastAsia="zh-CN"/>
              </w:rPr>
              <w:t>UHT杀菌机</w:t>
            </w:r>
            <w:r>
              <w:rPr>
                <w:rFonts w:hint="eastAsia" w:ascii="Times New Roman" w:hAnsi="Times New Roman" w:eastAsia="宋体" w:cs="宋体"/>
                <w:b w:val="0"/>
                <w:bCs w:val="0"/>
                <w:color w:val="auto"/>
                <w:sz w:val="24"/>
                <w:lang w:val="en-US" w:eastAsia="zh-CN"/>
              </w:rPr>
              <w:t>、</w:t>
            </w:r>
            <w:r>
              <w:rPr>
                <w:rFonts w:hint="eastAsia" w:ascii="Times New Roman" w:hAnsi="Times New Roman" w:cs="宋体"/>
                <w:b w:val="0"/>
                <w:bCs w:val="0"/>
                <w:color w:val="auto"/>
                <w:sz w:val="24"/>
                <w:lang w:val="en-US" w:eastAsia="zh-CN"/>
              </w:rPr>
              <w:t>洁净蒸汽系统</w:t>
            </w:r>
            <w:r>
              <w:rPr>
                <w:rFonts w:hint="eastAsia" w:ascii="Times New Roman" w:hAnsi="Times New Roman" w:eastAsia="宋体" w:cs="宋体"/>
                <w:b w:val="0"/>
                <w:bCs w:val="0"/>
                <w:color w:val="auto"/>
                <w:sz w:val="24"/>
                <w:lang w:val="en-US" w:eastAsia="zh-CN"/>
              </w:rPr>
              <w:t>、</w:t>
            </w:r>
            <w:r>
              <w:rPr>
                <w:rFonts w:hint="eastAsia" w:ascii="Times New Roman" w:hAnsi="Times New Roman" w:cs="宋体"/>
                <w:b w:val="0"/>
                <w:bCs w:val="0"/>
                <w:color w:val="auto"/>
                <w:sz w:val="24"/>
                <w:lang w:val="en-US" w:eastAsia="zh-CN"/>
              </w:rPr>
              <w:t>无菌水制备系统</w:t>
            </w:r>
            <w:r>
              <w:rPr>
                <w:rFonts w:hint="eastAsia" w:ascii="Times New Roman" w:hAnsi="Times New Roman" w:eastAsia="宋体" w:cs="宋体"/>
                <w:b w:val="0"/>
                <w:bCs w:val="0"/>
                <w:color w:val="auto"/>
                <w:sz w:val="24"/>
                <w:lang w:val="en-US" w:eastAsia="zh-CN"/>
              </w:rPr>
              <w:t>、</w:t>
            </w:r>
            <w:r>
              <w:rPr>
                <w:rFonts w:hint="eastAsia" w:ascii="Times New Roman" w:hAnsi="Times New Roman" w:cs="宋体"/>
                <w:b w:val="0"/>
                <w:bCs w:val="0"/>
                <w:color w:val="auto"/>
                <w:sz w:val="24"/>
                <w:lang w:val="en-US" w:eastAsia="zh-CN"/>
              </w:rPr>
              <w:t>CIP清洗系统、吹瓶机组、封盖机组、灌装机组、空压机、风机</w:t>
            </w:r>
            <w:r>
              <w:rPr>
                <w:rFonts w:hint="eastAsia" w:ascii="Times New Roman" w:hAnsi="Times New Roman" w:eastAsia="宋体" w:cs="宋体"/>
                <w:b w:val="0"/>
                <w:bCs w:val="0"/>
                <w:color w:val="auto"/>
                <w:sz w:val="24"/>
              </w:rPr>
              <w:t>等。</w:t>
            </w:r>
            <w:r>
              <w:rPr>
                <w:rFonts w:ascii="Times New Roman" w:hAnsi="Times New Roman" w:eastAsia="宋体" w:cs="宋体"/>
                <w:b w:val="0"/>
                <w:bCs w:val="0"/>
                <w:color w:val="auto"/>
                <w:sz w:val="24"/>
              </w:rPr>
              <w:t>根</w:t>
            </w:r>
            <w:r>
              <w:rPr>
                <w:rFonts w:ascii="Times New Roman" w:hAnsi="Times New Roman"/>
                <w:b w:val="0"/>
                <w:bCs w:val="0"/>
                <w:color w:val="auto"/>
                <w:sz w:val="24"/>
              </w:rPr>
              <w:t>据类比</w:t>
            </w:r>
            <w:r>
              <w:rPr>
                <w:rFonts w:hint="eastAsia" w:ascii="Times New Roman" w:hAnsi="Times New Roman"/>
                <w:b w:val="0"/>
                <w:bCs w:val="0"/>
                <w:color w:val="auto"/>
                <w:sz w:val="24"/>
              </w:rPr>
              <w:t>分析</w:t>
            </w:r>
            <w:r>
              <w:rPr>
                <w:rFonts w:ascii="Times New Roman" w:hAnsi="Times New Roman"/>
                <w:b w:val="0"/>
                <w:bCs w:val="0"/>
                <w:color w:val="auto"/>
                <w:sz w:val="24"/>
              </w:rPr>
              <w:t>，设备运行时</w:t>
            </w:r>
            <w:r>
              <w:rPr>
                <w:rFonts w:hint="eastAsia" w:ascii="Times New Roman" w:hAnsi="Times New Roman"/>
                <w:b w:val="0"/>
                <w:bCs w:val="0"/>
                <w:color w:val="auto"/>
                <w:sz w:val="24"/>
              </w:rPr>
              <w:t>机械</w:t>
            </w:r>
            <w:r>
              <w:rPr>
                <w:rFonts w:ascii="Times New Roman" w:hAnsi="Times New Roman"/>
                <w:b w:val="0"/>
                <w:bCs w:val="0"/>
                <w:color w:val="auto"/>
                <w:sz w:val="24"/>
              </w:rPr>
              <w:t>噪声值在</w:t>
            </w:r>
            <w:r>
              <w:rPr>
                <w:rFonts w:hint="eastAsia" w:ascii="Times New Roman" w:hAnsi="Times New Roman"/>
                <w:b w:val="0"/>
                <w:bCs w:val="0"/>
                <w:color w:val="auto"/>
                <w:sz w:val="24"/>
                <w:lang w:val="en-US" w:eastAsia="zh-CN"/>
              </w:rPr>
              <w:t>70</w:t>
            </w:r>
            <w:r>
              <w:rPr>
                <w:rFonts w:ascii="Times New Roman" w:hAnsi="Times New Roman"/>
                <w:b w:val="0"/>
                <w:bCs w:val="0"/>
                <w:color w:val="auto"/>
                <w:sz w:val="24"/>
              </w:rPr>
              <w:t>～</w:t>
            </w:r>
            <w:r>
              <w:rPr>
                <w:rFonts w:hint="eastAsia" w:ascii="Times New Roman" w:hAnsi="Times New Roman"/>
                <w:b w:val="0"/>
                <w:bCs w:val="0"/>
                <w:color w:val="auto"/>
                <w:sz w:val="24"/>
                <w:lang w:val="en-US" w:eastAsia="zh-CN"/>
              </w:rPr>
              <w:t>85</w:t>
            </w:r>
            <w:r>
              <w:rPr>
                <w:rFonts w:ascii="Times New Roman" w:hAnsi="Times New Roman"/>
                <w:b w:val="0"/>
                <w:bCs w:val="0"/>
                <w:color w:val="auto"/>
                <w:sz w:val="24"/>
              </w:rPr>
              <w:t>dB（A）之间。</w:t>
            </w:r>
            <w:r>
              <w:rPr>
                <w:rFonts w:hint="eastAsia" w:ascii="Times New Roman" w:hAnsi="Times New Roman"/>
                <w:b w:val="0"/>
                <w:bCs w:val="0"/>
                <w:snapToGrid w:val="0"/>
                <w:color w:val="auto"/>
                <w:sz w:val="24"/>
              </w:rPr>
              <w:t>本</w:t>
            </w:r>
            <w:r>
              <w:rPr>
                <w:rFonts w:ascii="Times New Roman" w:hAnsi="Times New Roman"/>
                <w:b w:val="0"/>
                <w:bCs w:val="0"/>
                <w:color w:val="auto"/>
                <w:sz w:val="24"/>
              </w:rPr>
              <w:t>项目主要设备噪声源强见</w:t>
            </w:r>
            <w:r>
              <w:rPr>
                <w:rFonts w:hint="eastAsia" w:ascii="Times New Roman" w:hAnsi="Times New Roman"/>
                <w:b w:val="0"/>
                <w:bCs w:val="0"/>
                <w:color w:val="auto"/>
                <w:sz w:val="24"/>
                <w:lang w:val="en-US" w:eastAsia="zh-CN"/>
              </w:rPr>
              <w:t>下</w:t>
            </w:r>
            <w:r>
              <w:rPr>
                <w:rFonts w:ascii="Times New Roman" w:hAnsi="Times New Roman"/>
                <w:b w:val="0"/>
                <w:bCs w:val="0"/>
                <w:color w:val="auto"/>
                <w:sz w:val="24"/>
              </w:rPr>
              <w:t>表</w:t>
            </w:r>
            <w:r>
              <w:rPr>
                <w:rFonts w:hint="eastAsia" w:ascii="Times New Roman" w:hAnsi="Times New Roman"/>
                <w:b w:val="0"/>
                <w:bCs w:val="0"/>
                <w:color w:val="auto"/>
                <w:sz w:val="24"/>
                <w:lang w:eastAsia="zh-CN"/>
              </w:rPr>
              <w:t>。</w:t>
            </w:r>
          </w:p>
        </w:tc>
      </w:tr>
    </w:tbl>
    <w:p w14:paraId="7703184A">
      <w:pPr>
        <w:adjustRightInd w:val="0"/>
        <w:snapToGrid w:val="0"/>
        <w:jc w:val="center"/>
        <w:rPr>
          <w:rFonts w:ascii="宋体" w:hAnsi="宋体" w:cs="宋体"/>
          <w:bCs/>
          <w:color w:val="auto"/>
          <w:szCs w:val="21"/>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0"/>
        <w:tblW w:w="1527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14717"/>
      </w:tblGrid>
      <w:tr w14:paraId="681493FD">
        <w:trPr>
          <w:trHeight w:val="7972" w:hRule="atLeast"/>
          <w:jc w:val="center"/>
        </w:trPr>
        <w:tc>
          <w:tcPr>
            <w:tcW w:w="562" w:type="dxa"/>
            <w:noWrap w:val="0"/>
            <w:vAlign w:val="center"/>
          </w:tcPr>
          <w:p w14:paraId="51B18766">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p>
        </w:tc>
        <w:tc>
          <w:tcPr>
            <w:tcW w:w="14717" w:type="dxa"/>
            <w:noWrap w:val="0"/>
            <w:vAlign w:val="top"/>
          </w:tcPr>
          <w:p w14:paraId="3ECEE30A">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0"/>
              <w:rPr>
                <w:rFonts w:hint="eastAsia" w:ascii="Times New Roman" w:hAnsi="Times New Roman" w:eastAsia="宋体"/>
                <w:b/>
                <w:bCs/>
                <w:color w:val="auto"/>
                <w:sz w:val="21"/>
                <w:szCs w:val="21"/>
                <w:lang w:val="en-US" w:eastAsia="zh-CN"/>
              </w:rPr>
            </w:pPr>
            <w:bookmarkStart w:id="2" w:name="_Toc6520"/>
            <w:bookmarkStart w:id="3" w:name="_Toc23824"/>
            <w:bookmarkStart w:id="4" w:name="_Toc5156"/>
            <w:r>
              <w:rPr>
                <w:rFonts w:hint="eastAsia" w:ascii="Times New Roman" w:hAnsi="Times New Roman" w:eastAsia="宋体"/>
                <w:b/>
                <w:bCs/>
                <w:color w:val="auto"/>
                <w:sz w:val="21"/>
                <w:szCs w:val="21"/>
                <w:lang w:val="en-US" w:eastAsia="zh-CN"/>
              </w:rPr>
              <w:t>表</w:t>
            </w:r>
            <w:r>
              <w:rPr>
                <w:rFonts w:hint="default" w:ascii="Times New Roman" w:hAnsi="Times New Roman" w:eastAsia="宋体"/>
                <w:b/>
                <w:bCs/>
                <w:color w:val="auto"/>
                <w:sz w:val="21"/>
                <w:szCs w:val="21"/>
              </w:rPr>
              <w:t>4-</w:t>
            </w:r>
            <w:r>
              <w:rPr>
                <w:rFonts w:hint="eastAsia" w:ascii="Times New Roman" w:hAnsi="Times New Roman"/>
                <w:b/>
                <w:bCs/>
                <w:color w:val="auto"/>
                <w:sz w:val="21"/>
                <w:szCs w:val="21"/>
                <w:lang w:val="en-US" w:eastAsia="zh-CN"/>
              </w:rPr>
              <w:t xml:space="preserve">19  </w:t>
            </w:r>
            <w:r>
              <w:rPr>
                <w:rFonts w:hint="eastAsia" w:ascii="Times New Roman" w:hAnsi="Times New Roman" w:eastAsia="宋体"/>
                <w:b/>
                <w:bCs/>
                <w:color w:val="auto"/>
                <w:sz w:val="21"/>
                <w:szCs w:val="21"/>
                <w:lang w:val="en-US" w:eastAsia="zh-CN"/>
              </w:rPr>
              <w:t>本项目主要噪声源源强调查清单（室外声源位dB（A））</w:t>
            </w:r>
            <w:bookmarkEnd w:id="2"/>
            <w:bookmarkEnd w:id="3"/>
            <w:bookmarkEnd w:id="4"/>
          </w:p>
          <w:tbl>
            <w:tblPr>
              <w:tblStyle w:val="21"/>
              <w:tblW w:w="14501"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9"/>
              <w:gridCol w:w="1965"/>
              <w:gridCol w:w="903"/>
              <w:gridCol w:w="818"/>
              <w:gridCol w:w="802"/>
              <w:gridCol w:w="3559"/>
              <w:gridCol w:w="1848"/>
              <w:gridCol w:w="2589"/>
              <w:gridCol w:w="1348"/>
            </w:tblGrid>
            <w:tr w14:paraId="6974B908">
              <w:trPr>
                <w:trHeight w:val="397" w:hRule="atLeast"/>
              </w:trPr>
              <w:tc>
                <w:tcPr>
                  <w:tcW w:w="669" w:type="dxa"/>
                  <w:vMerge w:val="restart"/>
                  <w:tcBorders>
                    <w:tl2br w:val="nil"/>
                    <w:tr2bl w:val="nil"/>
                  </w:tcBorders>
                  <w:vAlign w:val="center"/>
                </w:tcPr>
                <w:p w14:paraId="738D19ED">
                  <w:pPr>
                    <w:pStyle w:val="14"/>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auto"/>
                      <w:sz w:val="21"/>
                      <w:szCs w:val="21"/>
                      <w:vertAlign w:val="baseline"/>
                      <w:lang w:val="en-US" w:eastAsia="zh-CN"/>
                    </w:rPr>
                  </w:pPr>
                  <w:bookmarkStart w:id="5" w:name="_Toc18909"/>
                  <w:bookmarkStart w:id="6" w:name="_Toc23752"/>
                  <w:bookmarkStart w:id="7" w:name="_Toc23349"/>
                  <w:r>
                    <w:rPr>
                      <w:rFonts w:hint="eastAsia" w:ascii="Times New Roman" w:hAnsi="Times New Roman" w:eastAsia="宋体" w:cs="Times New Roman"/>
                      <w:b w:val="0"/>
                      <w:bCs/>
                      <w:color w:val="auto"/>
                      <w:sz w:val="21"/>
                      <w:szCs w:val="21"/>
                      <w:vertAlign w:val="baseline"/>
                      <w:lang w:val="en-US" w:eastAsia="zh-CN"/>
                    </w:rPr>
                    <w:t>序号</w:t>
                  </w:r>
                  <w:bookmarkEnd w:id="5"/>
                  <w:bookmarkEnd w:id="6"/>
                  <w:bookmarkEnd w:id="7"/>
                </w:p>
              </w:tc>
              <w:tc>
                <w:tcPr>
                  <w:tcW w:w="1965" w:type="dxa"/>
                  <w:vMerge w:val="restart"/>
                  <w:tcBorders>
                    <w:tl2br w:val="nil"/>
                    <w:tr2bl w:val="nil"/>
                  </w:tcBorders>
                  <w:vAlign w:val="center"/>
                </w:tcPr>
                <w:p w14:paraId="7D71828E">
                  <w:pPr>
                    <w:pStyle w:val="14"/>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auto"/>
                      <w:sz w:val="21"/>
                      <w:szCs w:val="21"/>
                      <w:vertAlign w:val="baseline"/>
                      <w:lang w:val="en-US" w:eastAsia="zh-CN"/>
                    </w:rPr>
                  </w:pPr>
                  <w:bookmarkStart w:id="8" w:name="_Toc19701"/>
                  <w:bookmarkStart w:id="9" w:name="_Toc1913"/>
                  <w:bookmarkStart w:id="10" w:name="_Toc11879"/>
                  <w:r>
                    <w:rPr>
                      <w:rFonts w:hint="eastAsia" w:ascii="Times New Roman" w:hAnsi="Times New Roman" w:eastAsia="宋体" w:cs="Times New Roman"/>
                      <w:b w:val="0"/>
                      <w:bCs/>
                      <w:color w:val="auto"/>
                      <w:sz w:val="21"/>
                      <w:szCs w:val="21"/>
                      <w:vertAlign w:val="baseline"/>
                      <w:lang w:val="en-US" w:eastAsia="zh-CN"/>
                    </w:rPr>
                    <w:t>声源名称</w:t>
                  </w:r>
                  <w:bookmarkEnd w:id="8"/>
                  <w:bookmarkEnd w:id="9"/>
                  <w:bookmarkEnd w:id="10"/>
                </w:p>
              </w:tc>
              <w:tc>
                <w:tcPr>
                  <w:tcW w:w="2523" w:type="dxa"/>
                  <w:gridSpan w:val="3"/>
                  <w:tcBorders>
                    <w:tl2br w:val="nil"/>
                    <w:tr2bl w:val="nil"/>
                  </w:tcBorders>
                  <w:vAlign w:val="center"/>
                </w:tcPr>
                <w:p w14:paraId="0CD4EFB7">
                  <w:pPr>
                    <w:pStyle w:val="14"/>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auto"/>
                      <w:sz w:val="21"/>
                      <w:szCs w:val="21"/>
                      <w:vertAlign w:val="baseline"/>
                      <w:lang w:val="en-US" w:eastAsia="zh-CN"/>
                    </w:rPr>
                  </w:pPr>
                  <w:bookmarkStart w:id="11" w:name="_Toc9399"/>
                  <w:bookmarkStart w:id="12" w:name="_Toc30662"/>
                  <w:bookmarkStart w:id="13" w:name="_Toc10985"/>
                  <w:r>
                    <w:rPr>
                      <w:rFonts w:hint="eastAsia" w:ascii="Times New Roman" w:hAnsi="Times New Roman" w:eastAsia="宋体" w:cs="Times New Roman"/>
                      <w:b w:val="0"/>
                      <w:bCs/>
                      <w:color w:val="auto"/>
                      <w:sz w:val="21"/>
                      <w:szCs w:val="21"/>
                      <w:vertAlign w:val="baseline"/>
                      <w:lang w:val="en-US" w:eastAsia="zh-CN"/>
                    </w:rPr>
                    <w:t>空间相对位置</w:t>
                  </w:r>
                  <w:bookmarkEnd w:id="11"/>
                  <w:bookmarkEnd w:id="12"/>
                  <w:bookmarkEnd w:id="13"/>
                </w:p>
              </w:tc>
              <w:tc>
                <w:tcPr>
                  <w:tcW w:w="5407" w:type="dxa"/>
                  <w:gridSpan w:val="2"/>
                  <w:tcBorders>
                    <w:tl2br w:val="nil"/>
                    <w:tr2bl w:val="nil"/>
                  </w:tcBorders>
                  <w:vAlign w:val="center"/>
                </w:tcPr>
                <w:p w14:paraId="1E81BE45">
                  <w:pPr>
                    <w:pStyle w:val="14"/>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auto"/>
                      <w:sz w:val="21"/>
                      <w:szCs w:val="21"/>
                      <w:vertAlign w:val="baseline"/>
                      <w:lang w:val="en-US" w:eastAsia="zh-CN"/>
                    </w:rPr>
                  </w:pPr>
                  <w:bookmarkStart w:id="14" w:name="_Toc30258"/>
                  <w:bookmarkStart w:id="15" w:name="_Toc18487"/>
                  <w:bookmarkStart w:id="16" w:name="_Toc13194"/>
                  <w:r>
                    <w:rPr>
                      <w:rFonts w:hint="eastAsia" w:ascii="Times New Roman" w:hAnsi="Times New Roman" w:eastAsia="宋体" w:cs="Times New Roman"/>
                      <w:b w:val="0"/>
                      <w:bCs/>
                      <w:color w:val="auto"/>
                      <w:sz w:val="21"/>
                      <w:szCs w:val="21"/>
                      <w:vertAlign w:val="baseline"/>
                      <w:lang w:val="en-US" w:eastAsia="zh-CN"/>
                    </w:rPr>
                    <w:t>声源源强</w:t>
                  </w:r>
                  <w:bookmarkEnd w:id="14"/>
                  <w:bookmarkEnd w:id="15"/>
                  <w:bookmarkEnd w:id="16"/>
                </w:p>
              </w:tc>
              <w:tc>
                <w:tcPr>
                  <w:tcW w:w="2589" w:type="dxa"/>
                  <w:vMerge w:val="restart"/>
                  <w:tcBorders>
                    <w:tl2br w:val="nil"/>
                    <w:tr2bl w:val="nil"/>
                  </w:tcBorders>
                  <w:vAlign w:val="center"/>
                </w:tcPr>
                <w:p w14:paraId="69286FBB">
                  <w:pPr>
                    <w:pStyle w:val="14"/>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auto"/>
                      <w:sz w:val="21"/>
                      <w:szCs w:val="21"/>
                      <w:vertAlign w:val="baseline"/>
                      <w:lang w:val="en-US" w:eastAsia="zh-CN"/>
                    </w:rPr>
                  </w:pPr>
                  <w:bookmarkStart w:id="17" w:name="_Toc23722"/>
                  <w:bookmarkStart w:id="18" w:name="_Toc11609"/>
                  <w:bookmarkStart w:id="19" w:name="_Toc21276"/>
                  <w:r>
                    <w:rPr>
                      <w:rFonts w:hint="eastAsia" w:ascii="Times New Roman" w:hAnsi="Times New Roman" w:eastAsia="宋体" w:cs="Times New Roman"/>
                      <w:b w:val="0"/>
                      <w:bCs/>
                      <w:color w:val="auto"/>
                      <w:sz w:val="21"/>
                      <w:szCs w:val="21"/>
                      <w:vertAlign w:val="baseline"/>
                      <w:lang w:val="en-US" w:eastAsia="zh-CN"/>
                    </w:rPr>
                    <w:t>声源控制措施</w:t>
                  </w:r>
                  <w:bookmarkEnd w:id="17"/>
                  <w:bookmarkEnd w:id="18"/>
                  <w:bookmarkEnd w:id="19"/>
                </w:p>
              </w:tc>
              <w:tc>
                <w:tcPr>
                  <w:tcW w:w="1348" w:type="dxa"/>
                  <w:vMerge w:val="restart"/>
                  <w:tcBorders>
                    <w:tl2br w:val="nil"/>
                    <w:tr2bl w:val="nil"/>
                  </w:tcBorders>
                  <w:vAlign w:val="center"/>
                </w:tcPr>
                <w:p w14:paraId="122A6A06">
                  <w:pPr>
                    <w:pStyle w:val="14"/>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auto"/>
                      <w:sz w:val="21"/>
                      <w:szCs w:val="21"/>
                      <w:vertAlign w:val="baseline"/>
                      <w:lang w:val="en-US" w:eastAsia="zh-CN"/>
                    </w:rPr>
                  </w:pPr>
                  <w:bookmarkStart w:id="20" w:name="_Toc32582"/>
                  <w:bookmarkStart w:id="21" w:name="_Toc25775"/>
                  <w:bookmarkStart w:id="22" w:name="_Toc15489"/>
                  <w:r>
                    <w:rPr>
                      <w:rFonts w:hint="eastAsia" w:ascii="Times New Roman" w:hAnsi="Times New Roman" w:eastAsia="宋体" w:cs="Times New Roman"/>
                      <w:b w:val="0"/>
                      <w:bCs/>
                      <w:color w:val="auto"/>
                      <w:sz w:val="21"/>
                      <w:szCs w:val="21"/>
                      <w:vertAlign w:val="baseline"/>
                      <w:lang w:val="en-US" w:eastAsia="zh-CN"/>
                    </w:rPr>
                    <w:t>运行时段</w:t>
                  </w:r>
                  <w:bookmarkEnd w:id="20"/>
                  <w:bookmarkEnd w:id="21"/>
                  <w:bookmarkEnd w:id="22"/>
                </w:p>
              </w:tc>
            </w:tr>
            <w:tr w14:paraId="589FBA2C">
              <w:trPr>
                <w:trHeight w:val="397" w:hRule="atLeast"/>
              </w:trPr>
              <w:tc>
                <w:tcPr>
                  <w:tcW w:w="669" w:type="dxa"/>
                  <w:vMerge w:val="continue"/>
                  <w:tcBorders>
                    <w:tl2br w:val="nil"/>
                    <w:tr2bl w:val="nil"/>
                  </w:tcBorders>
                  <w:vAlign w:val="center"/>
                </w:tcPr>
                <w:p w14:paraId="2B41B2F3">
                  <w:pPr>
                    <w:pStyle w:val="14"/>
                    <w:keepNext w:val="0"/>
                    <w:keepLines w:val="0"/>
                    <w:suppressLineNumbers w:val="0"/>
                    <w:spacing w:before="0" w:beforeAutospacing="0" w:after="0" w:afterAutospacing="0" w:line="240" w:lineRule="auto"/>
                    <w:ind w:right="0"/>
                    <w:jc w:val="center"/>
                    <w:outlineLvl w:val="9"/>
                    <w:rPr>
                      <w:rFonts w:hint="default" w:ascii="Times New Roman" w:hAnsi="Times New Roman" w:eastAsia="宋体" w:cs="Times New Roman"/>
                      <w:b w:val="0"/>
                      <w:bCs/>
                      <w:color w:val="auto"/>
                      <w:sz w:val="21"/>
                      <w:szCs w:val="21"/>
                      <w:vertAlign w:val="baseline"/>
                      <w:lang w:val="en-US" w:eastAsia="zh-CN"/>
                    </w:rPr>
                  </w:pPr>
                </w:p>
              </w:tc>
              <w:tc>
                <w:tcPr>
                  <w:tcW w:w="1965" w:type="dxa"/>
                  <w:vMerge w:val="continue"/>
                  <w:tcBorders>
                    <w:tl2br w:val="nil"/>
                    <w:tr2bl w:val="nil"/>
                  </w:tcBorders>
                  <w:vAlign w:val="center"/>
                </w:tcPr>
                <w:p w14:paraId="1239E119">
                  <w:pPr>
                    <w:pStyle w:val="14"/>
                    <w:keepNext w:val="0"/>
                    <w:keepLines w:val="0"/>
                    <w:suppressLineNumbers w:val="0"/>
                    <w:spacing w:before="0" w:beforeAutospacing="0" w:after="0" w:afterAutospacing="0" w:line="240" w:lineRule="auto"/>
                    <w:ind w:right="0"/>
                    <w:jc w:val="center"/>
                    <w:outlineLvl w:val="9"/>
                    <w:rPr>
                      <w:rFonts w:hint="default" w:ascii="Times New Roman" w:hAnsi="Times New Roman" w:eastAsia="宋体" w:cs="Times New Roman"/>
                      <w:b w:val="0"/>
                      <w:bCs/>
                      <w:color w:val="auto"/>
                      <w:sz w:val="21"/>
                      <w:szCs w:val="21"/>
                      <w:vertAlign w:val="baseline"/>
                      <w:lang w:val="en-US" w:eastAsia="zh-CN"/>
                    </w:rPr>
                  </w:pPr>
                </w:p>
              </w:tc>
              <w:tc>
                <w:tcPr>
                  <w:tcW w:w="903" w:type="dxa"/>
                  <w:tcBorders>
                    <w:tl2br w:val="nil"/>
                    <w:tr2bl w:val="nil"/>
                  </w:tcBorders>
                  <w:vAlign w:val="center"/>
                </w:tcPr>
                <w:p w14:paraId="4A15CE48">
                  <w:pPr>
                    <w:pStyle w:val="14"/>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auto"/>
                      <w:sz w:val="21"/>
                      <w:szCs w:val="21"/>
                      <w:vertAlign w:val="baseline"/>
                      <w:lang w:val="en-US" w:eastAsia="zh-CN"/>
                    </w:rPr>
                  </w:pPr>
                  <w:bookmarkStart w:id="23" w:name="_Toc14452"/>
                  <w:bookmarkStart w:id="24" w:name="_Toc29917"/>
                  <w:bookmarkStart w:id="25" w:name="_Toc2713"/>
                  <w:r>
                    <w:rPr>
                      <w:rFonts w:hint="eastAsia" w:ascii="Times New Roman" w:hAnsi="Times New Roman" w:eastAsia="宋体" w:cs="Times New Roman"/>
                      <w:b w:val="0"/>
                      <w:bCs/>
                      <w:color w:val="auto"/>
                      <w:sz w:val="21"/>
                      <w:szCs w:val="21"/>
                      <w:vertAlign w:val="baseline"/>
                      <w:lang w:val="en-US" w:eastAsia="zh-CN"/>
                    </w:rPr>
                    <w:t>X</w:t>
                  </w:r>
                  <w:bookmarkEnd w:id="23"/>
                  <w:bookmarkEnd w:id="24"/>
                  <w:bookmarkEnd w:id="25"/>
                </w:p>
              </w:tc>
              <w:tc>
                <w:tcPr>
                  <w:tcW w:w="818" w:type="dxa"/>
                  <w:tcBorders>
                    <w:tl2br w:val="nil"/>
                    <w:tr2bl w:val="nil"/>
                  </w:tcBorders>
                  <w:vAlign w:val="center"/>
                </w:tcPr>
                <w:p w14:paraId="38C3CB9B">
                  <w:pPr>
                    <w:pStyle w:val="14"/>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auto"/>
                      <w:sz w:val="21"/>
                      <w:szCs w:val="21"/>
                      <w:vertAlign w:val="baseline"/>
                      <w:lang w:val="en-US" w:eastAsia="zh-CN"/>
                    </w:rPr>
                  </w:pPr>
                  <w:bookmarkStart w:id="26" w:name="_Toc1494"/>
                  <w:bookmarkStart w:id="27" w:name="_Toc8555"/>
                  <w:bookmarkStart w:id="28" w:name="_Toc5554"/>
                  <w:r>
                    <w:rPr>
                      <w:rFonts w:hint="eastAsia" w:ascii="Times New Roman" w:hAnsi="Times New Roman" w:eastAsia="宋体" w:cs="Times New Roman"/>
                      <w:b w:val="0"/>
                      <w:bCs/>
                      <w:color w:val="auto"/>
                      <w:sz w:val="21"/>
                      <w:szCs w:val="21"/>
                      <w:vertAlign w:val="baseline"/>
                      <w:lang w:val="en-US" w:eastAsia="zh-CN"/>
                    </w:rPr>
                    <w:t>Y</w:t>
                  </w:r>
                  <w:bookmarkEnd w:id="26"/>
                  <w:bookmarkEnd w:id="27"/>
                  <w:bookmarkEnd w:id="28"/>
                </w:p>
              </w:tc>
              <w:tc>
                <w:tcPr>
                  <w:tcW w:w="802" w:type="dxa"/>
                  <w:tcBorders>
                    <w:tl2br w:val="nil"/>
                    <w:tr2bl w:val="nil"/>
                  </w:tcBorders>
                  <w:vAlign w:val="center"/>
                </w:tcPr>
                <w:p w14:paraId="5C7025F1">
                  <w:pPr>
                    <w:pStyle w:val="14"/>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auto"/>
                      <w:sz w:val="21"/>
                      <w:szCs w:val="21"/>
                      <w:vertAlign w:val="baseline"/>
                      <w:lang w:val="en-US" w:eastAsia="zh-CN"/>
                    </w:rPr>
                  </w:pPr>
                  <w:bookmarkStart w:id="29" w:name="_Toc9047"/>
                  <w:bookmarkStart w:id="30" w:name="_Toc24337"/>
                  <w:bookmarkStart w:id="31" w:name="_Toc14806"/>
                  <w:r>
                    <w:rPr>
                      <w:rFonts w:hint="eastAsia" w:ascii="Times New Roman" w:hAnsi="Times New Roman" w:eastAsia="宋体" w:cs="Times New Roman"/>
                      <w:b w:val="0"/>
                      <w:bCs/>
                      <w:color w:val="auto"/>
                      <w:sz w:val="21"/>
                      <w:szCs w:val="21"/>
                      <w:vertAlign w:val="baseline"/>
                      <w:lang w:val="en-US" w:eastAsia="zh-CN"/>
                    </w:rPr>
                    <w:t>Z</w:t>
                  </w:r>
                  <w:bookmarkEnd w:id="29"/>
                  <w:bookmarkEnd w:id="30"/>
                  <w:bookmarkEnd w:id="31"/>
                </w:p>
              </w:tc>
              <w:tc>
                <w:tcPr>
                  <w:tcW w:w="3559" w:type="dxa"/>
                  <w:tcBorders>
                    <w:tl2br w:val="nil"/>
                    <w:tr2bl w:val="nil"/>
                  </w:tcBorders>
                  <w:vAlign w:val="center"/>
                </w:tcPr>
                <w:p w14:paraId="532BD92F">
                  <w:pPr>
                    <w:pStyle w:val="14"/>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auto"/>
                      <w:sz w:val="21"/>
                      <w:szCs w:val="21"/>
                      <w:vertAlign w:val="baseline"/>
                      <w:lang w:val="en-US" w:eastAsia="zh-CN"/>
                    </w:rPr>
                  </w:pPr>
                  <w:bookmarkStart w:id="32" w:name="_Toc2853"/>
                  <w:bookmarkStart w:id="33" w:name="_Toc31075"/>
                  <w:bookmarkStart w:id="34" w:name="_Toc31985"/>
                  <w:r>
                    <w:rPr>
                      <w:rFonts w:hint="default" w:ascii="Times New Roman" w:hAnsi="Times New Roman" w:eastAsia="宋体" w:cs="Times New Roman"/>
                      <w:b w:val="0"/>
                      <w:bCs/>
                      <w:color w:val="auto"/>
                      <w:sz w:val="21"/>
                      <w:szCs w:val="21"/>
                      <w:vertAlign w:val="baseline"/>
                      <w:lang w:val="en-US" w:eastAsia="zh-CN"/>
                    </w:rPr>
                    <w:t>（声压级/距声源距离）/dB(A)/m）</w:t>
                  </w:r>
                  <w:bookmarkEnd w:id="32"/>
                  <w:bookmarkEnd w:id="33"/>
                  <w:bookmarkEnd w:id="34"/>
                </w:p>
              </w:tc>
              <w:tc>
                <w:tcPr>
                  <w:tcW w:w="1848" w:type="dxa"/>
                  <w:tcBorders>
                    <w:tl2br w:val="nil"/>
                    <w:tr2bl w:val="nil"/>
                  </w:tcBorders>
                  <w:vAlign w:val="center"/>
                </w:tcPr>
                <w:p w14:paraId="5E166BC2">
                  <w:pPr>
                    <w:pStyle w:val="14"/>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auto"/>
                      <w:sz w:val="21"/>
                      <w:szCs w:val="21"/>
                      <w:vertAlign w:val="baseline"/>
                      <w:lang w:val="en-US" w:eastAsia="zh-CN"/>
                    </w:rPr>
                  </w:pPr>
                  <w:bookmarkStart w:id="35" w:name="_Toc15863"/>
                  <w:bookmarkStart w:id="36" w:name="_Toc7565"/>
                  <w:bookmarkStart w:id="37" w:name="_Toc518"/>
                  <w:r>
                    <w:rPr>
                      <w:rFonts w:hint="default" w:ascii="Times New Roman" w:hAnsi="Times New Roman" w:eastAsia="宋体" w:cs="Times New Roman"/>
                      <w:b w:val="0"/>
                      <w:bCs/>
                      <w:color w:val="auto"/>
                      <w:sz w:val="21"/>
                      <w:szCs w:val="21"/>
                      <w:vertAlign w:val="baseline"/>
                      <w:lang w:val="en-US" w:eastAsia="zh-CN"/>
                    </w:rPr>
                    <w:t>声功率级/dB(A)</w:t>
                  </w:r>
                  <w:bookmarkEnd w:id="35"/>
                  <w:bookmarkEnd w:id="36"/>
                  <w:bookmarkEnd w:id="37"/>
                </w:p>
              </w:tc>
              <w:tc>
                <w:tcPr>
                  <w:tcW w:w="2589" w:type="dxa"/>
                  <w:vMerge w:val="continue"/>
                  <w:tcBorders>
                    <w:tl2br w:val="nil"/>
                    <w:tr2bl w:val="nil"/>
                  </w:tcBorders>
                  <w:vAlign w:val="center"/>
                </w:tcPr>
                <w:p w14:paraId="584CD43B">
                  <w:pPr>
                    <w:pStyle w:val="14"/>
                    <w:keepNext w:val="0"/>
                    <w:keepLines w:val="0"/>
                    <w:suppressLineNumbers w:val="0"/>
                    <w:spacing w:before="0" w:beforeAutospacing="0" w:after="0" w:afterAutospacing="0" w:line="240" w:lineRule="auto"/>
                    <w:ind w:right="0"/>
                    <w:jc w:val="center"/>
                    <w:outlineLvl w:val="9"/>
                    <w:rPr>
                      <w:rFonts w:hint="default" w:ascii="Times New Roman" w:hAnsi="Times New Roman" w:eastAsia="宋体" w:cs="Times New Roman"/>
                      <w:b w:val="0"/>
                      <w:bCs/>
                      <w:color w:val="auto"/>
                      <w:sz w:val="21"/>
                      <w:szCs w:val="21"/>
                      <w:vertAlign w:val="baseline"/>
                      <w:lang w:val="en-US" w:eastAsia="zh-CN"/>
                    </w:rPr>
                  </w:pPr>
                </w:p>
              </w:tc>
              <w:tc>
                <w:tcPr>
                  <w:tcW w:w="1348" w:type="dxa"/>
                  <w:vMerge w:val="continue"/>
                  <w:tcBorders>
                    <w:tl2br w:val="nil"/>
                    <w:tr2bl w:val="nil"/>
                  </w:tcBorders>
                  <w:vAlign w:val="center"/>
                </w:tcPr>
                <w:p w14:paraId="1B537741">
                  <w:pPr>
                    <w:pStyle w:val="14"/>
                    <w:keepNext w:val="0"/>
                    <w:keepLines w:val="0"/>
                    <w:suppressLineNumbers w:val="0"/>
                    <w:spacing w:before="0" w:beforeAutospacing="0" w:after="0" w:afterAutospacing="0" w:line="240" w:lineRule="auto"/>
                    <w:ind w:right="0"/>
                    <w:jc w:val="center"/>
                    <w:outlineLvl w:val="9"/>
                    <w:rPr>
                      <w:rFonts w:hint="default" w:ascii="Times New Roman" w:hAnsi="Times New Roman" w:eastAsia="宋体" w:cs="Times New Roman"/>
                      <w:b w:val="0"/>
                      <w:bCs/>
                      <w:color w:val="auto"/>
                      <w:sz w:val="21"/>
                      <w:szCs w:val="21"/>
                      <w:vertAlign w:val="baseline"/>
                      <w:lang w:val="en-US" w:eastAsia="zh-CN"/>
                    </w:rPr>
                  </w:pPr>
                </w:p>
              </w:tc>
            </w:tr>
            <w:tr w14:paraId="3861A89C">
              <w:trPr>
                <w:trHeight w:val="397" w:hRule="atLeast"/>
              </w:trPr>
              <w:tc>
                <w:tcPr>
                  <w:tcW w:w="669" w:type="dxa"/>
                  <w:tcBorders>
                    <w:tl2br w:val="nil"/>
                    <w:tr2bl w:val="nil"/>
                  </w:tcBorders>
                  <w:vAlign w:val="center"/>
                </w:tcPr>
                <w:p w14:paraId="053F3E42">
                  <w:pPr>
                    <w:pStyle w:val="14"/>
                    <w:keepNext w:val="0"/>
                    <w:keepLines w:val="0"/>
                    <w:numPr>
                      <w:ilvl w:val="0"/>
                      <w:numId w:val="24"/>
                    </w:numPr>
                    <w:suppressLineNumbers w:val="0"/>
                    <w:spacing w:before="0" w:beforeAutospacing="0" w:after="0" w:afterAutospacing="0" w:line="240" w:lineRule="auto"/>
                    <w:ind w:left="0" w:leftChars="0" w:right="0" w:firstLine="0" w:firstLineChars="0"/>
                    <w:jc w:val="center"/>
                    <w:outlineLvl w:val="0"/>
                    <w:rPr>
                      <w:rFonts w:hint="default" w:ascii="Times New Roman" w:hAnsi="Times New Roman" w:eastAsia="宋体" w:cs="Times New Roman"/>
                      <w:b w:val="0"/>
                      <w:bCs/>
                      <w:color w:val="auto"/>
                      <w:sz w:val="21"/>
                      <w:szCs w:val="21"/>
                      <w:vertAlign w:val="baseline"/>
                      <w:lang w:val="en-US" w:eastAsia="zh-CN"/>
                    </w:rPr>
                  </w:pPr>
                  <w:bookmarkStart w:id="38" w:name="_Toc23779"/>
                  <w:bookmarkStart w:id="39" w:name="_Toc5852"/>
                  <w:bookmarkStart w:id="40" w:name="_Toc25492"/>
                </w:p>
              </w:tc>
              <w:tc>
                <w:tcPr>
                  <w:tcW w:w="1965" w:type="dxa"/>
                  <w:tcBorders>
                    <w:tl2br w:val="nil"/>
                    <w:tr2bl w:val="nil"/>
                  </w:tcBorders>
                  <w:vAlign w:val="center"/>
                </w:tcPr>
                <w:p w14:paraId="20F7BF4F">
                  <w:pPr>
                    <w:jc w:val="center"/>
                    <w:rPr>
                      <w:rFonts w:hint="eastAsia" w:ascii="Times New Roman" w:hAnsi="Times New Roman" w:eastAsia="宋体" w:cs="Times New Roman"/>
                      <w:b w:val="0"/>
                      <w:bCs/>
                      <w:color w:val="auto"/>
                      <w:sz w:val="21"/>
                      <w:szCs w:val="21"/>
                      <w:vertAlign w:val="baseline"/>
                      <w:lang w:val="en-US" w:eastAsia="zh-CN"/>
                    </w:rPr>
                  </w:pPr>
                  <w:r>
                    <w:rPr>
                      <w:rFonts w:ascii="Times New Roman" w:hAnsi="Times New Roman" w:eastAsia="宋体" w:cs="Arial"/>
                      <w:color w:val="auto"/>
                      <w:sz w:val="21"/>
                    </w:rPr>
                    <w:t>风机</w:t>
                  </w:r>
                  <w:r>
                    <w:rPr>
                      <w:rFonts w:hint="eastAsia" w:cs="Arial"/>
                      <w:color w:val="auto"/>
                      <w:sz w:val="21"/>
                      <w:lang w:val="en-US" w:eastAsia="zh-CN"/>
                    </w:rPr>
                    <w:t>1</w:t>
                  </w:r>
                </w:p>
              </w:tc>
              <w:tc>
                <w:tcPr>
                  <w:tcW w:w="903" w:type="dxa"/>
                  <w:tcBorders>
                    <w:tl2br w:val="nil"/>
                    <w:tr2bl w:val="nil"/>
                  </w:tcBorders>
                  <w:vAlign w:val="center"/>
                </w:tcPr>
                <w:p w14:paraId="31C561E2">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36</w:t>
                  </w:r>
                </w:p>
              </w:tc>
              <w:tc>
                <w:tcPr>
                  <w:tcW w:w="818" w:type="dxa"/>
                  <w:tcBorders>
                    <w:tl2br w:val="nil"/>
                    <w:tr2bl w:val="nil"/>
                  </w:tcBorders>
                  <w:vAlign w:val="center"/>
                </w:tcPr>
                <w:p w14:paraId="76F414E6">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83.5</w:t>
                  </w:r>
                </w:p>
              </w:tc>
              <w:tc>
                <w:tcPr>
                  <w:tcW w:w="802" w:type="dxa"/>
                  <w:tcBorders>
                    <w:tl2br w:val="nil"/>
                    <w:tr2bl w:val="nil"/>
                  </w:tcBorders>
                  <w:vAlign w:val="center"/>
                </w:tcPr>
                <w:p w14:paraId="5D0FCB38">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1.2</w:t>
                  </w:r>
                </w:p>
              </w:tc>
              <w:tc>
                <w:tcPr>
                  <w:tcW w:w="3559" w:type="dxa"/>
                  <w:tcBorders>
                    <w:tl2br w:val="nil"/>
                    <w:tr2bl w:val="nil"/>
                  </w:tcBorders>
                  <w:vAlign w:val="center"/>
                </w:tcPr>
                <w:p w14:paraId="2ECC084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848" w:type="dxa"/>
                  <w:tcBorders>
                    <w:tl2br w:val="nil"/>
                    <w:tr2bl w:val="nil"/>
                  </w:tcBorders>
                  <w:vAlign w:val="center"/>
                </w:tcPr>
                <w:p w14:paraId="15D32A99">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85</w:t>
                  </w:r>
                </w:p>
              </w:tc>
              <w:tc>
                <w:tcPr>
                  <w:tcW w:w="2589" w:type="dxa"/>
                  <w:tcBorders>
                    <w:tl2br w:val="nil"/>
                    <w:tr2bl w:val="nil"/>
                  </w:tcBorders>
                  <w:vAlign w:val="center"/>
                </w:tcPr>
                <w:p w14:paraId="24DDE8F9">
                  <w:pPr>
                    <w:keepNext w:val="0"/>
                    <w:keepLines w:val="0"/>
                    <w:suppressLineNumbers w:val="0"/>
                    <w:spacing w:before="0" w:beforeAutospacing="0" w:after="0" w:afterAutospacing="0" w:line="240" w:lineRule="auto"/>
                    <w:ind w:right="0"/>
                    <w:jc w:val="center"/>
                    <w:outlineLvl w:val="0"/>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隔声罩，削减20dB（A）</w:t>
                  </w:r>
                </w:p>
              </w:tc>
              <w:tc>
                <w:tcPr>
                  <w:tcW w:w="1348" w:type="dxa"/>
                  <w:vMerge w:val="restart"/>
                  <w:tcBorders>
                    <w:tl2br w:val="nil"/>
                    <w:tr2bl w:val="nil"/>
                  </w:tcBorders>
                  <w:vAlign w:val="center"/>
                </w:tcPr>
                <w:p w14:paraId="62AC80E4">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8:00-</w:t>
                  </w:r>
                  <w:r>
                    <w:rPr>
                      <w:rFonts w:hint="eastAsia" w:cs="Times New Roman"/>
                      <w:color w:val="auto"/>
                      <w:sz w:val="21"/>
                      <w:szCs w:val="21"/>
                      <w:lang w:val="en-US" w:eastAsia="zh-CN"/>
                    </w:rPr>
                    <w:t>20</w:t>
                  </w:r>
                  <w:r>
                    <w:rPr>
                      <w:rFonts w:hint="eastAsia" w:ascii="Times New Roman" w:hAnsi="Times New Roman" w:cs="Times New Roman"/>
                      <w:color w:val="auto"/>
                      <w:sz w:val="21"/>
                      <w:szCs w:val="21"/>
                      <w:lang w:val="en-US" w:eastAsia="zh-CN"/>
                    </w:rPr>
                    <w:t>:00</w:t>
                  </w:r>
                  <w:r>
                    <w:rPr>
                      <w:rFonts w:hint="eastAsia" w:cs="Times New Roman"/>
                      <w:color w:val="auto"/>
                      <w:sz w:val="21"/>
                      <w:szCs w:val="21"/>
                      <w:lang w:val="en-US" w:eastAsia="zh-CN"/>
                    </w:rPr>
                    <w:t>,</w:t>
                  </w:r>
                </w:p>
                <w:p w14:paraId="1ED40BD8">
                  <w:pPr>
                    <w:pStyle w:val="14"/>
                    <w:keepNext w:val="0"/>
                    <w:keepLines w:val="0"/>
                    <w:suppressLineNumbers w:val="0"/>
                    <w:spacing w:before="0" w:beforeAutospacing="0" w:after="0" w:afterAutospacing="0" w:line="240" w:lineRule="auto"/>
                    <w:ind w:right="0" w:rightChars="0"/>
                    <w:jc w:val="center"/>
                    <w:outlineLvl w:val="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20:00-8:00</w:t>
                  </w:r>
                </w:p>
              </w:tc>
            </w:tr>
            <w:tr w14:paraId="6B00C724">
              <w:trPr>
                <w:trHeight w:val="397" w:hRule="atLeast"/>
              </w:trPr>
              <w:tc>
                <w:tcPr>
                  <w:tcW w:w="669" w:type="dxa"/>
                  <w:tcBorders>
                    <w:tl2br w:val="nil"/>
                    <w:tr2bl w:val="nil"/>
                  </w:tcBorders>
                  <w:vAlign w:val="center"/>
                </w:tcPr>
                <w:p w14:paraId="61074FB5">
                  <w:pPr>
                    <w:pStyle w:val="14"/>
                    <w:keepNext w:val="0"/>
                    <w:keepLines w:val="0"/>
                    <w:numPr>
                      <w:ilvl w:val="0"/>
                      <w:numId w:val="24"/>
                    </w:numPr>
                    <w:suppressLineNumbers w:val="0"/>
                    <w:spacing w:before="0" w:beforeAutospacing="0" w:after="0" w:afterAutospacing="0" w:line="240" w:lineRule="auto"/>
                    <w:ind w:left="0" w:leftChars="0" w:right="0" w:firstLine="0" w:firstLineChars="0"/>
                    <w:jc w:val="center"/>
                    <w:outlineLvl w:val="0"/>
                    <w:rPr>
                      <w:rFonts w:hint="default" w:ascii="Times New Roman" w:hAnsi="Times New Roman" w:eastAsia="宋体" w:cs="Times New Roman"/>
                      <w:b w:val="0"/>
                      <w:bCs/>
                      <w:color w:val="auto"/>
                      <w:sz w:val="21"/>
                      <w:szCs w:val="21"/>
                      <w:vertAlign w:val="baseline"/>
                      <w:lang w:val="en-US" w:eastAsia="zh-CN"/>
                    </w:rPr>
                  </w:pPr>
                </w:p>
              </w:tc>
              <w:tc>
                <w:tcPr>
                  <w:tcW w:w="1965" w:type="dxa"/>
                  <w:tcBorders>
                    <w:tl2br w:val="nil"/>
                    <w:tr2bl w:val="nil"/>
                  </w:tcBorders>
                  <w:vAlign w:val="center"/>
                </w:tcPr>
                <w:p w14:paraId="48467C73">
                  <w:pPr>
                    <w:jc w:val="center"/>
                    <w:rPr>
                      <w:rFonts w:hint="default" w:ascii="Times New Roman" w:hAnsi="Times New Roman" w:eastAsia="宋体" w:cs="Arial"/>
                      <w:color w:val="auto"/>
                      <w:sz w:val="21"/>
                      <w:lang w:val="en-US" w:eastAsia="zh-CN"/>
                    </w:rPr>
                  </w:pPr>
                  <w:r>
                    <w:rPr>
                      <w:rFonts w:hint="eastAsia" w:cs="Arial"/>
                      <w:color w:val="auto"/>
                      <w:sz w:val="21"/>
                      <w:lang w:val="en-US" w:eastAsia="zh-CN"/>
                    </w:rPr>
                    <w:t>风机2</w:t>
                  </w:r>
                </w:p>
              </w:tc>
              <w:tc>
                <w:tcPr>
                  <w:tcW w:w="903" w:type="dxa"/>
                  <w:tcBorders>
                    <w:tl2br w:val="nil"/>
                    <w:tr2bl w:val="nil"/>
                  </w:tcBorders>
                  <w:vAlign w:val="center"/>
                </w:tcPr>
                <w:p w14:paraId="32E6311B">
                  <w:pPr>
                    <w:jc w:val="center"/>
                    <w:rPr>
                      <w:rFonts w:hint="default" w:cs="Times New Roman"/>
                      <w:color w:val="auto"/>
                      <w:sz w:val="21"/>
                      <w:szCs w:val="21"/>
                      <w:lang w:val="en-US" w:eastAsia="zh-CN"/>
                    </w:rPr>
                  </w:pPr>
                  <w:r>
                    <w:rPr>
                      <w:rFonts w:hint="eastAsia" w:cs="Times New Roman"/>
                      <w:color w:val="auto"/>
                      <w:sz w:val="21"/>
                      <w:szCs w:val="21"/>
                      <w:lang w:val="en-US" w:eastAsia="zh-CN"/>
                    </w:rPr>
                    <w:t>73</w:t>
                  </w:r>
                </w:p>
              </w:tc>
              <w:tc>
                <w:tcPr>
                  <w:tcW w:w="818" w:type="dxa"/>
                  <w:tcBorders>
                    <w:tl2br w:val="nil"/>
                    <w:tr2bl w:val="nil"/>
                  </w:tcBorders>
                  <w:vAlign w:val="center"/>
                </w:tcPr>
                <w:p w14:paraId="185B0240">
                  <w:pPr>
                    <w:jc w:val="center"/>
                    <w:rPr>
                      <w:rFonts w:hint="default" w:cs="Times New Roman"/>
                      <w:color w:val="auto"/>
                      <w:sz w:val="21"/>
                      <w:szCs w:val="21"/>
                      <w:lang w:val="en-US" w:eastAsia="zh-CN"/>
                    </w:rPr>
                  </w:pPr>
                  <w:r>
                    <w:rPr>
                      <w:rFonts w:hint="eastAsia" w:cs="Times New Roman"/>
                      <w:color w:val="auto"/>
                      <w:sz w:val="21"/>
                      <w:szCs w:val="21"/>
                      <w:lang w:val="en-US" w:eastAsia="zh-CN"/>
                    </w:rPr>
                    <w:t>84.1</w:t>
                  </w:r>
                </w:p>
              </w:tc>
              <w:tc>
                <w:tcPr>
                  <w:tcW w:w="802" w:type="dxa"/>
                  <w:tcBorders>
                    <w:tl2br w:val="nil"/>
                    <w:tr2bl w:val="nil"/>
                  </w:tcBorders>
                  <w:vAlign w:val="center"/>
                </w:tcPr>
                <w:p w14:paraId="219D06E2">
                  <w:pPr>
                    <w:jc w:val="center"/>
                    <w:rPr>
                      <w:rFonts w:hint="default" w:ascii="Times New Roman" w:hAnsi="Times New Roman" w:eastAsia="宋体" w:cs="Arial"/>
                      <w:color w:val="auto"/>
                      <w:sz w:val="21"/>
                      <w:lang w:val="en-US" w:eastAsia="zh-CN"/>
                    </w:rPr>
                  </w:pPr>
                  <w:r>
                    <w:rPr>
                      <w:rFonts w:hint="eastAsia" w:cs="Arial"/>
                      <w:color w:val="auto"/>
                      <w:sz w:val="21"/>
                      <w:lang w:val="en-US" w:eastAsia="zh-CN"/>
                    </w:rPr>
                    <w:t>1.2</w:t>
                  </w:r>
                </w:p>
              </w:tc>
              <w:tc>
                <w:tcPr>
                  <w:tcW w:w="3559" w:type="dxa"/>
                  <w:tcBorders>
                    <w:tl2br w:val="nil"/>
                    <w:tr2bl w:val="nil"/>
                  </w:tcBorders>
                  <w:vAlign w:val="center"/>
                </w:tcPr>
                <w:p w14:paraId="2231B3A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848" w:type="dxa"/>
                  <w:tcBorders>
                    <w:tl2br w:val="nil"/>
                    <w:tr2bl w:val="nil"/>
                  </w:tcBorders>
                  <w:vAlign w:val="center"/>
                </w:tcPr>
                <w:p w14:paraId="38B87A81">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85</w:t>
                  </w:r>
                </w:p>
              </w:tc>
              <w:tc>
                <w:tcPr>
                  <w:tcW w:w="2589" w:type="dxa"/>
                  <w:tcBorders>
                    <w:tl2br w:val="nil"/>
                    <w:tr2bl w:val="nil"/>
                  </w:tcBorders>
                  <w:vAlign w:val="center"/>
                </w:tcPr>
                <w:p w14:paraId="63155816">
                  <w:pPr>
                    <w:keepNext w:val="0"/>
                    <w:keepLines w:val="0"/>
                    <w:suppressLineNumbers w:val="0"/>
                    <w:spacing w:before="0" w:beforeAutospacing="0" w:after="0" w:afterAutospacing="0" w:line="240" w:lineRule="auto"/>
                    <w:ind w:right="0" w:rightChars="0"/>
                    <w:jc w:val="center"/>
                    <w:outlineLvl w:val="0"/>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隔声罩，削减20dB（A）</w:t>
                  </w:r>
                </w:p>
              </w:tc>
              <w:tc>
                <w:tcPr>
                  <w:tcW w:w="1348" w:type="dxa"/>
                  <w:vMerge w:val="continue"/>
                  <w:tcBorders>
                    <w:tl2br w:val="nil"/>
                    <w:tr2bl w:val="nil"/>
                  </w:tcBorders>
                  <w:vAlign w:val="center"/>
                </w:tcPr>
                <w:p w14:paraId="7B3B9E42">
                  <w:pPr>
                    <w:pStyle w:val="14"/>
                    <w:keepNext w:val="0"/>
                    <w:keepLines w:val="0"/>
                    <w:suppressLineNumbers w:val="0"/>
                    <w:spacing w:before="0" w:beforeAutospacing="0" w:after="0" w:afterAutospacing="0" w:line="240" w:lineRule="auto"/>
                    <w:ind w:right="0" w:rightChars="0"/>
                    <w:jc w:val="center"/>
                    <w:outlineLvl w:val="0"/>
                    <w:rPr>
                      <w:rFonts w:hint="eastAsia" w:ascii="Times New Roman" w:hAnsi="Times New Roman" w:cs="Times New Roman"/>
                      <w:color w:val="auto"/>
                      <w:sz w:val="21"/>
                      <w:szCs w:val="21"/>
                      <w:lang w:val="en-US" w:eastAsia="zh-CN"/>
                    </w:rPr>
                  </w:pPr>
                </w:p>
              </w:tc>
            </w:tr>
            <w:tr w14:paraId="607986E9">
              <w:trPr>
                <w:trHeight w:val="397" w:hRule="atLeast"/>
              </w:trPr>
              <w:tc>
                <w:tcPr>
                  <w:tcW w:w="669" w:type="dxa"/>
                  <w:tcBorders>
                    <w:tl2br w:val="nil"/>
                    <w:tr2bl w:val="nil"/>
                  </w:tcBorders>
                  <w:vAlign w:val="center"/>
                </w:tcPr>
                <w:p w14:paraId="6A3F35CA">
                  <w:pPr>
                    <w:pStyle w:val="14"/>
                    <w:keepNext w:val="0"/>
                    <w:keepLines w:val="0"/>
                    <w:numPr>
                      <w:ilvl w:val="0"/>
                      <w:numId w:val="24"/>
                    </w:numPr>
                    <w:suppressLineNumbers w:val="0"/>
                    <w:spacing w:before="0" w:beforeAutospacing="0" w:after="0" w:afterAutospacing="0" w:line="240" w:lineRule="auto"/>
                    <w:ind w:left="0" w:leftChars="0" w:right="0" w:firstLine="0" w:firstLineChars="0"/>
                    <w:jc w:val="center"/>
                    <w:outlineLvl w:val="0"/>
                    <w:rPr>
                      <w:rFonts w:hint="default" w:ascii="Times New Roman" w:hAnsi="Times New Roman" w:eastAsia="宋体" w:cs="Times New Roman"/>
                      <w:b w:val="0"/>
                      <w:bCs/>
                      <w:color w:val="auto"/>
                      <w:sz w:val="21"/>
                      <w:szCs w:val="21"/>
                      <w:vertAlign w:val="baseline"/>
                      <w:lang w:val="en-US" w:eastAsia="zh-CN"/>
                    </w:rPr>
                  </w:pPr>
                </w:p>
              </w:tc>
              <w:tc>
                <w:tcPr>
                  <w:tcW w:w="1965" w:type="dxa"/>
                  <w:tcBorders>
                    <w:tl2br w:val="nil"/>
                    <w:tr2bl w:val="nil"/>
                  </w:tcBorders>
                  <w:vAlign w:val="center"/>
                </w:tcPr>
                <w:p w14:paraId="44764D78">
                  <w:pPr>
                    <w:jc w:val="center"/>
                    <w:rPr>
                      <w:rFonts w:hint="default" w:ascii="Times New Roman" w:hAnsi="Times New Roman" w:eastAsia="宋体" w:cs="Arial"/>
                      <w:color w:val="auto"/>
                      <w:sz w:val="21"/>
                      <w:lang w:val="en-US" w:eastAsia="zh-CN"/>
                    </w:rPr>
                  </w:pPr>
                  <w:r>
                    <w:rPr>
                      <w:rFonts w:hint="eastAsia" w:cs="Arial"/>
                      <w:color w:val="auto"/>
                      <w:sz w:val="21"/>
                      <w:lang w:val="en-US" w:eastAsia="zh-CN"/>
                    </w:rPr>
                    <w:t>空压机1</w:t>
                  </w:r>
                </w:p>
              </w:tc>
              <w:tc>
                <w:tcPr>
                  <w:tcW w:w="903" w:type="dxa"/>
                  <w:tcBorders>
                    <w:tl2br w:val="nil"/>
                    <w:tr2bl w:val="nil"/>
                  </w:tcBorders>
                  <w:vAlign w:val="center"/>
                </w:tcPr>
                <w:p w14:paraId="4821A409">
                  <w:pPr>
                    <w:jc w:val="center"/>
                    <w:rPr>
                      <w:rFonts w:hint="default" w:cs="Times New Roman"/>
                      <w:color w:val="auto"/>
                      <w:sz w:val="21"/>
                      <w:szCs w:val="21"/>
                      <w:lang w:val="en-US" w:eastAsia="zh-CN"/>
                    </w:rPr>
                  </w:pPr>
                  <w:r>
                    <w:rPr>
                      <w:rFonts w:hint="eastAsia" w:cs="Times New Roman"/>
                      <w:color w:val="auto"/>
                      <w:sz w:val="21"/>
                      <w:szCs w:val="21"/>
                      <w:lang w:val="en-US" w:eastAsia="zh-CN"/>
                    </w:rPr>
                    <w:t>40.2</w:t>
                  </w:r>
                </w:p>
              </w:tc>
              <w:tc>
                <w:tcPr>
                  <w:tcW w:w="818" w:type="dxa"/>
                  <w:tcBorders>
                    <w:tl2br w:val="nil"/>
                    <w:tr2bl w:val="nil"/>
                  </w:tcBorders>
                  <w:vAlign w:val="center"/>
                </w:tcPr>
                <w:p w14:paraId="09B4BE49">
                  <w:pPr>
                    <w:jc w:val="center"/>
                    <w:rPr>
                      <w:rFonts w:hint="default" w:cs="Times New Roman"/>
                      <w:color w:val="auto"/>
                      <w:sz w:val="21"/>
                      <w:szCs w:val="21"/>
                      <w:lang w:val="en-US" w:eastAsia="zh-CN"/>
                    </w:rPr>
                  </w:pPr>
                  <w:r>
                    <w:rPr>
                      <w:rFonts w:hint="eastAsia" w:cs="Times New Roman"/>
                      <w:color w:val="auto"/>
                      <w:sz w:val="21"/>
                      <w:szCs w:val="21"/>
                      <w:lang w:val="en-US" w:eastAsia="zh-CN"/>
                    </w:rPr>
                    <w:t>84.1</w:t>
                  </w:r>
                </w:p>
              </w:tc>
              <w:tc>
                <w:tcPr>
                  <w:tcW w:w="802" w:type="dxa"/>
                  <w:tcBorders>
                    <w:tl2br w:val="nil"/>
                    <w:tr2bl w:val="nil"/>
                  </w:tcBorders>
                  <w:vAlign w:val="center"/>
                </w:tcPr>
                <w:p w14:paraId="0F2FF9D1">
                  <w:pPr>
                    <w:jc w:val="center"/>
                    <w:rPr>
                      <w:rFonts w:hint="default" w:ascii="Times New Roman" w:hAnsi="Times New Roman" w:eastAsia="宋体" w:cs="Arial"/>
                      <w:color w:val="auto"/>
                      <w:sz w:val="21"/>
                      <w:lang w:val="en-US" w:eastAsia="zh-CN"/>
                    </w:rPr>
                  </w:pPr>
                  <w:r>
                    <w:rPr>
                      <w:rFonts w:hint="eastAsia" w:cs="Arial"/>
                      <w:color w:val="auto"/>
                      <w:sz w:val="21"/>
                      <w:lang w:val="en-US" w:eastAsia="zh-CN"/>
                    </w:rPr>
                    <w:t>1.2</w:t>
                  </w:r>
                </w:p>
              </w:tc>
              <w:tc>
                <w:tcPr>
                  <w:tcW w:w="3559" w:type="dxa"/>
                  <w:tcBorders>
                    <w:tl2br w:val="nil"/>
                    <w:tr2bl w:val="nil"/>
                  </w:tcBorders>
                  <w:vAlign w:val="center"/>
                </w:tcPr>
                <w:p w14:paraId="3AD08A3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848" w:type="dxa"/>
                  <w:tcBorders>
                    <w:tl2br w:val="nil"/>
                    <w:tr2bl w:val="nil"/>
                  </w:tcBorders>
                  <w:vAlign w:val="center"/>
                </w:tcPr>
                <w:p w14:paraId="3BEF103D">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85</w:t>
                  </w:r>
                </w:p>
              </w:tc>
              <w:tc>
                <w:tcPr>
                  <w:tcW w:w="2589" w:type="dxa"/>
                  <w:tcBorders>
                    <w:tl2br w:val="nil"/>
                    <w:tr2bl w:val="nil"/>
                  </w:tcBorders>
                  <w:vAlign w:val="center"/>
                </w:tcPr>
                <w:p w14:paraId="54BC4BBE">
                  <w:pPr>
                    <w:keepNext w:val="0"/>
                    <w:keepLines w:val="0"/>
                    <w:suppressLineNumbers w:val="0"/>
                    <w:spacing w:before="0" w:beforeAutospacing="0" w:after="0" w:afterAutospacing="0" w:line="240" w:lineRule="auto"/>
                    <w:ind w:right="0" w:rightChars="0"/>
                    <w:jc w:val="center"/>
                    <w:outlineLvl w:val="0"/>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隔声罩，削减20dB（A）</w:t>
                  </w:r>
                </w:p>
              </w:tc>
              <w:tc>
                <w:tcPr>
                  <w:tcW w:w="1348" w:type="dxa"/>
                  <w:vMerge w:val="continue"/>
                  <w:tcBorders>
                    <w:tl2br w:val="nil"/>
                    <w:tr2bl w:val="nil"/>
                  </w:tcBorders>
                  <w:vAlign w:val="center"/>
                </w:tcPr>
                <w:p w14:paraId="18EEE049">
                  <w:pPr>
                    <w:pStyle w:val="14"/>
                    <w:keepNext w:val="0"/>
                    <w:keepLines w:val="0"/>
                    <w:suppressLineNumbers w:val="0"/>
                    <w:spacing w:before="0" w:beforeAutospacing="0" w:after="0" w:afterAutospacing="0" w:line="240" w:lineRule="auto"/>
                    <w:ind w:right="0" w:rightChars="0"/>
                    <w:jc w:val="center"/>
                    <w:outlineLvl w:val="0"/>
                    <w:rPr>
                      <w:rFonts w:hint="eastAsia" w:ascii="Times New Roman" w:hAnsi="Times New Roman" w:cs="Times New Roman"/>
                      <w:color w:val="auto"/>
                      <w:sz w:val="21"/>
                      <w:szCs w:val="21"/>
                      <w:lang w:val="en-US" w:eastAsia="zh-CN"/>
                    </w:rPr>
                  </w:pPr>
                </w:p>
              </w:tc>
            </w:tr>
            <w:tr w14:paraId="0ADEC675">
              <w:trPr>
                <w:trHeight w:val="397" w:hRule="atLeast"/>
              </w:trPr>
              <w:tc>
                <w:tcPr>
                  <w:tcW w:w="669" w:type="dxa"/>
                  <w:tcBorders>
                    <w:tl2br w:val="nil"/>
                    <w:tr2bl w:val="nil"/>
                  </w:tcBorders>
                  <w:vAlign w:val="center"/>
                </w:tcPr>
                <w:p w14:paraId="50B97728">
                  <w:pPr>
                    <w:pStyle w:val="14"/>
                    <w:keepNext w:val="0"/>
                    <w:keepLines w:val="0"/>
                    <w:numPr>
                      <w:ilvl w:val="0"/>
                      <w:numId w:val="24"/>
                    </w:numPr>
                    <w:suppressLineNumbers w:val="0"/>
                    <w:spacing w:before="0" w:beforeAutospacing="0" w:after="0" w:afterAutospacing="0" w:line="240" w:lineRule="auto"/>
                    <w:ind w:left="0" w:leftChars="0" w:right="0" w:firstLine="0" w:firstLineChars="0"/>
                    <w:jc w:val="center"/>
                    <w:outlineLvl w:val="0"/>
                    <w:rPr>
                      <w:rFonts w:hint="default" w:ascii="Times New Roman" w:hAnsi="Times New Roman" w:eastAsia="宋体" w:cs="Times New Roman"/>
                      <w:b w:val="0"/>
                      <w:bCs/>
                      <w:color w:val="auto"/>
                      <w:sz w:val="21"/>
                      <w:szCs w:val="21"/>
                      <w:vertAlign w:val="baseline"/>
                      <w:lang w:val="en-US" w:eastAsia="zh-CN"/>
                    </w:rPr>
                  </w:pPr>
                </w:p>
              </w:tc>
              <w:tc>
                <w:tcPr>
                  <w:tcW w:w="1965" w:type="dxa"/>
                  <w:tcBorders>
                    <w:tl2br w:val="nil"/>
                    <w:tr2bl w:val="nil"/>
                  </w:tcBorders>
                  <w:vAlign w:val="center"/>
                </w:tcPr>
                <w:p w14:paraId="0DF5D992">
                  <w:pPr>
                    <w:jc w:val="center"/>
                    <w:rPr>
                      <w:rFonts w:hint="default" w:cs="Arial"/>
                      <w:color w:val="auto"/>
                      <w:sz w:val="21"/>
                      <w:lang w:val="en-US" w:eastAsia="zh-CN"/>
                    </w:rPr>
                  </w:pPr>
                  <w:r>
                    <w:rPr>
                      <w:rFonts w:hint="eastAsia" w:cs="Arial"/>
                      <w:color w:val="auto"/>
                      <w:sz w:val="21"/>
                      <w:lang w:val="en-US" w:eastAsia="zh-CN"/>
                    </w:rPr>
                    <w:t>空压机2</w:t>
                  </w:r>
                </w:p>
              </w:tc>
              <w:tc>
                <w:tcPr>
                  <w:tcW w:w="903" w:type="dxa"/>
                  <w:tcBorders>
                    <w:tl2br w:val="nil"/>
                    <w:tr2bl w:val="nil"/>
                  </w:tcBorders>
                  <w:vAlign w:val="center"/>
                </w:tcPr>
                <w:p w14:paraId="266E9D91">
                  <w:pPr>
                    <w:jc w:val="center"/>
                    <w:rPr>
                      <w:rFonts w:hint="default" w:cs="Times New Roman"/>
                      <w:color w:val="auto"/>
                      <w:sz w:val="21"/>
                      <w:szCs w:val="21"/>
                      <w:lang w:val="en-US" w:eastAsia="zh-CN"/>
                    </w:rPr>
                  </w:pPr>
                  <w:r>
                    <w:rPr>
                      <w:rFonts w:hint="eastAsia" w:cs="Times New Roman"/>
                      <w:color w:val="auto"/>
                      <w:sz w:val="21"/>
                      <w:szCs w:val="21"/>
                      <w:lang w:val="en-US" w:eastAsia="zh-CN"/>
                    </w:rPr>
                    <w:t>76</w:t>
                  </w:r>
                </w:p>
              </w:tc>
              <w:tc>
                <w:tcPr>
                  <w:tcW w:w="818" w:type="dxa"/>
                  <w:tcBorders>
                    <w:tl2br w:val="nil"/>
                    <w:tr2bl w:val="nil"/>
                  </w:tcBorders>
                  <w:vAlign w:val="center"/>
                </w:tcPr>
                <w:p w14:paraId="3821B7C3">
                  <w:pPr>
                    <w:jc w:val="center"/>
                    <w:rPr>
                      <w:rFonts w:hint="default" w:cs="Times New Roman"/>
                      <w:color w:val="auto"/>
                      <w:sz w:val="21"/>
                      <w:szCs w:val="21"/>
                      <w:lang w:val="en-US" w:eastAsia="zh-CN"/>
                    </w:rPr>
                  </w:pPr>
                  <w:r>
                    <w:rPr>
                      <w:rFonts w:hint="eastAsia" w:cs="Times New Roman"/>
                      <w:color w:val="auto"/>
                      <w:sz w:val="21"/>
                      <w:szCs w:val="21"/>
                      <w:lang w:val="en-US" w:eastAsia="zh-CN"/>
                    </w:rPr>
                    <w:t>83.6</w:t>
                  </w:r>
                </w:p>
              </w:tc>
              <w:tc>
                <w:tcPr>
                  <w:tcW w:w="802" w:type="dxa"/>
                  <w:tcBorders>
                    <w:tl2br w:val="nil"/>
                    <w:tr2bl w:val="nil"/>
                  </w:tcBorders>
                  <w:vAlign w:val="center"/>
                </w:tcPr>
                <w:p w14:paraId="30E520BC">
                  <w:pPr>
                    <w:jc w:val="center"/>
                    <w:rPr>
                      <w:rFonts w:hint="default" w:ascii="Times New Roman" w:hAnsi="Times New Roman" w:eastAsia="宋体" w:cs="Arial"/>
                      <w:color w:val="auto"/>
                      <w:sz w:val="21"/>
                      <w:lang w:val="en-US" w:eastAsia="zh-CN"/>
                    </w:rPr>
                  </w:pPr>
                  <w:r>
                    <w:rPr>
                      <w:rFonts w:hint="eastAsia" w:cs="Arial"/>
                      <w:color w:val="auto"/>
                      <w:sz w:val="21"/>
                      <w:lang w:val="en-US" w:eastAsia="zh-CN"/>
                    </w:rPr>
                    <w:t>1.2</w:t>
                  </w:r>
                </w:p>
              </w:tc>
              <w:tc>
                <w:tcPr>
                  <w:tcW w:w="3559" w:type="dxa"/>
                  <w:tcBorders>
                    <w:tl2br w:val="nil"/>
                    <w:tr2bl w:val="nil"/>
                  </w:tcBorders>
                  <w:vAlign w:val="center"/>
                </w:tcPr>
                <w:p w14:paraId="2A6B94B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848" w:type="dxa"/>
                  <w:tcBorders>
                    <w:tl2br w:val="nil"/>
                    <w:tr2bl w:val="nil"/>
                  </w:tcBorders>
                  <w:vAlign w:val="center"/>
                </w:tcPr>
                <w:p w14:paraId="0927B93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85</w:t>
                  </w:r>
                </w:p>
              </w:tc>
              <w:tc>
                <w:tcPr>
                  <w:tcW w:w="2589" w:type="dxa"/>
                  <w:tcBorders>
                    <w:tl2br w:val="nil"/>
                    <w:tr2bl w:val="nil"/>
                  </w:tcBorders>
                  <w:vAlign w:val="center"/>
                </w:tcPr>
                <w:p w14:paraId="77098792">
                  <w:pPr>
                    <w:keepNext w:val="0"/>
                    <w:keepLines w:val="0"/>
                    <w:suppressLineNumbers w:val="0"/>
                    <w:spacing w:before="0" w:beforeAutospacing="0" w:after="0" w:afterAutospacing="0" w:line="240" w:lineRule="auto"/>
                    <w:ind w:right="0" w:rightChars="0"/>
                    <w:jc w:val="center"/>
                    <w:outlineLvl w:val="0"/>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隔声罩，削减20dB（A）</w:t>
                  </w:r>
                </w:p>
              </w:tc>
              <w:tc>
                <w:tcPr>
                  <w:tcW w:w="1348" w:type="dxa"/>
                  <w:vMerge w:val="continue"/>
                  <w:tcBorders>
                    <w:tl2br w:val="nil"/>
                    <w:tr2bl w:val="nil"/>
                  </w:tcBorders>
                  <w:vAlign w:val="center"/>
                </w:tcPr>
                <w:p w14:paraId="3B0E5E18">
                  <w:pPr>
                    <w:pStyle w:val="14"/>
                    <w:keepNext w:val="0"/>
                    <w:keepLines w:val="0"/>
                    <w:suppressLineNumbers w:val="0"/>
                    <w:spacing w:before="0" w:beforeAutospacing="0" w:after="0" w:afterAutospacing="0" w:line="240" w:lineRule="auto"/>
                    <w:ind w:right="0" w:rightChars="0"/>
                    <w:jc w:val="center"/>
                    <w:outlineLvl w:val="0"/>
                    <w:rPr>
                      <w:rFonts w:hint="eastAsia" w:ascii="Times New Roman" w:hAnsi="Times New Roman" w:cs="Times New Roman"/>
                      <w:color w:val="auto"/>
                      <w:sz w:val="21"/>
                      <w:szCs w:val="21"/>
                      <w:lang w:val="en-US" w:eastAsia="zh-CN"/>
                    </w:rPr>
                  </w:pPr>
                </w:p>
              </w:tc>
            </w:tr>
          </w:tbl>
          <w:p w14:paraId="0EFE3F90">
            <w:pPr>
              <w:pStyle w:val="14"/>
              <w:keepNext w:val="0"/>
              <w:keepLines w:val="0"/>
              <w:suppressLineNumbers w:val="0"/>
              <w:spacing w:before="0" w:beforeAutospacing="0" w:after="0" w:afterAutospacing="0" w:line="240" w:lineRule="auto"/>
              <w:ind w:left="0" w:right="0"/>
              <w:jc w:val="center"/>
              <w:outlineLvl w:val="0"/>
              <w:rPr>
                <w:rFonts w:hint="default"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表</w:t>
            </w:r>
            <w:r>
              <w:rPr>
                <w:rFonts w:hint="default" w:ascii="Times New Roman" w:hAnsi="Times New Roman" w:eastAsia="宋体"/>
                <w:b/>
                <w:bCs/>
                <w:color w:val="auto"/>
                <w:sz w:val="21"/>
                <w:szCs w:val="21"/>
              </w:rPr>
              <w:t>4-</w:t>
            </w:r>
            <w:r>
              <w:rPr>
                <w:rFonts w:hint="eastAsia" w:ascii="Times New Roman" w:hAnsi="Times New Roman"/>
                <w:b/>
                <w:bCs/>
                <w:color w:val="auto"/>
                <w:sz w:val="21"/>
                <w:szCs w:val="21"/>
                <w:lang w:val="en-US" w:eastAsia="zh-CN"/>
              </w:rPr>
              <w:t xml:space="preserve">20  </w:t>
            </w:r>
            <w:r>
              <w:rPr>
                <w:rFonts w:hint="eastAsia" w:ascii="Times New Roman" w:hAnsi="Times New Roman" w:eastAsia="宋体"/>
                <w:b/>
                <w:bCs/>
                <w:color w:val="auto"/>
                <w:sz w:val="21"/>
                <w:szCs w:val="21"/>
                <w:lang w:val="en-US" w:eastAsia="zh-CN"/>
              </w:rPr>
              <w:t>本项目主要噪声源源强调查清单（室内声源位dB（A））</w:t>
            </w:r>
            <w:bookmarkEnd w:id="38"/>
            <w:bookmarkEnd w:id="39"/>
            <w:bookmarkEnd w:id="40"/>
          </w:p>
          <w:tbl>
            <w:tblPr>
              <w:tblStyle w:val="20"/>
              <w:tblW w:w="498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709"/>
              <w:gridCol w:w="1824"/>
              <w:gridCol w:w="701"/>
              <w:gridCol w:w="1630"/>
              <w:gridCol w:w="758"/>
              <w:gridCol w:w="715"/>
              <w:gridCol w:w="730"/>
              <w:gridCol w:w="541"/>
              <w:gridCol w:w="758"/>
              <w:gridCol w:w="1465"/>
              <w:gridCol w:w="1349"/>
              <w:gridCol w:w="788"/>
              <w:gridCol w:w="1381"/>
              <w:gridCol w:w="680"/>
            </w:tblGrid>
            <w:tr w14:paraId="17566500">
              <w:trPr>
                <w:trHeight w:val="397" w:hRule="atLeast"/>
                <w:jc w:val="center"/>
              </w:trPr>
              <w:tc>
                <w:tcPr>
                  <w:tcW w:w="147" w:type="pct"/>
                  <w:vMerge w:val="restart"/>
                  <w:tcBorders>
                    <w:tl2br w:val="nil"/>
                    <w:tr2bl w:val="nil"/>
                  </w:tcBorders>
                  <w:noWrap w:val="0"/>
                  <w:vAlign w:val="center"/>
                </w:tcPr>
                <w:p w14:paraId="074A1E5F">
                  <w:pPr>
                    <w:keepNext w:val="0"/>
                    <w:keepLines w:val="0"/>
                    <w:suppressLineNumbers w:val="0"/>
                    <w:spacing w:before="0" w:beforeAutospacing="0" w:after="0" w:afterAutospacing="0"/>
                    <w:ind w:left="0" w:right="0"/>
                    <w:jc w:val="center"/>
                    <w:rPr>
                      <w:rFonts w:hint="default" w:ascii="Times New Roman" w:hAnsi="Times New Roman" w:eastAsia="宋体"/>
                      <w:b w:val="0"/>
                      <w:bCs/>
                      <w:color w:val="auto"/>
                      <w:sz w:val="21"/>
                      <w:szCs w:val="21"/>
                    </w:rPr>
                  </w:pPr>
                  <w:r>
                    <w:rPr>
                      <w:rFonts w:hint="default" w:ascii="Times New Roman" w:hAnsi="Times New Roman" w:eastAsia="宋体"/>
                      <w:b w:val="0"/>
                      <w:bCs/>
                      <w:color w:val="auto"/>
                      <w:sz w:val="21"/>
                      <w:szCs w:val="21"/>
                    </w:rPr>
                    <w:t>序号</w:t>
                  </w:r>
                </w:p>
              </w:tc>
              <w:tc>
                <w:tcPr>
                  <w:tcW w:w="245" w:type="pct"/>
                  <w:vMerge w:val="restart"/>
                  <w:tcBorders>
                    <w:tl2br w:val="nil"/>
                    <w:tr2bl w:val="nil"/>
                  </w:tcBorders>
                  <w:noWrap w:val="0"/>
                  <w:vAlign w:val="center"/>
                </w:tcPr>
                <w:p w14:paraId="232CBD9B">
                  <w:pPr>
                    <w:keepNext w:val="0"/>
                    <w:keepLines w:val="0"/>
                    <w:suppressLineNumbers w:val="0"/>
                    <w:spacing w:before="0" w:beforeAutospacing="0" w:after="0" w:afterAutospacing="0"/>
                    <w:ind w:left="0" w:right="0"/>
                    <w:jc w:val="center"/>
                    <w:rPr>
                      <w:rFonts w:hint="default" w:ascii="Times New Roman" w:hAnsi="Times New Roman" w:eastAsia="宋体"/>
                      <w:b w:val="0"/>
                      <w:bCs/>
                      <w:color w:val="auto"/>
                      <w:sz w:val="21"/>
                      <w:szCs w:val="21"/>
                    </w:rPr>
                  </w:pPr>
                  <w:r>
                    <w:rPr>
                      <w:rFonts w:hint="eastAsia" w:ascii="Times New Roman" w:hAnsi="Times New Roman" w:eastAsia="宋体"/>
                      <w:b w:val="0"/>
                      <w:bCs/>
                      <w:color w:val="auto"/>
                      <w:sz w:val="21"/>
                      <w:szCs w:val="21"/>
                      <w:lang w:val="en-US" w:eastAsia="zh-CN"/>
                    </w:rPr>
                    <w:t>建筑物</w:t>
                  </w:r>
                  <w:r>
                    <w:rPr>
                      <w:rFonts w:hint="default" w:ascii="Times New Roman" w:hAnsi="Times New Roman" w:eastAsia="宋体"/>
                      <w:b w:val="0"/>
                      <w:bCs/>
                      <w:color w:val="auto"/>
                      <w:sz w:val="21"/>
                      <w:szCs w:val="21"/>
                    </w:rPr>
                    <w:t>名称</w:t>
                  </w:r>
                </w:p>
              </w:tc>
              <w:tc>
                <w:tcPr>
                  <w:tcW w:w="630" w:type="pct"/>
                  <w:vMerge w:val="restart"/>
                  <w:tcBorders>
                    <w:tl2br w:val="nil"/>
                    <w:tr2bl w:val="nil"/>
                  </w:tcBorders>
                  <w:noWrap w:val="0"/>
                  <w:vAlign w:val="center"/>
                </w:tcPr>
                <w:p w14:paraId="2D935A22">
                  <w:pPr>
                    <w:keepNext w:val="0"/>
                    <w:keepLines w:val="0"/>
                    <w:suppressLineNumbers w:val="0"/>
                    <w:spacing w:before="0" w:beforeAutospacing="0" w:after="0" w:afterAutospacing="0"/>
                    <w:ind w:left="0" w:right="0"/>
                    <w:jc w:val="center"/>
                    <w:rPr>
                      <w:rFonts w:hint="default" w:ascii="Times New Roman" w:hAnsi="Times New Roman" w:eastAsia="宋体"/>
                      <w:b w:val="0"/>
                      <w:bCs/>
                      <w:color w:val="auto"/>
                      <w:sz w:val="21"/>
                      <w:szCs w:val="21"/>
                      <w:lang w:val="en-US" w:eastAsia="zh-CN"/>
                    </w:rPr>
                  </w:pPr>
                  <w:r>
                    <w:rPr>
                      <w:rFonts w:hint="eastAsia" w:ascii="Times New Roman" w:hAnsi="Times New Roman" w:eastAsia="宋体"/>
                      <w:b w:val="0"/>
                      <w:bCs/>
                      <w:color w:val="auto"/>
                      <w:sz w:val="21"/>
                      <w:szCs w:val="21"/>
                      <w:lang w:val="en-US" w:eastAsia="zh-CN"/>
                    </w:rPr>
                    <w:t>声源名称</w:t>
                  </w:r>
                </w:p>
              </w:tc>
              <w:tc>
                <w:tcPr>
                  <w:tcW w:w="242" w:type="pct"/>
                  <w:vMerge w:val="restart"/>
                  <w:tcBorders>
                    <w:tl2br w:val="nil"/>
                    <w:tr2bl w:val="nil"/>
                  </w:tcBorders>
                  <w:noWrap w:val="0"/>
                  <w:vAlign w:val="center"/>
                </w:tcPr>
                <w:p w14:paraId="078C0891">
                  <w:pPr>
                    <w:keepNext w:val="0"/>
                    <w:keepLines w:val="0"/>
                    <w:suppressLineNumbers w:val="0"/>
                    <w:spacing w:before="0" w:beforeAutospacing="0" w:after="0" w:afterAutospacing="0"/>
                    <w:ind w:left="0" w:leftChars="0" w:right="0" w:rightChars="0"/>
                    <w:jc w:val="center"/>
                    <w:rPr>
                      <w:rFonts w:hint="default" w:ascii="Times New Roman" w:hAnsi="Times New Roman" w:eastAsia="宋体"/>
                      <w:b w:val="0"/>
                      <w:bCs/>
                      <w:color w:val="auto"/>
                      <w:kern w:val="2"/>
                      <w:sz w:val="21"/>
                      <w:szCs w:val="21"/>
                      <w:lang w:val="en-US" w:eastAsia="zh-CN" w:bidi="ar-SA"/>
                    </w:rPr>
                  </w:pPr>
                  <w:r>
                    <w:rPr>
                      <w:rFonts w:hint="eastAsia" w:ascii="Times New Roman" w:hAnsi="Times New Roman" w:eastAsia="宋体"/>
                      <w:b w:val="0"/>
                      <w:bCs/>
                      <w:color w:val="auto"/>
                      <w:sz w:val="21"/>
                      <w:szCs w:val="21"/>
                      <w:lang w:val="en-US" w:eastAsia="zh-CN"/>
                    </w:rPr>
                    <w:t>数量（台/套）</w:t>
                  </w:r>
                </w:p>
              </w:tc>
              <w:tc>
                <w:tcPr>
                  <w:tcW w:w="563" w:type="pct"/>
                  <w:vMerge w:val="restart"/>
                  <w:tcBorders>
                    <w:tl2br w:val="nil"/>
                    <w:tr2bl w:val="nil"/>
                  </w:tcBorders>
                  <w:noWrap w:val="0"/>
                  <w:vAlign w:val="center"/>
                </w:tcPr>
                <w:p w14:paraId="633DAF00">
                  <w:pPr>
                    <w:keepNext w:val="0"/>
                    <w:keepLines w:val="0"/>
                    <w:suppressLineNumbers w:val="0"/>
                    <w:spacing w:before="0" w:beforeAutospacing="0" w:after="0" w:afterAutospacing="0"/>
                    <w:ind w:left="0" w:right="0"/>
                    <w:jc w:val="center"/>
                    <w:rPr>
                      <w:rFonts w:hint="default" w:ascii="Times New Roman" w:hAnsi="Times New Roman" w:eastAsia="宋体"/>
                      <w:b w:val="0"/>
                      <w:bCs/>
                      <w:color w:val="auto"/>
                      <w:sz w:val="21"/>
                      <w:szCs w:val="21"/>
                    </w:rPr>
                  </w:pPr>
                  <w:r>
                    <w:rPr>
                      <w:rFonts w:hint="eastAsia" w:ascii="Times New Roman" w:hAnsi="Times New Roman" w:eastAsia="宋体"/>
                      <w:b w:val="0"/>
                      <w:bCs/>
                      <w:color w:val="auto"/>
                      <w:sz w:val="21"/>
                      <w:szCs w:val="21"/>
                      <w:lang w:val="en-US" w:eastAsia="zh-CN"/>
                    </w:rPr>
                    <w:t>单台</w:t>
                  </w:r>
                  <w:r>
                    <w:rPr>
                      <w:rFonts w:hint="default" w:ascii="Times New Roman" w:hAnsi="Times New Roman" w:eastAsia="宋体"/>
                      <w:b w:val="0"/>
                      <w:bCs/>
                      <w:color w:val="auto"/>
                      <w:sz w:val="21"/>
                      <w:szCs w:val="21"/>
                    </w:rPr>
                    <w:t>声源源强</w:t>
                  </w:r>
                </w:p>
                <w:p w14:paraId="3DE5979C">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b w:val="0"/>
                      <w:bCs/>
                      <w:color w:val="auto"/>
                      <w:sz w:val="21"/>
                      <w:szCs w:val="21"/>
                    </w:rPr>
                    <w:t>（声压级/距声源距离）/（dB</w:t>
                  </w:r>
                  <w:r>
                    <w:rPr>
                      <w:rFonts w:hint="eastAsia"/>
                      <w:b w:val="0"/>
                      <w:bCs/>
                      <w:color w:val="auto"/>
                      <w:sz w:val="21"/>
                      <w:szCs w:val="21"/>
                      <w:lang w:eastAsia="zh-CN"/>
                    </w:rPr>
                    <w:t>（</w:t>
                  </w:r>
                  <w:r>
                    <w:rPr>
                      <w:rFonts w:hint="default" w:ascii="Times New Roman" w:hAnsi="Times New Roman" w:eastAsia="宋体"/>
                      <w:b w:val="0"/>
                      <w:bCs/>
                      <w:color w:val="auto"/>
                      <w:sz w:val="21"/>
                      <w:szCs w:val="21"/>
                    </w:rPr>
                    <w:t>A</w:t>
                  </w:r>
                  <w:r>
                    <w:rPr>
                      <w:rFonts w:hint="eastAsia"/>
                      <w:b w:val="0"/>
                      <w:bCs/>
                      <w:color w:val="auto"/>
                      <w:sz w:val="21"/>
                      <w:szCs w:val="21"/>
                      <w:lang w:eastAsia="zh-CN"/>
                    </w:rPr>
                    <w:t>）</w:t>
                  </w:r>
                  <w:r>
                    <w:rPr>
                      <w:rFonts w:hint="default" w:ascii="Times New Roman" w:hAnsi="Times New Roman" w:eastAsia="宋体"/>
                      <w:b w:val="0"/>
                      <w:bCs/>
                      <w:color w:val="auto"/>
                      <w:sz w:val="21"/>
                      <w:szCs w:val="21"/>
                    </w:rPr>
                    <w:t>/1m）</w:t>
                  </w:r>
                </w:p>
              </w:tc>
              <w:tc>
                <w:tcPr>
                  <w:tcW w:w="262" w:type="pct"/>
                  <w:vMerge w:val="restart"/>
                  <w:tcBorders>
                    <w:tl2br w:val="nil"/>
                    <w:tr2bl w:val="nil"/>
                  </w:tcBorders>
                  <w:noWrap w:val="0"/>
                  <w:vAlign w:val="center"/>
                </w:tcPr>
                <w:p w14:paraId="00C37F01">
                  <w:pPr>
                    <w:keepNext w:val="0"/>
                    <w:keepLines w:val="0"/>
                    <w:suppressLineNumbers w:val="0"/>
                    <w:spacing w:before="0" w:beforeAutospacing="0" w:after="0" w:afterAutospacing="0"/>
                    <w:ind w:left="0" w:leftChars="0" w:right="0" w:rightChars="0"/>
                    <w:jc w:val="center"/>
                    <w:rPr>
                      <w:rFonts w:hint="default" w:ascii="Times New Roman" w:hAnsi="Times New Roman" w:eastAsia="宋体"/>
                      <w:b w:val="0"/>
                      <w:bCs/>
                      <w:color w:val="auto"/>
                      <w:kern w:val="2"/>
                      <w:sz w:val="21"/>
                      <w:szCs w:val="21"/>
                      <w:lang w:val="en-US" w:eastAsia="zh-CN" w:bidi="ar-SA"/>
                    </w:rPr>
                  </w:pPr>
                  <w:r>
                    <w:rPr>
                      <w:rFonts w:hint="default" w:ascii="Times New Roman" w:hAnsi="Times New Roman" w:eastAsia="宋体"/>
                      <w:b w:val="0"/>
                      <w:bCs/>
                      <w:color w:val="auto"/>
                      <w:sz w:val="21"/>
                      <w:szCs w:val="21"/>
                    </w:rPr>
                    <w:t>声源控制措施</w:t>
                  </w:r>
                </w:p>
                <w:p w14:paraId="20709650">
                  <w:pPr>
                    <w:keepNext w:val="0"/>
                    <w:keepLines w:val="0"/>
                    <w:suppressLineNumbers w:val="0"/>
                    <w:spacing w:before="0" w:beforeAutospacing="0" w:after="0" w:afterAutospacing="0"/>
                    <w:ind w:left="0" w:right="0"/>
                    <w:jc w:val="center"/>
                    <w:rPr>
                      <w:rFonts w:hint="default" w:ascii="Times New Roman" w:hAnsi="Times New Roman" w:eastAsia="宋体"/>
                      <w:b w:val="0"/>
                      <w:bCs/>
                      <w:color w:val="auto"/>
                      <w:sz w:val="21"/>
                      <w:szCs w:val="21"/>
                    </w:rPr>
                  </w:pPr>
                </w:p>
              </w:tc>
              <w:tc>
                <w:tcPr>
                  <w:tcW w:w="686" w:type="pct"/>
                  <w:gridSpan w:val="3"/>
                  <w:tcBorders>
                    <w:tl2br w:val="nil"/>
                    <w:tr2bl w:val="nil"/>
                  </w:tcBorders>
                  <w:noWrap w:val="0"/>
                  <w:vAlign w:val="center"/>
                </w:tcPr>
                <w:p w14:paraId="070E2885">
                  <w:pPr>
                    <w:keepNext w:val="0"/>
                    <w:keepLines w:val="0"/>
                    <w:suppressLineNumbers w:val="0"/>
                    <w:spacing w:before="0" w:beforeAutospacing="0" w:after="0" w:afterAutospacing="0"/>
                    <w:ind w:left="0" w:right="0"/>
                    <w:jc w:val="center"/>
                    <w:rPr>
                      <w:rFonts w:hint="default" w:ascii="Times New Roman" w:hAnsi="Times New Roman" w:eastAsia="宋体"/>
                      <w:b w:val="0"/>
                      <w:bCs/>
                      <w:color w:val="auto"/>
                      <w:sz w:val="21"/>
                      <w:szCs w:val="21"/>
                    </w:rPr>
                  </w:pPr>
                  <w:r>
                    <w:rPr>
                      <w:rFonts w:hint="default" w:ascii="Times New Roman" w:hAnsi="Times New Roman" w:eastAsia="宋体"/>
                      <w:b w:val="0"/>
                      <w:bCs/>
                      <w:color w:val="auto"/>
                      <w:sz w:val="21"/>
                      <w:szCs w:val="21"/>
                    </w:rPr>
                    <w:t>空间相对位置/m</w:t>
                  </w:r>
                </w:p>
              </w:tc>
              <w:tc>
                <w:tcPr>
                  <w:tcW w:w="262" w:type="pct"/>
                  <w:vMerge w:val="restart"/>
                  <w:tcBorders>
                    <w:tl2br w:val="nil"/>
                    <w:tr2bl w:val="nil"/>
                  </w:tcBorders>
                  <w:noWrap w:val="0"/>
                  <w:vAlign w:val="center"/>
                </w:tcPr>
                <w:p w14:paraId="08624533">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b w:val="0"/>
                      <w:bCs/>
                      <w:color w:val="auto"/>
                      <w:sz w:val="21"/>
                      <w:szCs w:val="21"/>
                    </w:rPr>
                  </w:pPr>
                  <w:r>
                    <w:rPr>
                      <w:rFonts w:hint="eastAsia" w:ascii="Times New Roman" w:hAnsi="Times New Roman" w:eastAsia="宋体"/>
                      <w:b w:val="0"/>
                      <w:color w:val="auto"/>
                      <w:sz w:val="21"/>
                      <w:szCs w:val="21"/>
                      <w:vertAlign w:val="baseline"/>
                      <w:lang w:val="en-US" w:eastAsia="zh-CN"/>
                    </w:rPr>
                    <w:t>距室内边界距离/m</w:t>
                  </w:r>
                </w:p>
              </w:tc>
              <w:tc>
                <w:tcPr>
                  <w:tcW w:w="506" w:type="pct"/>
                  <w:vMerge w:val="restart"/>
                  <w:tcBorders>
                    <w:tl2br w:val="nil"/>
                    <w:tr2bl w:val="nil"/>
                  </w:tcBorders>
                  <w:noWrap w:val="0"/>
                  <w:vAlign w:val="center"/>
                </w:tcPr>
                <w:p w14:paraId="43637FD1">
                  <w:pPr>
                    <w:keepNext w:val="0"/>
                    <w:keepLines w:val="0"/>
                    <w:suppressLineNumbers w:val="0"/>
                    <w:spacing w:before="0" w:beforeAutospacing="0" w:after="0" w:afterAutospacing="0"/>
                    <w:ind w:left="0" w:right="0"/>
                    <w:jc w:val="center"/>
                    <w:rPr>
                      <w:rFonts w:hint="default" w:ascii="Times New Roman" w:hAnsi="Times New Roman" w:eastAsia="宋体"/>
                      <w:b w:val="0"/>
                      <w:bCs/>
                      <w:color w:val="auto"/>
                      <w:sz w:val="21"/>
                      <w:szCs w:val="21"/>
                    </w:rPr>
                  </w:pPr>
                  <w:r>
                    <w:rPr>
                      <w:rFonts w:hint="default" w:ascii="Times New Roman" w:hAnsi="Times New Roman" w:eastAsia="宋体"/>
                      <w:b w:val="0"/>
                      <w:bCs/>
                      <w:color w:val="auto"/>
                      <w:sz w:val="21"/>
                      <w:szCs w:val="21"/>
                    </w:rPr>
                    <w:t>声</w:t>
                  </w:r>
                  <w:r>
                    <w:rPr>
                      <w:rFonts w:hint="eastAsia"/>
                      <w:b w:val="0"/>
                      <w:bCs/>
                      <w:color w:val="auto"/>
                      <w:sz w:val="21"/>
                      <w:szCs w:val="21"/>
                      <w:lang w:eastAsia="zh-CN"/>
                    </w:rPr>
                    <w:t>源</w:t>
                  </w:r>
                  <w:r>
                    <w:rPr>
                      <w:rFonts w:hint="default" w:ascii="Times New Roman" w:hAnsi="Times New Roman" w:eastAsia="宋体"/>
                      <w:b w:val="0"/>
                      <w:bCs/>
                      <w:color w:val="auto"/>
                      <w:sz w:val="21"/>
                      <w:szCs w:val="21"/>
                    </w:rPr>
                    <w:t>强</w:t>
                  </w:r>
                </w:p>
                <w:p w14:paraId="3E39B831">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b w:val="0"/>
                      <w:bCs/>
                      <w:color w:val="auto"/>
                      <w:sz w:val="21"/>
                      <w:szCs w:val="21"/>
                    </w:rPr>
                  </w:pPr>
                  <w:r>
                    <w:rPr>
                      <w:rFonts w:hint="default" w:ascii="Times New Roman" w:hAnsi="Times New Roman" w:eastAsia="宋体"/>
                      <w:b w:val="0"/>
                      <w:bCs/>
                      <w:color w:val="auto"/>
                      <w:sz w:val="21"/>
                      <w:szCs w:val="21"/>
                    </w:rPr>
                    <w:t>（声压级/距声源距离）/（dB</w:t>
                  </w:r>
                  <w:r>
                    <w:rPr>
                      <w:rFonts w:hint="eastAsia"/>
                      <w:b w:val="0"/>
                      <w:bCs/>
                      <w:color w:val="auto"/>
                      <w:sz w:val="21"/>
                      <w:szCs w:val="21"/>
                      <w:lang w:eastAsia="zh-CN"/>
                    </w:rPr>
                    <w:t>（</w:t>
                  </w:r>
                  <w:r>
                    <w:rPr>
                      <w:rFonts w:hint="default" w:ascii="Times New Roman" w:hAnsi="Times New Roman" w:eastAsia="宋体"/>
                      <w:b w:val="0"/>
                      <w:bCs/>
                      <w:color w:val="auto"/>
                      <w:sz w:val="21"/>
                      <w:szCs w:val="21"/>
                    </w:rPr>
                    <w:t>A</w:t>
                  </w:r>
                  <w:r>
                    <w:rPr>
                      <w:rFonts w:hint="eastAsia"/>
                      <w:b w:val="0"/>
                      <w:bCs/>
                      <w:color w:val="auto"/>
                      <w:sz w:val="21"/>
                      <w:szCs w:val="21"/>
                      <w:lang w:eastAsia="zh-CN"/>
                    </w:rPr>
                    <w:t>）</w:t>
                  </w:r>
                  <w:r>
                    <w:rPr>
                      <w:rFonts w:hint="default" w:ascii="Times New Roman" w:hAnsi="Times New Roman" w:eastAsia="宋体"/>
                      <w:b w:val="0"/>
                      <w:bCs/>
                      <w:color w:val="auto"/>
                      <w:sz w:val="21"/>
                      <w:szCs w:val="21"/>
                    </w:rPr>
                    <w:t>/1m）</w:t>
                  </w:r>
                </w:p>
              </w:tc>
              <w:tc>
                <w:tcPr>
                  <w:tcW w:w="466" w:type="pct"/>
                  <w:vMerge w:val="restart"/>
                  <w:tcBorders>
                    <w:tl2br w:val="nil"/>
                    <w:tr2bl w:val="nil"/>
                  </w:tcBorders>
                  <w:noWrap w:val="0"/>
                  <w:vAlign w:val="center"/>
                </w:tcPr>
                <w:p w14:paraId="0DF02877">
                  <w:pPr>
                    <w:keepNext w:val="0"/>
                    <w:keepLines w:val="0"/>
                    <w:suppressLineNumbers w:val="0"/>
                    <w:spacing w:before="0" w:beforeAutospacing="0" w:after="0" w:afterAutospacing="0"/>
                    <w:ind w:left="0" w:right="0"/>
                    <w:jc w:val="center"/>
                    <w:rPr>
                      <w:rFonts w:hint="eastAsia" w:ascii="Times New Roman" w:hAnsi="Times New Roman" w:eastAsia="宋体"/>
                      <w:b w:val="0"/>
                      <w:bCs/>
                      <w:color w:val="auto"/>
                      <w:sz w:val="21"/>
                      <w:szCs w:val="21"/>
                      <w:lang w:eastAsia="zh-CN"/>
                    </w:rPr>
                  </w:pPr>
                  <w:r>
                    <w:rPr>
                      <w:rFonts w:hint="eastAsia" w:ascii="Times New Roman" w:hAnsi="Times New Roman" w:eastAsia="宋体"/>
                      <w:b w:val="0"/>
                      <w:bCs/>
                      <w:color w:val="auto"/>
                      <w:sz w:val="21"/>
                      <w:szCs w:val="21"/>
                      <w:lang w:val="en-US" w:eastAsia="zh-CN"/>
                    </w:rPr>
                    <w:t>运行时段</w:t>
                  </w:r>
                </w:p>
              </w:tc>
              <w:tc>
                <w:tcPr>
                  <w:tcW w:w="272" w:type="pct"/>
                  <w:vMerge w:val="restart"/>
                  <w:tcBorders>
                    <w:tl2br w:val="nil"/>
                    <w:tr2bl w:val="nil"/>
                  </w:tcBorders>
                  <w:noWrap w:val="0"/>
                  <w:vAlign w:val="center"/>
                </w:tcPr>
                <w:p w14:paraId="2156C787">
                  <w:pPr>
                    <w:keepNext w:val="0"/>
                    <w:keepLines w:val="0"/>
                    <w:suppressLineNumbers w:val="0"/>
                    <w:spacing w:before="0" w:beforeAutospacing="0" w:after="0" w:afterAutospacing="0"/>
                    <w:ind w:left="0" w:right="0"/>
                    <w:jc w:val="center"/>
                    <w:rPr>
                      <w:rFonts w:hint="default" w:ascii="Times New Roman" w:hAnsi="Times New Roman" w:eastAsia="宋体"/>
                      <w:b w:val="0"/>
                      <w:bCs/>
                      <w:color w:val="auto"/>
                      <w:sz w:val="21"/>
                      <w:szCs w:val="21"/>
                      <w:lang w:val="en-US" w:eastAsia="zh-CN"/>
                    </w:rPr>
                  </w:pPr>
                  <w:r>
                    <w:rPr>
                      <w:rFonts w:hint="eastAsia" w:ascii="Times New Roman" w:hAnsi="Times New Roman" w:eastAsia="宋体"/>
                      <w:b w:val="0"/>
                      <w:color w:val="auto"/>
                      <w:sz w:val="21"/>
                      <w:szCs w:val="21"/>
                      <w:vertAlign w:val="baseline"/>
                      <w:lang w:val="en-US" w:eastAsia="zh-CN"/>
                    </w:rPr>
                    <w:t>建筑物插入损失/dB（A）</w:t>
                  </w:r>
                </w:p>
              </w:tc>
              <w:tc>
                <w:tcPr>
                  <w:tcW w:w="477" w:type="pct"/>
                  <w:vMerge w:val="restart"/>
                  <w:tcBorders>
                    <w:tl2br w:val="nil"/>
                    <w:tr2bl w:val="nil"/>
                  </w:tcBorders>
                  <w:noWrap w:val="0"/>
                  <w:vAlign w:val="center"/>
                </w:tcPr>
                <w:p w14:paraId="2D15CE78">
                  <w:pPr>
                    <w:keepNext w:val="0"/>
                    <w:keepLines w:val="0"/>
                    <w:suppressLineNumbers w:val="0"/>
                    <w:spacing w:before="0" w:beforeAutospacing="0" w:after="0" w:afterAutospacing="0"/>
                    <w:ind w:left="0" w:right="0"/>
                    <w:jc w:val="center"/>
                    <w:rPr>
                      <w:rFonts w:hint="default" w:ascii="Times New Roman" w:hAnsi="Times New Roman" w:eastAsia="宋体"/>
                      <w:b w:val="0"/>
                      <w:bCs/>
                      <w:color w:val="auto"/>
                      <w:sz w:val="21"/>
                      <w:szCs w:val="21"/>
                    </w:rPr>
                  </w:pPr>
                  <w:r>
                    <w:rPr>
                      <w:rFonts w:hint="eastAsia" w:ascii="Times New Roman" w:hAnsi="Times New Roman" w:eastAsia="宋体"/>
                      <w:b w:val="0"/>
                      <w:bCs/>
                      <w:color w:val="auto"/>
                      <w:sz w:val="21"/>
                      <w:szCs w:val="21"/>
                    </w:rPr>
                    <w:t>削减后</w:t>
                  </w:r>
                  <w:r>
                    <w:rPr>
                      <w:rFonts w:hint="default" w:ascii="Times New Roman" w:hAnsi="Times New Roman" w:eastAsia="宋体"/>
                      <w:b w:val="0"/>
                      <w:bCs/>
                      <w:color w:val="auto"/>
                      <w:sz w:val="21"/>
                      <w:szCs w:val="21"/>
                    </w:rPr>
                    <w:t>声源源强（声压级/距声源距离）/（dB</w:t>
                  </w:r>
                  <w:r>
                    <w:rPr>
                      <w:rFonts w:hint="eastAsia"/>
                      <w:b w:val="0"/>
                      <w:bCs/>
                      <w:color w:val="auto"/>
                      <w:sz w:val="21"/>
                      <w:szCs w:val="21"/>
                      <w:lang w:eastAsia="zh-CN"/>
                    </w:rPr>
                    <w:t>（</w:t>
                  </w:r>
                  <w:r>
                    <w:rPr>
                      <w:rFonts w:hint="default" w:ascii="Times New Roman" w:hAnsi="Times New Roman" w:eastAsia="宋体"/>
                      <w:b w:val="0"/>
                      <w:bCs/>
                      <w:color w:val="auto"/>
                      <w:sz w:val="21"/>
                      <w:szCs w:val="21"/>
                    </w:rPr>
                    <w:t>A</w:t>
                  </w:r>
                  <w:r>
                    <w:rPr>
                      <w:rFonts w:hint="eastAsia"/>
                      <w:b w:val="0"/>
                      <w:bCs/>
                      <w:color w:val="auto"/>
                      <w:sz w:val="21"/>
                      <w:szCs w:val="21"/>
                      <w:lang w:eastAsia="zh-CN"/>
                    </w:rPr>
                    <w:t>）</w:t>
                  </w:r>
                  <w:r>
                    <w:rPr>
                      <w:rFonts w:hint="default" w:ascii="Times New Roman" w:hAnsi="Times New Roman" w:eastAsia="宋体"/>
                      <w:b w:val="0"/>
                      <w:bCs/>
                      <w:color w:val="auto"/>
                      <w:sz w:val="21"/>
                      <w:szCs w:val="21"/>
                    </w:rPr>
                    <w:t>/1m）</w:t>
                  </w:r>
                </w:p>
              </w:tc>
              <w:tc>
                <w:tcPr>
                  <w:tcW w:w="235" w:type="pct"/>
                  <w:vMerge w:val="restart"/>
                  <w:tcBorders>
                    <w:tl2br w:val="nil"/>
                    <w:tr2bl w:val="nil"/>
                  </w:tcBorders>
                  <w:noWrap w:val="0"/>
                  <w:vAlign w:val="center"/>
                </w:tcPr>
                <w:p w14:paraId="5AA19B21">
                  <w:pPr>
                    <w:pStyle w:val="1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宋体"/>
                      <w:b w:val="0"/>
                      <w:color w:val="auto"/>
                      <w:kern w:val="2"/>
                      <w:sz w:val="21"/>
                      <w:szCs w:val="21"/>
                      <w:vertAlign w:val="baseline"/>
                      <w:lang w:val="en-US" w:eastAsia="zh-CN" w:bidi="ar-SA"/>
                    </w:rPr>
                  </w:pPr>
                  <w:r>
                    <w:rPr>
                      <w:rFonts w:hint="eastAsia" w:ascii="Times New Roman" w:hAnsi="Times New Roman" w:eastAsia="宋体"/>
                      <w:b w:val="0"/>
                      <w:color w:val="auto"/>
                      <w:sz w:val="21"/>
                      <w:szCs w:val="21"/>
                      <w:vertAlign w:val="baseline"/>
                      <w:lang w:val="en-US" w:eastAsia="zh-CN"/>
                    </w:rPr>
                    <w:t>建筑物外距离/m</w:t>
                  </w:r>
                </w:p>
              </w:tc>
            </w:tr>
            <w:tr w14:paraId="739872FD">
              <w:trPr>
                <w:trHeight w:val="397" w:hRule="atLeast"/>
                <w:jc w:val="center"/>
              </w:trPr>
              <w:tc>
                <w:tcPr>
                  <w:tcW w:w="147" w:type="pct"/>
                  <w:vMerge w:val="continue"/>
                  <w:tcBorders>
                    <w:tl2br w:val="nil"/>
                    <w:tr2bl w:val="nil"/>
                  </w:tcBorders>
                  <w:shd w:val="clear" w:color="auto" w:fill="FFFFFF"/>
                  <w:noWrap w:val="0"/>
                  <w:vAlign w:val="center"/>
                </w:tcPr>
                <w:p w14:paraId="45BCA033">
                  <w:pPr>
                    <w:keepNext w:val="0"/>
                    <w:keepLines w:val="0"/>
                    <w:suppressLineNumbers w:val="0"/>
                    <w:spacing w:before="0" w:beforeAutospacing="0" w:after="0" w:afterAutospacing="0"/>
                    <w:ind w:left="0" w:right="0"/>
                    <w:jc w:val="center"/>
                    <w:rPr>
                      <w:rFonts w:hint="default" w:ascii="Times New Roman" w:hAnsi="Times New Roman" w:eastAsia="宋体"/>
                      <w:color w:val="auto"/>
                      <w:sz w:val="21"/>
                      <w:szCs w:val="21"/>
                    </w:rPr>
                  </w:pPr>
                </w:p>
              </w:tc>
              <w:tc>
                <w:tcPr>
                  <w:tcW w:w="245" w:type="pct"/>
                  <w:vMerge w:val="continue"/>
                  <w:tcBorders>
                    <w:tl2br w:val="nil"/>
                    <w:tr2bl w:val="nil"/>
                  </w:tcBorders>
                  <w:shd w:val="clear" w:color="auto" w:fill="FFFFFF"/>
                  <w:noWrap w:val="0"/>
                  <w:vAlign w:val="center"/>
                </w:tcPr>
                <w:p w14:paraId="34CBEF4C">
                  <w:pPr>
                    <w:keepNext w:val="0"/>
                    <w:keepLines w:val="0"/>
                    <w:suppressLineNumbers w:val="0"/>
                    <w:spacing w:before="0" w:beforeAutospacing="0" w:after="0" w:afterAutospacing="0"/>
                    <w:ind w:left="0" w:right="0"/>
                    <w:jc w:val="center"/>
                    <w:rPr>
                      <w:rFonts w:hint="default" w:ascii="Times New Roman" w:hAnsi="Times New Roman" w:eastAsia="宋体"/>
                      <w:color w:val="auto"/>
                      <w:sz w:val="21"/>
                      <w:szCs w:val="21"/>
                    </w:rPr>
                  </w:pPr>
                </w:p>
              </w:tc>
              <w:tc>
                <w:tcPr>
                  <w:tcW w:w="630" w:type="pct"/>
                  <w:vMerge w:val="continue"/>
                  <w:tcBorders>
                    <w:tl2br w:val="nil"/>
                    <w:tr2bl w:val="nil"/>
                  </w:tcBorders>
                  <w:shd w:val="clear" w:color="auto" w:fill="FFFFFF"/>
                  <w:noWrap w:val="0"/>
                  <w:vAlign w:val="center"/>
                </w:tcPr>
                <w:p w14:paraId="592798A4">
                  <w:pPr>
                    <w:keepNext w:val="0"/>
                    <w:keepLines w:val="0"/>
                    <w:suppressLineNumbers w:val="0"/>
                    <w:spacing w:before="0" w:beforeAutospacing="0" w:after="0" w:afterAutospacing="0"/>
                    <w:ind w:left="0" w:right="0"/>
                    <w:jc w:val="center"/>
                    <w:rPr>
                      <w:rFonts w:hint="default" w:ascii="Times New Roman" w:hAnsi="Times New Roman" w:eastAsia="宋体"/>
                      <w:color w:val="auto"/>
                      <w:sz w:val="21"/>
                      <w:szCs w:val="21"/>
                    </w:rPr>
                  </w:pPr>
                </w:p>
              </w:tc>
              <w:tc>
                <w:tcPr>
                  <w:tcW w:w="242" w:type="pct"/>
                  <w:vMerge w:val="continue"/>
                  <w:tcBorders>
                    <w:tl2br w:val="nil"/>
                    <w:tr2bl w:val="nil"/>
                  </w:tcBorders>
                  <w:shd w:val="clear" w:color="auto" w:fill="FFFFFF"/>
                  <w:noWrap w:val="0"/>
                  <w:vAlign w:val="center"/>
                </w:tcPr>
                <w:p w14:paraId="6F5FF61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olor w:val="auto"/>
                      <w:kern w:val="2"/>
                      <w:sz w:val="21"/>
                      <w:szCs w:val="21"/>
                      <w:lang w:val="en-US" w:eastAsia="zh-CN" w:bidi="ar-SA"/>
                    </w:rPr>
                  </w:pPr>
                </w:p>
              </w:tc>
              <w:tc>
                <w:tcPr>
                  <w:tcW w:w="563" w:type="pct"/>
                  <w:vMerge w:val="continue"/>
                  <w:tcBorders>
                    <w:tl2br w:val="nil"/>
                    <w:tr2bl w:val="nil"/>
                  </w:tcBorders>
                  <w:shd w:val="clear" w:color="auto" w:fill="FFFFFF"/>
                  <w:noWrap w:val="0"/>
                  <w:vAlign w:val="center"/>
                </w:tcPr>
                <w:p w14:paraId="6BBBC7D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lang w:val="en-US" w:eastAsia="zh-CN" w:bidi="ar-SA"/>
                    </w:rPr>
                  </w:pPr>
                </w:p>
              </w:tc>
              <w:tc>
                <w:tcPr>
                  <w:tcW w:w="262" w:type="pct"/>
                  <w:vMerge w:val="continue"/>
                  <w:tcBorders>
                    <w:tl2br w:val="nil"/>
                    <w:tr2bl w:val="nil"/>
                  </w:tcBorders>
                  <w:shd w:val="clear" w:color="auto" w:fill="auto"/>
                  <w:noWrap w:val="0"/>
                  <w:vAlign w:val="center"/>
                </w:tcPr>
                <w:p w14:paraId="0D1C0DB9">
                  <w:pPr>
                    <w:keepNext w:val="0"/>
                    <w:keepLines w:val="0"/>
                    <w:suppressLineNumbers w:val="0"/>
                    <w:spacing w:before="0" w:beforeAutospacing="0" w:after="0" w:afterAutospacing="0"/>
                    <w:ind w:left="0" w:right="0"/>
                    <w:jc w:val="center"/>
                    <w:rPr>
                      <w:rFonts w:hint="default" w:ascii="Times New Roman" w:hAnsi="Times New Roman" w:eastAsia="宋体"/>
                      <w:b w:val="0"/>
                      <w:bCs/>
                      <w:color w:val="auto"/>
                      <w:sz w:val="21"/>
                      <w:szCs w:val="21"/>
                    </w:rPr>
                  </w:pPr>
                </w:p>
              </w:tc>
              <w:tc>
                <w:tcPr>
                  <w:tcW w:w="247" w:type="pct"/>
                  <w:tcBorders>
                    <w:tl2br w:val="nil"/>
                    <w:tr2bl w:val="nil"/>
                  </w:tcBorders>
                  <w:shd w:val="clear" w:color="auto" w:fill="auto"/>
                  <w:noWrap w:val="0"/>
                  <w:vAlign w:val="center"/>
                </w:tcPr>
                <w:p w14:paraId="098F86EB">
                  <w:pPr>
                    <w:keepNext w:val="0"/>
                    <w:keepLines w:val="0"/>
                    <w:suppressLineNumbers w:val="0"/>
                    <w:spacing w:before="0" w:beforeAutospacing="0" w:after="0" w:afterAutospacing="0"/>
                    <w:ind w:left="0" w:right="0"/>
                    <w:jc w:val="center"/>
                    <w:rPr>
                      <w:rFonts w:hint="default" w:ascii="Times New Roman" w:hAnsi="Times New Roman" w:eastAsia="宋体"/>
                      <w:b w:val="0"/>
                      <w:bCs/>
                      <w:color w:val="auto"/>
                      <w:sz w:val="21"/>
                      <w:szCs w:val="21"/>
                    </w:rPr>
                  </w:pPr>
                  <w:r>
                    <w:rPr>
                      <w:rFonts w:hint="default" w:ascii="Times New Roman" w:hAnsi="Times New Roman" w:eastAsia="宋体"/>
                      <w:b w:val="0"/>
                      <w:bCs/>
                      <w:color w:val="auto"/>
                      <w:sz w:val="21"/>
                      <w:szCs w:val="21"/>
                    </w:rPr>
                    <w:t>X</w:t>
                  </w:r>
                </w:p>
              </w:tc>
              <w:tc>
                <w:tcPr>
                  <w:tcW w:w="252" w:type="pct"/>
                  <w:tcBorders>
                    <w:tl2br w:val="nil"/>
                    <w:tr2bl w:val="nil"/>
                  </w:tcBorders>
                  <w:shd w:val="clear" w:color="auto" w:fill="auto"/>
                  <w:noWrap w:val="0"/>
                  <w:vAlign w:val="center"/>
                </w:tcPr>
                <w:p w14:paraId="7163CB4E">
                  <w:pPr>
                    <w:keepNext w:val="0"/>
                    <w:keepLines w:val="0"/>
                    <w:suppressLineNumbers w:val="0"/>
                    <w:spacing w:before="0" w:beforeAutospacing="0" w:after="0" w:afterAutospacing="0"/>
                    <w:ind w:left="0" w:right="0"/>
                    <w:jc w:val="center"/>
                    <w:rPr>
                      <w:rFonts w:hint="default" w:ascii="Times New Roman" w:hAnsi="Times New Roman" w:eastAsia="宋体"/>
                      <w:b w:val="0"/>
                      <w:bCs/>
                      <w:color w:val="auto"/>
                      <w:sz w:val="21"/>
                      <w:szCs w:val="21"/>
                    </w:rPr>
                  </w:pPr>
                  <w:r>
                    <w:rPr>
                      <w:rFonts w:hint="default" w:ascii="Times New Roman" w:hAnsi="Times New Roman" w:eastAsia="宋体"/>
                      <w:b w:val="0"/>
                      <w:bCs/>
                      <w:color w:val="auto"/>
                      <w:sz w:val="21"/>
                      <w:szCs w:val="21"/>
                    </w:rPr>
                    <w:t>Y</w:t>
                  </w:r>
                </w:p>
              </w:tc>
              <w:tc>
                <w:tcPr>
                  <w:tcW w:w="187" w:type="pct"/>
                  <w:tcBorders>
                    <w:tl2br w:val="nil"/>
                    <w:tr2bl w:val="nil"/>
                  </w:tcBorders>
                  <w:shd w:val="clear" w:color="auto" w:fill="auto"/>
                  <w:noWrap w:val="0"/>
                  <w:vAlign w:val="center"/>
                </w:tcPr>
                <w:p w14:paraId="727A9664">
                  <w:pPr>
                    <w:keepNext w:val="0"/>
                    <w:keepLines w:val="0"/>
                    <w:suppressLineNumbers w:val="0"/>
                    <w:spacing w:before="0" w:beforeAutospacing="0" w:after="0" w:afterAutospacing="0"/>
                    <w:ind w:left="0" w:right="0"/>
                    <w:jc w:val="center"/>
                    <w:rPr>
                      <w:rFonts w:hint="eastAsia" w:ascii="Times New Roman" w:hAnsi="Times New Roman" w:eastAsia="宋体"/>
                      <w:b w:val="0"/>
                      <w:bCs/>
                      <w:color w:val="auto"/>
                      <w:sz w:val="21"/>
                      <w:szCs w:val="21"/>
                      <w:lang w:val="en-US" w:eastAsia="zh-CN"/>
                    </w:rPr>
                  </w:pPr>
                  <w:r>
                    <w:rPr>
                      <w:rFonts w:hint="eastAsia" w:ascii="Times New Roman" w:hAnsi="Times New Roman" w:eastAsia="宋体"/>
                      <w:b w:val="0"/>
                      <w:bCs/>
                      <w:color w:val="auto"/>
                      <w:sz w:val="21"/>
                      <w:szCs w:val="21"/>
                      <w:lang w:val="en-US" w:eastAsia="zh-CN"/>
                    </w:rPr>
                    <w:t>Z</w:t>
                  </w:r>
                </w:p>
              </w:tc>
              <w:tc>
                <w:tcPr>
                  <w:tcW w:w="262" w:type="pct"/>
                  <w:vMerge w:val="continue"/>
                  <w:tcBorders>
                    <w:tl2br w:val="nil"/>
                    <w:tr2bl w:val="nil"/>
                  </w:tcBorders>
                  <w:shd w:val="clear" w:color="auto" w:fill="FFFFFF"/>
                  <w:noWrap w:val="0"/>
                  <w:vAlign w:val="center"/>
                </w:tcPr>
                <w:p w14:paraId="57059604">
                  <w:pPr>
                    <w:keepNext w:val="0"/>
                    <w:keepLines w:val="0"/>
                    <w:suppressLineNumbers w:val="0"/>
                    <w:spacing w:before="0" w:beforeAutospacing="0" w:after="0" w:afterAutospacing="0"/>
                    <w:ind w:left="0" w:right="0"/>
                    <w:jc w:val="center"/>
                    <w:rPr>
                      <w:rFonts w:hint="default" w:ascii="Times New Roman" w:hAnsi="Times New Roman" w:eastAsia="宋体"/>
                      <w:b/>
                      <w:bCs w:val="0"/>
                      <w:color w:val="auto"/>
                      <w:sz w:val="21"/>
                      <w:szCs w:val="21"/>
                    </w:rPr>
                  </w:pPr>
                </w:p>
              </w:tc>
              <w:tc>
                <w:tcPr>
                  <w:tcW w:w="506" w:type="pct"/>
                  <w:vMerge w:val="continue"/>
                  <w:tcBorders>
                    <w:tl2br w:val="nil"/>
                    <w:tr2bl w:val="nil"/>
                  </w:tcBorders>
                  <w:shd w:val="clear" w:color="auto" w:fill="FFFFFF"/>
                  <w:noWrap w:val="0"/>
                  <w:vAlign w:val="center"/>
                </w:tcPr>
                <w:p w14:paraId="27CA7877">
                  <w:pPr>
                    <w:keepNext w:val="0"/>
                    <w:keepLines w:val="0"/>
                    <w:suppressLineNumbers w:val="0"/>
                    <w:spacing w:before="0" w:beforeAutospacing="0" w:after="0" w:afterAutospacing="0"/>
                    <w:ind w:left="0" w:right="0"/>
                    <w:jc w:val="center"/>
                    <w:rPr>
                      <w:rFonts w:hint="default" w:ascii="Times New Roman" w:hAnsi="Times New Roman" w:eastAsia="宋体"/>
                      <w:b/>
                      <w:bCs w:val="0"/>
                      <w:color w:val="auto"/>
                      <w:sz w:val="21"/>
                      <w:szCs w:val="21"/>
                    </w:rPr>
                  </w:pPr>
                </w:p>
              </w:tc>
              <w:tc>
                <w:tcPr>
                  <w:tcW w:w="466" w:type="pct"/>
                  <w:vMerge w:val="continue"/>
                  <w:tcBorders>
                    <w:tl2br w:val="nil"/>
                    <w:tr2bl w:val="nil"/>
                  </w:tcBorders>
                  <w:shd w:val="clear" w:color="auto" w:fill="FFFFFF"/>
                  <w:noWrap w:val="0"/>
                  <w:vAlign w:val="center"/>
                </w:tcPr>
                <w:p w14:paraId="55C5B311">
                  <w:pPr>
                    <w:keepNext w:val="0"/>
                    <w:keepLines w:val="0"/>
                    <w:suppressLineNumbers w:val="0"/>
                    <w:spacing w:before="0" w:beforeAutospacing="0" w:after="0" w:afterAutospacing="0"/>
                    <w:ind w:left="0" w:right="0"/>
                    <w:jc w:val="center"/>
                    <w:rPr>
                      <w:rFonts w:hint="default" w:ascii="Times New Roman" w:hAnsi="Times New Roman" w:eastAsia="宋体"/>
                      <w:color w:val="auto"/>
                      <w:sz w:val="21"/>
                      <w:szCs w:val="21"/>
                    </w:rPr>
                  </w:pPr>
                </w:p>
              </w:tc>
              <w:tc>
                <w:tcPr>
                  <w:tcW w:w="272" w:type="pct"/>
                  <w:vMerge w:val="continue"/>
                  <w:tcBorders>
                    <w:tl2br w:val="nil"/>
                    <w:tr2bl w:val="nil"/>
                  </w:tcBorders>
                  <w:shd w:val="clear" w:color="auto" w:fill="FFFFFF"/>
                  <w:noWrap w:val="0"/>
                  <w:vAlign w:val="center"/>
                </w:tcPr>
                <w:p w14:paraId="1168546C">
                  <w:pPr>
                    <w:keepNext w:val="0"/>
                    <w:keepLines w:val="0"/>
                    <w:suppressLineNumbers w:val="0"/>
                    <w:spacing w:before="0" w:beforeAutospacing="0" w:after="0" w:afterAutospacing="0"/>
                    <w:ind w:left="0" w:right="0"/>
                    <w:jc w:val="center"/>
                    <w:rPr>
                      <w:rFonts w:hint="default" w:ascii="Times New Roman" w:hAnsi="Times New Roman" w:eastAsia="宋体"/>
                      <w:color w:val="auto"/>
                      <w:sz w:val="21"/>
                      <w:szCs w:val="21"/>
                    </w:rPr>
                  </w:pPr>
                </w:p>
              </w:tc>
              <w:tc>
                <w:tcPr>
                  <w:tcW w:w="477" w:type="pct"/>
                  <w:vMerge w:val="continue"/>
                  <w:tcBorders>
                    <w:tl2br w:val="nil"/>
                    <w:tr2bl w:val="nil"/>
                  </w:tcBorders>
                  <w:shd w:val="clear" w:color="auto" w:fill="FFFFFF"/>
                  <w:noWrap w:val="0"/>
                  <w:vAlign w:val="center"/>
                </w:tcPr>
                <w:p w14:paraId="562A48BB">
                  <w:pPr>
                    <w:keepNext w:val="0"/>
                    <w:keepLines w:val="0"/>
                    <w:suppressLineNumbers w:val="0"/>
                    <w:spacing w:before="0" w:beforeAutospacing="0" w:after="0" w:afterAutospacing="0"/>
                    <w:ind w:left="0" w:right="0"/>
                    <w:jc w:val="center"/>
                    <w:rPr>
                      <w:rFonts w:hint="default" w:ascii="Times New Roman" w:hAnsi="Times New Roman" w:eastAsia="宋体"/>
                      <w:color w:val="auto"/>
                      <w:sz w:val="21"/>
                      <w:szCs w:val="21"/>
                    </w:rPr>
                  </w:pPr>
                </w:p>
              </w:tc>
              <w:tc>
                <w:tcPr>
                  <w:tcW w:w="235" w:type="pct"/>
                  <w:vMerge w:val="continue"/>
                  <w:tcBorders>
                    <w:tl2br w:val="nil"/>
                    <w:tr2bl w:val="nil"/>
                  </w:tcBorders>
                  <w:shd w:val="clear" w:color="auto" w:fill="FFFFFF"/>
                  <w:noWrap w:val="0"/>
                  <w:vAlign w:val="center"/>
                </w:tcPr>
                <w:p w14:paraId="6DFB6965">
                  <w:pPr>
                    <w:keepNext w:val="0"/>
                    <w:keepLines w:val="0"/>
                    <w:suppressLineNumbers w:val="0"/>
                    <w:spacing w:before="0" w:beforeAutospacing="0" w:after="0" w:afterAutospacing="0"/>
                    <w:ind w:left="0" w:right="0"/>
                    <w:jc w:val="center"/>
                    <w:rPr>
                      <w:rFonts w:hint="default" w:ascii="Times New Roman" w:hAnsi="Times New Roman" w:eastAsia="宋体"/>
                      <w:color w:val="auto"/>
                      <w:sz w:val="21"/>
                      <w:szCs w:val="21"/>
                    </w:rPr>
                  </w:pPr>
                </w:p>
              </w:tc>
            </w:tr>
            <w:tr w14:paraId="12A63205">
              <w:trPr>
                <w:trHeight w:val="397" w:hRule="atLeast"/>
                <w:jc w:val="center"/>
              </w:trPr>
              <w:tc>
                <w:tcPr>
                  <w:tcW w:w="147" w:type="pct"/>
                  <w:tcBorders>
                    <w:tl2br w:val="nil"/>
                    <w:tr2bl w:val="nil"/>
                  </w:tcBorders>
                  <w:noWrap w:val="0"/>
                  <w:vAlign w:val="center"/>
                </w:tcPr>
                <w:p w14:paraId="714BCD4D">
                  <w:pPr>
                    <w:numPr>
                      <w:ilvl w:val="0"/>
                      <w:numId w:val="25"/>
                    </w:numPr>
                    <w:ind w:left="0" w:leftChars="0" w:firstLine="0" w:firstLineChars="0"/>
                    <w:jc w:val="center"/>
                    <w:rPr>
                      <w:rFonts w:hint="eastAsia" w:ascii="Times New Roman" w:hAnsi="Times New Roman" w:eastAsia="宋体"/>
                      <w:color w:val="auto"/>
                      <w:sz w:val="21"/>
                      <w:szCs w:val="21"/>
                      <w:lang w:val="en-US" w:eastAsia="zh-CN"/>
                    </w:rPr>
                  </w:pPr>
                </w:p>
              </w:tc>
              <w:tc>
                <w:tcPr>
                  <w:tcW w:w="245" w:type="pct"/>
                  <w:vMerge w:val="restart"/>
                  <w:tcBorders>
                    <w:tl2br w:val="nil"/>
                    <w:tr2bl w:val="nil"/>
                  </w:tcBorders>
                  <w:noWrap w:val="0"/>
                  <w:vAlign w:val="center"/>
                </w:tcPr>
                <w:p w14:paraId="0BDB80B3">
                  <w:pPr>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kern w:val="2"/>
                      <w:sz w:val="21"/>
                      <w:szCs w:val="21"/>
                      <w:lang w:val="en-US" w:eastAsia="zh-CN" w:bidi="ar-SA"/>
                    </w:rPr>
                    <w:t>生产车间</w:t>
                  </w:r>
                </w:p>
              </w:tc>
              <w:tc>
                <w:tcPr>
                  <w:tcW w:w="630" w:type="pct"/>
                  <w:tcBorders>
                    <w:tl2br w:val="nil"/>
                    <w:tr2bl w:val="nil"/>
                  </w:tcBorders>
                  <w:noWrap w:val="0"/>
                  <w:vAlign w:val="center"/>
                </w:tcPr>
                <w:p w14:paraId="2BD74643">
                  <w:pPr>
                    <w:jc w:val="center"/>
                    <w:rPr>
                      <w:rFonts w:hint="eastAsia" w:ascii="Times New Roman" w:hAnsi="Times New Roman" w:eastAsia="宋体" w:cs="Arial"/>
                      <w:color w:val="auto"/>
                      <w:sz w:val="21"/>
                      <w:szCs w:val="21"/>
                      <w:lang w:val="en-US" w:eastAsia="zh-CN"/>
                    </w:rPr>
                  </w:pPr>
                  <w:r>
                    <w:rPr>
                      <w:rFonts w:hint="eastAsia" w:ascii="Times New Roman" w:hAnsi="Times New Roman" w:eastAsia="宋体" w:cs="Arial"/>
                      <w:color w:val="auto"/>
                      <w:sz w:val="21"/>
                      <w:lang w:val="en-US" w:eastAsia="zh-CN"/>
                    </w:rPr>
                    <w:t>纯水制备系统</w:t>
                  </w:r>
                </w:p>
              </w:tc>
              <w:tc>
                <w:tcPr>
                  <w:tcW w:w="242" w:type="pct"/>
                  <w:tcBorders>
                    <w:tl2br w:val="nil"/>
                    <w:tr2bl w:val="nil"/>
                  </w:tcBorders>
                  <w:noWrap w:val="0"/>
                  <w:vAlign w:val="center"/>
                </w:tcPr>
                <w:p w14:paraId="16EE594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1630" w:type="dxa"/>
                  <w:tcBorders>
                    <w:tl2br w:val="nil"/>
                    <w:tr2bl w:val="nil"/>
                  </w:tcBorders>
                  <w:noWrap w:val="0"/>
                  <w:vAlign w:val="center"/>
                </w:tcPr>
                <w:p w14:paraId="294A420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w:t>
                  </w:r>
                </w:p>
              </w:tc>
              <w:tc>
                <w:tcPr>
                  <w:tcW w:w="262" w:type="pct"/>
                  <w:vMerge w:val="restart"/>
                  <w:tcBorders>
                    <w:tl2br w:val="nil"/>
                    <w:tr2bl w:val="nil"/>
                  </w:tcBorders>
                  <w:noWrap w:val="0"/>
                  <w:vAlign w:val="center"/>
                </w:tcPr>
                <w:p w14:paraId="1DF7559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建筑隔声、基础减震、距离衰减</w:t>
                  </w:r>
                </w:p>
              </w:tc>
              <w:tc>
                <w:tcPr>
                  <w:tcW w:w="715" w:type="dxa"/>
                  <w:tcBorders>
                    <w:tl2br w:val="nil"/>
                    <w:tr2bl w:val="nil"/>
                  </w:tcBorders>
                  <w:noWrap w:val="0"/>
                  <w:vAlign w:val="center"/>
                </w:tcPr>
                <w:p w14:paraId="23728882">
                  <w:pPr>
                    <w:keepNext w:val="0"/>
                    <w:keepLines w:val="0"/>
                    <w:widowControl/>
                    <w:suppressLineNumbers w:val="0"/>
                    <w:jc w:val="right"/>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12.5</w:t>
                  </w:r>
                </w:p>
              </w:tc>
              <w:tc>
                <w:tcPr>
                  <w:tcW w:w="730" w:type="dxa"/>
                  <w:tcBorders>
                    <w:tl2br w:val="nil"/>
                    <w:tr2bl w:val="nil"/>
                  </w:tcBorders>
                  <w:noWrap w:val="0"/>
                  <w:vAlign w:val="center"/>
                </w:tcPr>
                <w:p w14:paraId="2DD86CC3">
                  <w:pPr>
                    <w:keepNext w:val="0"/>
                    <w:keepLines w:val="0"/>
                    <w:widowControl/>
                    <w:suppressLineNumbers w:val="0"/>
                    <w:jc w:val="right"/>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29.2</w:t>
                  </w:r>
                </w:p>
              </w:tc>
              <w:tc>
                <w:tcPr>
                  <w:tcW w:w="187" w:type="pct"/>
                  <w:tcBorders>
                    <w:tl2br w:val="nil"/>
                    <w:tr2bl w:val="nil"/>
                  </w:tcBorders>
                  <w:noWrap w:val="0"/>
                  <w:vAlign w:val="center"/>
                </w:tcPr>
                <w:p w14:paraId="6C12433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758" w:type="dxa"/>
                  <w:tcBorders>
                    <w:tl2br w:val="nil"/>
                    <w:tr2bl w:val="nil"/>
                  </w:tcBorders>
                  <w:noWrap w:val="0"/>
                  <w:vAlign w:val="center"/>
                </w:tcPr>
                <w:p w14:paraId="1F3DE04F">
                  <w:pPr>
                    <w:keepNext w:val="0"/>
                    <w:keepLines w:val="0"/>
                    <w:widowControl/>
                    <w:suppressLineNumbers w:val="0"/>
                    <w:jc w:val="right"/>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29.2</w:t>
                  </w:r>
                </w:p>
              </w:tc>
              <w:tc>
                <w:tcPr>
                  <w:tcW w:w="1465" w:type="dxa"/>
                  <w:tcBorders>
                    <w:tl2br w:val="nil"/>
                    <w:tr2bl w:val="nil"/>
                  </w:tcBorders>
                  <w:noWrap w:val="0"/>
                  <w:vAlign w:val="center"/>
                </w:tcPr>
                <w:p w14:paraId="3CB571CA">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50.69</w:t>
                  </w:r>
                </w:p>
              </w:tc>
              <w:tc>
                <w:tcPr>
                  <w:tcW w:w="466" w:type="pct"/>
                  <w:vMerge w:val="restart"/>
                  <w:tcBorders>
                    <w:tl2br w:val="nil"/>
                    <w:tr2bl w:val="nil"/>
                  </w:tcBorders>
                  <w:noWrap w:val="0"/>
                  <w:vAlign w:val="center"/>
                </w:tcPr>
                <w:p w14:paraId="17B530F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8:00-20:00</w:t>
                  </w:r>
                  <w:r>
                    <w:rPr>
                      <w:rFonts w:hint="eastAsia" w:cs="Times New Roman"/>
                      <w:color w:val="auto"/>
                      <w:sz w:val="21"/>
                      <w:szCs w:val="21"/>
                      <w:lang w:val="en-US" w:eastAsia="zh-CN"/>
                    </w:rPr>
                    <w:t>,</w:t>
                  </w:r>
                </w:p>
                <w:p w14:paraId="1475496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20:00-8:00</w:t>
                  </w:r>
                </w:p>
              </w:tc>
              <w:tc>
                <w:tcPr>
                  <w:tcW w:w="272" w:type="pct"/>
                  <w:vMerge w:val="restart"/>
                  <w:tcBorders>
                    <w:tl2br w:val="nil"/>
                    <w:tr2bl w:val="nil"/>
                  </w:tcBorders>
                  <w:noWrap w:val="0"/>
                  <w:vAlign w:val="center"/>
                </w:tcPr>
                <w:p w14:paraId="439B444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1381" w:type="dxa"/>
                  <w:tcBorders>
                    <w:tl2br w:val="nil"/>
                    <w:tr2bl w:val="nil"/>
                  </w:tcBorders>
                  <w:noWrap w:val="0"/>
                  <w:vAlign w:val="center"/>
                </w:tcPr>
                <w:p w14:paraId="74128274">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30.69</w:t>
                  </w:r>
                </w:p>
              </w:tc>
              <w:tc>
                <w:tcPr>
                  <w:tcW w:w="235" w:type="pct"/>
                  <w:tcBorders>
                    <w:tl2br w:val="nil"/>
                    <w:tr2bl w:val="nil"/>
                  </w:tcBorders>
                  <w:noWrap w:val="0"/>
                  <w:vAlign w:val="center"/>
                </w:tcPr>
                <w:p w14:paraId="6006EEA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1DFCEB6D">
              <w:trPr>
                <w:trHeight w:val="397" w:hRule="atLeast"/>
                <w:jc w:val="center"/>
              </w:trPr>
              <w:tc>
                <w:tcPr>
                  <w:tcW w:w="147" w:type="pct"/>
                  <w:tcBorders>
                    <w:tl2br w:val="nil"/>
                    <w:tr2bl w:val="nil"/>
                  </w:tcBorders>
                  <w:noWrap w:val="0"/>
                  <w:vAlign w:val="center"/>
                </w:tcPr>
                <w:p w14:paraId="335B3963">
                  <w:pPr>
                    <w:numPr>
                      <w:ilvl w:val="0"/>
                      <w:numId w:val="25"/>
                    </w:numPr>
                    <w:ind w:left="0" w:leftChars="0" w:firstLine="0" w:firstLineChars="0"/>
                    <w:jc w:val="center"/>
                    <w:rPr>
                      <w:rFonts w:hint="eastAsia" w:ascii="Times New Roman" w:hAnsi="Times New Roman" w:eastAsia="宋体"/>
                      <w:color w:val="auto"/>
                      <w:sz w:val="21"/>
                      <w:szCs w:val="21"/>
                      <w:lang w:val="en-US" w:eastAsia="zh-CN"/>
                    </w:rPr>
                  </w:pPr>
                </w:p>
              </w:tc>
              <w:tc>
                <w:tcPr>
                  <w:tcW w:w="245" w:type="pct"/>
                  <w:vMerge w:val="continue"/>
                  <w:tcBorders>
                    <w:tl2br w:val="nil"/>
                    <w:tr2bl w:val="nil"/>
                  </w:tcBorders>
                  <w:noWrap w:val="0"/>
                  <w:vAlign w:val="center"/>
                </w:tcPr>
                <w:p w14:paraId="47EF6064">
                  <w:pPr>
                    <w:jc w:val="center"/>
                    <w:rPr>
                      <w:rFonts w:hint="eastAsia" w:ascii="Times New Roman" w:hAnsi="Times New Roman" w:eastAsia="宋体"/>
                      <w:color w:val="auto"/>
                      <w:kern w:val="2"/>
                      <w:sz w:val="21"/>
                      <w:szCs w:val="21"/>
                      <w:lang w:val="en-US" w:eastAsia="zh-CN" w:bidi="ar-SA"/>
                    </w:rPr>
                  </w:pPr>
                </w:p>
              </w:tc>
              <w:tc>
                <w:tcPr>
                  <w:tcW w:w="630" w:type="pct"/>
                  <w:tcBorders>
                    <w:tl2br w:val="nil"/>
                    <w:tr2bl w:val="nil"/>
                  </w:tcBorders>
                  <w:noWrap w:val="0"/>
                  <w:vAlign w:val="center"/>
                </w:tcPr>
                <w:p w14:paraId="2EF6ED83">
                  <w:pPr>
                    <w:jc w:val="center"/>
                    <w:rPr>
                      <w:rFonts w:hint="eastAsia" w:ascii="Times New Roman" w:hAnsi="Times New Roman" w:eastAsia="宋体" w:cs="Arial"/>
                      <w:color w:val="auto"/>
                      <w:sz w:val="21"/>
                      <w:szCs w:val="21"/>
                      <w:lang w:val="en-US" w:eastAsia="zh-CN"/>
                    </w:rPr>
                  </w:pPr>
                  <w:r>
                    <w:rPr>
                      <w:rFonts w:hint="eastAsia" w:ascii="Times New Roman" w:hAnsi="Times New Roman" w:eastAsia="宋体" w:cs="Arial"/>
                      <w:color w:val="auto"/>
                      <w:sz w:val="21"/>
                      <w:lang w:val="en-US" w:eastAsia="zh-CN"/>
                    </w:rPr>
                    <w:t>碟式分离机</w:t>
                  </w:r>
                </w:p>
              </w:tc>
              <w:tc>
                <w:tcPr>
                  <w:tcW w:w="242" w:type="pct"/>
                  <w:tcBorders>
                    <w:tl2br w:val="nil"/>
                    <w:tr2bl w:val="nil"/>
                  </w:tcBorders>
                  <w:noWrap w:val="0"/>
                  <w:vAlign w:val="center"/>
                </w:tcPr>
                <w:p w14:paraId="7059896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1630" w:type="dxa"/>
                  <w:tcBorders>
                    <w:tl2br w:val="nil"/>
                    <w:tr2bl w:val="nil"/>
                  </w:tcBorders>
                  <w:noWrap w:val="0"/>
                  <w:vAlign w:val="center"/>
                </w:tcPr>
                <w:p w14:paraId="013129A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w:t>
                  </w:r>
                </w:p>
              </w:tc>
              <w:tc>
                <w:tcPr>
                  <w:tcW w:w="262" w:type="pct"/>
                  <w:vMerge w:val="continue"/>
                  <w:tcBorders>
                    <w:tl2br w:val="nil"/>
                    <w:tr2bl w:val="nil"/>
                  </w:tcBorders>
                  <w:noWrap w:val="0"/>
                  <w:vAlign w:val="center"/>
                </w:tcPr>
                <w:p w14:paraId="53879C6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715" w:type="dxa"/>
                  <w:tcBorders>
                    <w:tl2br w:val="nil"/>
                    <w:tr2bl w:val="nil"/>
                  </w:tcBorders>
                  <w:noWrap w:val="0"/>
                  <w:vAlign w:val="center"/>
                </w:tcPr>
                <w:p w14:paraId="1ABF93E1">
                  <w:pPr>
                    <w:keepNext w:val="0"/>
                    <w:keepLines w:val="0"/>
                    <w:widowControl/>
                    <w:suppressLineNumbers w:val="0"/>
                    <w:jc w:val="right"/>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20.8</w:t>
                  </w:r>
                </w:p>
              </w:tc>
              <w:tc>
                <w:tcPr>
                  <w:tcW w:w="730" w:type="dxa"/>
                  <w:tcBorders>
                    <w:tl2br w:val="nil"/>
                    <w:tr2bl w:val="nil"/>
                  </w:tcBorders>
                  <w:noWrap w:val="0"/>
                  <w:vAlign w:val="center"/>
                </w:tcPr>
                <w:p w14:paraId="0667EFED">
                  <w:pPr>
                    <w:keepNext w:val="0"/>
                    <w:keepLines w:val="0"/>
                    <w:widowControl/>
                    <w:suppressLineNumbers w:val="0"/>
                    <w:jc w:val="right"/>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30.4</w:t>
                  </w:r>
                </w:p>
              </w:tc>
              <w:tc>
                <w:tcPr>
                  <w:tcW w:w="187" w:type="pct"/>
                  <w:tcBorders>
                    <w:tl2br w:val="nil"/>
                    <w:tr2bl w:val="nil"/>
                  </w:tcBorders>
                  <w:noWrap w:val="0"/>
                  <w:vAlign w:val="center"/>
                </w:tcPr>
                <w:p w14:paraId="5EE001F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758" w:type="dxa"/>
                  <w:tcBorders>
                    <w:tl2br w:val="nil"/>
                    <w:tr2bl w:val="nil"/>
                  </w:tcBorders>
                  <w:noWrap w:val="0"/>
                  <w:vAlign w:val="center"/>
                </w:tcPr>
                <w:p w14:paraId="1350C710">
                  <w:pPr>
                    <w:keepNext w:val="0"/>
                    <w:keepLines w:val="0"/>
                    <w:widowControl/>
                    <w:suppressLineNumbers w:val="0"/>
                    <w:jc w:val="right"/>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30.4</w:t>
                  </w:r>
                </w:p>
              </w:tc>
              <w:tc>
                <w:tcPr>
                  <w:tcW w:w="1465" w:type="dxa"/>
                  <w:tcBorders>
                    <w:tl2br w:val="nil"/>
                    <w:tr2bl w:val="nil"/>
                  </w:tcBorders>
                  <w:noWrap w:val="0"/>
                  <w:vAlign w:val="center"/>
                </w:tcPr>
                <w:p w14:paraId="50A61499">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50.34</w:t>
                  </w:r>
                </w:p>
              </w:tc>
              <w:tc>
                <w:tcPr>
                  <w:tcW w:w="466" w:type="pct"/>
                  <w:vMerge w:val="continue"/>
                  <w:tcBorders>
                    <w:tl2br w:val="nil"/>
                    <w:tr2bl w:val="nil"/>
                  </w:tcBorders>
                  <w:noWrap w:val="0"/>
                  <w:vAlign w:val="center"/>
                </w:tcPr>
                <w:p w14:paraId="56C400D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72" w:type="pct"/>
                  <w:vMerge w:val="continue"/>
                  <w:tcBorders>
                    <w:tl2br w:val="nil"/>
                    <w:tr2bl w:val="nil"/>
                  </w:tcBorders>
                  <w:noWrap w:val="0"/>
                  <w:vAlign w:val="center"/>
                </w:tcPr>
                <w:p w14:paraId="47B5368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1381" w:type="dxa"/>
                  <w:tcBorders>
                    <w:tl2br w:val="nil"/>
                    <w:tr2bl w:val="nil"/>
                  </w:tcBorders>
                  <w:noWrap w:val="0"/>
                  <w:vAlign w:val="center"/>
                </w:tcPr>
                <w:p w14:paraId="6FF67711">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30.34</w:t>
                  </w:r>
                </w:p>
              </w:tc>
              <w:tc>
                <w:tcPr>
                  <w:tcW w:w="235" w:type="pct"/>
                  <w:tcBorders>
                    <w:tl2br w:val="nil"/>
                    <w:tr2bl w:val="nil"/>
                  </w:tcBorders>
                  <w:noWrap w:val="0"/>
                  <w:vAlign w:val="center"/>
                </w:tcPr>
                <w:p w14:paraId="054631B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049896CE">
              <w:trPr>
                <w:trHeight w:val="397" w:hRule="atLeast"/>
                <w:jc w:val="center"/>
              </w:trPr>
              <w:tc>
                <w:tcPr>
                  <w:tcW w:w="147" w:type="pct"/>
                  <w:tcBorders>
                    <w:tl2br w:val="nil"/>
                    <w:tr2bl w:val="nil"/>
                  </w:tcBorders>
                  <w:noWrap w:val="0"/>
                  <w:vAlign w:val="center"/>
                </w:tcPr>
                <w:p w14:paraId="68EB827F">
                  <w:pPr>
                    <w:numPr>
                      <w:ilvl w:val="0"/>
                      <w:numId w:val="25"/>
                    </w:numPr>
                    <w:ind w:left="0" w:leftChars="0" w:firstLine="0" w:firstLineChars="0"/>
                    <w:jc w:val="center"/>
                    <w:rPr>
                      <w:rFonts w:hint="eastAsia" w:ascii="Times New Roman" w:hAnsi="Times New Roman" w:eastAsia="宋体"/>
                      <w:color w:val="auto"/>
                      <w:sz w:val="21"/>
                      <w:szCs w:val="21"/>
                      <w:lang w:val="en-US" w:eastAsia="zh-CN"/>
                    </w:rPr>
                  </w:pPr>
                </w:p>
              </w:tc>
              <w:tc>
                <w:tcPr>
                  <w:tcW w:w="245" w:type="pct"/>
                  <w:vMerge w:val="continue"/>
                  <w:tcBorders>
                    <w:tl2br w:val="nil"/>
                    <w:tr2bl w:val="nil"/>
                  </w:tcBorders>
                  <w:noWrap w:val="0"/>
                  <w:vAlign w:val="center"/>
                </w:tcPr>
                <w:p w14:paraId="5457B5E2">
                  <w:pPr>
                    <w:jc w:val="center"/>
                    <w:rPr>
                      <w:rFonts w:hint="eastAsia" w:ascii="Times New Roman" w:hAnsi="Times New Roman" w:eastAsia="宋体"/>
                      <w:color w:val="auto"/>
                      <w:kern w:val="2"/>
                      <w:sz w:val="21"/>
                      <w:szCs w:val="21"/>
                      <w:lang w:val="en-US" w:eastAsia="zh-CN" w:bidi="ar-SA"/>
                    </w:rPr>
                  </w:pPr>
                </w:p>
              </w:tc>
              <w:tc>
                <w:tcPr>
                  <w:tcW w:w="630" w:type="pct"/>
                  <w:tcBorders>
                    <w:tl2br w:val="nil"/>
                    <w:tr2bl w:val="nil"/>
                  </w:tcBorders>
                  <w:noWrap w:val="0"/>
                  <w:vAlign w:val="center"/>
                </w:tcPr>
                <w:p w14:paraId="7C0FC562">
                  <w:pPr>
                    <w:jc w:val="center"/>
                    <w:rPr>
                      <w:rFonts w:hint="eastAsia" w:ascii="Times New Roman" w:hAnsi="Times New Roman" w:eastAsia="宋体" w:cs="Arial"/>
                      <w:color w:val="auto"/>
                      <w:sz w:val="21"/>
                      <w:szCs w:val="21"/>
                      <w:lang w:val="en-US" w:eastAsia="zh-CN"/>
                    </w:rPr>
                  </w:pPr>
                  <w:r>
                    <w:rPr>
                      <w:rFonts w:hint="eastAsia" w:ascii="Times New Roman" w:hAnsi="Times New Roman" w:eastAsia="宋体" w:cs="Arial"/>
                      <w:color w:val="auto"/>
                      <w:sz w:val="21"/>
                      <w:lang w:val="en-US" w:eastAsia="zh-CN"/>
                    </w:rPr>
                    <w:t>均质机</w:t>
                  </w:r>
                </w:p>
              </w:tc>
              <w:tc>
                <w:tcPr>
                  <w:tcW w:w="242" w:type="pct"/>
                  <w:tcBorders>
                    <w:tl2br w:val="nil"/>
                    <w:tr2bl w:val="nil"/>
                  </w:tcBorders>
                  <w:noWrap w:val="0"/>
                  <w:vAlign w:val="center"/>
                </w:tcPr>
                <w:p w14:paraId="4DA7195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1630" w:type="dxa"/>
                  <w:tcBorders>
                    <w:tl2br w:val="nil"/>
                    <w:tr2bl w:val="nil"/>
                  </w:tcBorders>
                  <w:noWrap w:val="0"/>
                  <w:vAlign w:val="center"/>
                </w:tcPr>
                <w:p w14:paraId="13897EC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w:t>
                  </w:r>
                </w:p>
              </w:tc>
              <w:tc>
                <w:tcPr>
                  <w:tcW w:w="262" w:type="pct"/>
                  <w:vMerge w:val="continue"/>
                  <w:tcBorders>
                    <w:tl2br w:val="nil"/>
                    <w:tr2bl w:val="nil"/>
                  </w:tcBorders>
                  <w:noWrap w:val="0"/>
                  <w:vAlign w:val="center"/>
                </w:tcPr>
                <w:p w14:paraId="3A3A8C3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715" w:type="dxa"/>
                  <w:tcBorders>
                    <w:tl2br w:val="nil"/>
                    <w:tr2bl w:val="nil"/>
                  </w:tcBorders>
                  <w:noWrap w:val="0"/>
                  <w:vAlign w:val="center"/>
                </w:tcPr>
                <w:p w14:paraId="6B135418">
                  <w:pPr>
                    <w:keepNext w:val="0"/>
                    <w:keepLines w:val="0"/>
                    <w:widowControl/>
                    <w:suppressLineNumbers w:val="0"/>
                    <w:jc w:val="right"/>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26.8</w:t>
                  </w:r>
                </w:p>
              </w:tc>
              <w:tc>
                <w:tcPr>
                  <w:tcW w:w="730" w:type="dxa"/>
                  <w:tcBorders>
                    <w:tl2br w:val="nil"/>
                    <w:tr2bl w:val="nil"/>
                  </w:tcBorders>
                  <w:noWrap w:val="0"/>
                  <w:vAlign w:val="center"/>
                </w:tcPr>
                <w:p w14:paraId="71D361C2">
                  <w:pPr>
                    <w:keepNext w:val="0"/>
                    <w:keepLines w:val="0"/>
                    <w:widowControl/>
                    <w:suppressLineNumbers w:val="0"/>
                    <w:jc w:val="right"/>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30.6</w:t>
                  </w:r>
                </w:p>
              </w:tc>
              <w:tc>
                <w:tcPr>
                  <w:tcW w:w="187" w:type="pct"/>
                  <w:tcBorders>
                    <w:tl2br w:val="nil"/>
                    <w:tr2bl w:val="nil"/>
                  </w:tcBorders>
                  <w:noWrap w:val="0"/>
                  <w:vAlign w:val="center"/>
                </w:tcPr>
                <w:p w14:paraId="7855DA5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758" w:type="dxa"/>
                  <w:tcBorders>
                    <w:tl2br w:val="nil"/>
                    <w:tr2bl w:val="nil"/>
                  </w:tcBorders>
                  <w:noWrap w:val="0"/>
                  <w:vAlign w:val="center"/>
                </w:tcPr>
                <w:p w14:paraId="47779CA8">
                  <w:pPr>
                    <w:keepNext w:val="0"/>
                    <w:keepLines w:val="0"/>
                    <w:widowControl/>
                    <w:suppressLineNumbers w:val="0"/>
                    <w:jc w:val="right"/>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30.6</w:t>
                  </w:r>
                </w:p>
              </w:tc>
              <w:tc>
                <w:tcPr>
                  <w:tcW w:w="1465" w:type="dxa"/>
                  <w:tcBorders>
                    <w:tl2br w:val="nil"/>
                    <w:tr2bl w:val="nil"/>
                  </w:tcBorders>
                  <w:noWrap w:val="0"/>
                  <w:vAlign w:val="center"/>
                </w:tcPr>
                <w:p w14:paraId="0FE598FC">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51.3</w:t>
                  </w:r>
                </w:p>
              </w:tc>
              <w:tc>
                <w:tcPr>
                  <w:tcW w:w="466" w:type="pct"/>
                  <w:vMerge w:val="continue"/>
                  <w:tcBorders>
                    <w:tl2br w:val="nil"/>
                    <w:tr2bl w:val="nil"/>
                  </w:tcBorders>
                  <w:noWrap w:val="0"/>
                  <w:vAlign w:val="center"/>
                </w:tcPr>
                <w:p w14:paraId="09CE2B8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72" w:type="pct"/>
                  <w:vMerge w:val="continue"/>
                  <w:tcBorders>
                    <w:tl2br w:val="nil"/>
                    <w:tr2bl w:val="nil"/>
                  </w:tcBorders>
                  <w:noWrap w:val="0"/>
                  <w:vAlign w:val="center"/>
                </w:tcPr>
                <w:p w14:paraId="54FC22D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1381" w:type="dxa"/>
                  <w:tcBorders>
                    <w:tl2br w:val="nil"/>
                    <w:tr2bl w:val="nil"/>
                  </w:tcBorders>
                  <w:noWrap w:val="0"/>
                  <w:vAlign w:val="center"/>
                </w:tcPr>
                <w:p w14:paraId="71B8E567">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31.3</w:t>
                  </w:r>
                </w:p>
              </w:tc>
              <w:tc>
                <w:tcPr>
                  <w:tcW w:w="235" w:type="pct"/>
                  <w:tcBorders>
                    <w:tl2br w:val="nil"/>
                    <w:tr2bl w:val="nil"/>
                  </w:tcBorders>
                  <w:noWrap w:val="0"/>
                  <w:vAlign w:val="center"/>
                </w:tcPr>
                <w:p w14:paraId="42398EA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2FEB890A">
              <w:trPr>
                <w:trHeight w:val="397" w:hRule="atLeast"/>
                <w:jc w:val="center"/>
              </w:trPr>
              <w:tc>
                <w:tcPr>
                  <w:tcW w:w="147" w:type="pct"/>
                  <w:tcBorders>
                    <w:tl2br w:val="nil"/>
                    <w:tr2bl w:val="nil"/>
                  </w:tcBorders>
                  <w:noWrap w:val="0"/>
                  <w:vAlign w:val="center"/>
                </w:tcPr>
                <w:p w14:paraId="18353037">
                  <w:pPr>
                    <w:numPr>
                      <w:ilvl w:val="0"/>
                      <w:numId w:val="25"/>
                    </w:numPr>
                    <w:ind w:left="0" w:leftChars="0" w:firstLine="0" w:firstLineChars="0"/>
                    <w:jc w:val="center"/>
                    <w:rPr>
                      <w:rFonts w:hint="eastAsia" w:ascii="Times New Roman" w:hAnsi="Times New Roman" w:eastAsia="宋体"/>
                      <w:color w:val="auto"/>
                      <w:sz w:val="21"/>
                      <w:szCs w:val="21"/>
                      <w:lang w:val="en-US" w:eastAsia="zh-CN"/>
                    </w:rPr>
                  </w:pPr>
                </w:p>
              </w:tc>
              <w:tc>
                <w:tcPr>
                  <w:tcW w:w="245" w:type="pct"/>
                  <w:vMerge w:val="continue"/>
                  <w:tcBorders>
                    <w:tl2br w:val="nil"/>
                    <w:tr2bl w:val="nil"/>
                  </w:tcBorders>
                  <w:noWrap w:val="0"/>
                  <w:vAlign w:val="center"/>
                </w:tcPr>
                <w:p w14:paraId="2011DFF9">
                  <w:pPr>
                    <w:jc w:val="center"/>
                    <w:rPr>
                      <w:rFonts w:hint="eastAsia" w:ascii="Times New Roman" w:hAnsi="Times New Roman" w:eastAsia="宋体"/>
                      <w:color w:val="auto"/>
                      <w:kern w:val="2"/>
                      <w:sz w:val="21"/>
                      <w:szCs w:val="21"/>
                      <w:lang w:val="en-US" w:eastAsia="zh-CN" w:bidi="ar-SA"/>
                    </w:rPr>
                  </w:pPr>
                </w:p>
              </w:tc>
              <w:tc>
                <w:tcPr>
                  <w:tcW w:w="630" w:type="pct"/>
                  <w:tcBorders>
                    <w:tl2br w:val="nil"/>
                    <w:tr2bl w:val="nil"/>
                  </w:tcBorders>
                  <w:noWrap w:val="0"/>
                  <w:vAlign w:val="center"/>
                </w:tcPr>
                <w:p w14:paraId="61AEE40A">
                  <w:pPr>
                    <w:jc w:val="center"/>
                    <w:rPr>
                      <w:rFonts w:hint="eastAsia" w:ascii="Times New Roman" w:hAnsi="Times New Roman" w:eastAsia="宋体" w:cs="Arial"/>
                      <w:color w:val="auto"/>
                      <w:sz w:val="21"/>
                      <w:szCs w:val="21"/>
                      <w:lang w:val="en-US" w:eastAsia="zh-CN"/>
                    </w:rPr>
                  </w:pPr>
                  <w:r>
                    <w:rPr>
                      <w:rFonts w:hint="eastAsia" w:ascii="Times New Roman" w:hAnsi="Times New Roman" w:eastAsia="宋体"/>
                      <w:color w:val="auto"/>
                      <w:szCs w:val="21"/>
                      <w:lang w:val="en-US" w:eastAsia="zh-CN"/>
                    </w:rPr>
                    <w:t>UHT</w:t>
                  </w:r>
                </w:p>
              </w:tc>
              <w:tc>
                <w:tcPr>
                  <w:tcW w:w="242" w:type="pct"/>
                  <w:tcBorders>
                    <w:tl2br w:val="nil"/>
                    <w:tr2bl w:val="nil"/>
                  </w:tcBorders>
                  <w:noWrap w:val="0"/>
                  <w:vAlign w:val="center"/>
                </w:tcPr>
                <w:p w14:paraId="4E1AF0F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1630" w:type="dxa"/>
                  <w:tcBorders>
                    <w:tl2br w:val="nil"/>
                    <w:tr2bl w:val="nil"/>
                  </w:tcBorders>
                  <w:noWrap w:val="0"/>
                  <w:vAlign w:val="center"/>
                </w:tcPr>
                <w:p w14:paraId="3CE87EF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262" w:type="pct"/>
                  <w:vMerge w:val="continue"/>
                  <w:tcBorders>
                    <w:tl2br w:val="nil"/>
                    <w:tr2bl w:val="nil"/>
                  </w:tcBorders>
                  <w:noWrap w:val="0"/>
                  <w:vAlign w:val="center"/>
                </w:tcPr>
                <w:p w14:paraId="01888E0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715" w:type="dxa"/>
                  <w:tcBorders>
                    <w:tl2br w:val="nil"/>
                    <w:tr2bl w:val="nil"/>
                  </w:tcBorders>
                  <w:noWrap w:val="0"/>
                  <w:vAlign w:val="center"/>
                </w:tcPr>
                <w:p w14:paraId="16AA83F8">
                  <w:pPr>
                    <w:keepNext w:val="0"/>
                    <w:keepLines w:val="0"/>
                    <w:widowControl/>
                    <w:suppressLineNumbers w:val="0"/>
                    <w:jc w:val="right"/>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30.1</w:t>
                  </w:r>
                </w:p>
              </w:tc>
              <w:tc>
                <w:tcPr>
                  <w:tcW w:w="730" w:type="dxa"/>
                  <w:tcBorders>
                    <w:tl2br w:val="nil"/>
                    <w:tr2bl w:val="nil"/>
                  </w:tcBorders>
                  <w:noWrap w:val="0"/>
                  <w:vAlign w:val="center"/>
                </w:tcPr>
                <w:p w14:paraId="557B5A23">
                  <w:pPr>
                    <w:keepNext w:val="0"/>
                    <w:keepLines w:val="0"/>
                    <w:widowControl/>
                    <w:suppressLineNumbers w:val="0"/>
                    <w:jc w:val="right"/>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40.2</w:t>
                  </w:r>
                </w:p>
              </w:tc>
              <w:tc>
                <w:tcPr>
                  <w:tcW w:w="187" w:type="pct"/>
                  <w:tcBorders>
                    <w:tl2br w:val="nil"/>
                    <w:tr2bl w:val="nil"/>
                  </w:tcBorders>
                  <w:noWrap w:val="0"/>
                  <w:vAlign w:val="center"/>
                </w:tcPr>
                <w:p w14:paraId="7F8BE40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758" w:type="dxa"/>
                  <w:tcBorders>
                    <w:tl2br w:val="nil"/>
                    <w:tr2bl w:val="nil"/>
                  </w:tcBorders>
                  <w:noWrap w:val="0"/>
                  <w:vAlign w:val="center"/>
                </w:tcPr>
                <w:p w14:paraId="3D92FB9E">
                  <w:pPr>
                    <w:keepNext w:val="0"/>
                    <w:keepLines w:val="0"/>
                    <w:widowControl/>
                    <w:suppressLineNumbers w:val="0"/>
                    <w:jc w:val="right"/>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40.2</w:t>
                  </w:r>
                </w:p>
              </w:tc>
              <w:tc>
                <w:tcPr>
                  <w:tcW w:w="1465" w:type="dxa"/>
                  <w:tcBorders>
                    <w:tl2br w:val="nil"/>
                    <w:tr2bl w:val="nil"/>
                  </w:tcBorders>
                  <w:noWrap w:val="0"/>
                  <w:vAlign w:val="center"/>
                </w:tcPr>
                <w:p w14:paraId="19084E32">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43.93</w:t>
                  </w:r>
                </w:p>
              </w:tc>
              <w:tc>
                <w:tcPr>
                  <w:tcW w:w="466" w:type="pct"/>
                  <w:vMerge w:val="continue"/>
                  <w:tcBorders>
                    <w:tl2br w:val="nil"/>
                    <w:tr2bl w:val="nil"/>
                  </w:tcBorders>
                  <w:noWrap w:val="0"/>
                  <w:vAlign w:val="center"/>
                </w:tcPr>
                <w:p w14:paraId="0273F71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72" w:type="pct"/>
                  <w:vMerge w:val="continue"/>
                  <w:tcBorders>
                    <w:tl2br w:val="nil"/>
                    <w:tr2bl w:val="nil"/>
                  </w:tcBorders>
                  <w:noWrap w:val="0"/>
                  <w:vAlign w:val="center"/>
                </w:tcPr>
                <w:p w14:paraId="71A108D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1381" w:type="dxa"/>
                  <w:tcBorders>
                    <w:tl2br w:val="nil"/>
                    <w:tr2bl w:val="nil"/>
                  </w:tcBorders>
                  <w:noWrap w:val="0"/>
                  <w:vAlign w:val="center"/>
                </w:tcPr>
                <w:p w14:paraId="638ABFC7">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23.93</w:t>
                  </w:r>
                </w:p>
              </w:tc>
              <w:tc>
                <w:tcPr>
                  <w:tcW w:w="235" w:type="pct"/>
                  <w:tcBorders>
                    <w:tl2br w:val="nil"/>
                    <w:tr2bl w:val="nil"/>
                  </w:tcBorders>
                  <w:noWrap w:val="0"/>
                  <w:vAlign w:val="center"/>
                </w:tcPr>
                <w:p w14:paraId="137B472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3C4C0CB8">
              <w:trPr>
                <w:trHeight w:val="397" w:hRule="atLeast"/>
                <w:jc w:val="center"/>
              </w:trPr>
              <w:tc>
                <w:tcPr>
                  <w:tcW w:w="147" w:type="pct"/>
                  <w:tcBorders>
                    <w:tl2br w:val="nil"/>
                    <w:tr2bl w:val="nil"/>
                  </w:tcBorders>
                  <w:noWrap w:val="0"/>
                  <w:vAlign w:val="center"/>
                </w:tcPr>
                <w:p w14:paraId="71862C6B">
                  <w:pPr>
                    <w:numPr>
                      <w:ilvl w:val="0"/>
                      <w:numId w:val="25"/>
                    </w:numPr>
                    <w:ind w:left="0" w:leftChars="0" w:firstLine="0" w:firstLineChars="0"/>
                    <w:jc w:val="center"/>
                    <w:rPr>
                      <w:rFonts w:hint="eastAsia" w:ascii="Times New Roman" w:hAnsi="Times New Roman" w:eastAsia="宋体"/>
                      <w:color w:val="auto"/>
                      <w:sz w:val="21"/>
                      <w:szCs w:val="21"/>
                      <w:lang w:val="en-US" w:eastAsia="zh-CN"/>
                    </w:rPr>
                  </w:pPr>
                </w:p>
              </w:tc>
              <w:tc>
                <w:tcPr>
                  <w:tcW w:w="245" w:type="pct"/>
                  <w:vMerge w:val="continue"/>
                  <w:tcBorders>
                    <w:tl2br w:val="nil"/>
                    <w:tr2bl w:val="nil"/>
                  </w:tcBorders>
                  <w:noWrap w:val="0"/>
                  <w:vAlign w:val="center"/>
                </w:tcPr>
                <w:p w14:paraId="3A37A1D5">
                  <w:pPr>
                    <w:jc w:val="center"/>
                    <w:rPr>
                      <w:rFonts w:hint="eastAsia" w:ascii="Times New Roman" w:hAnsi="Times New Roman" w:eastAsia="宋体"/>
                      <w:color w:val="auto"/>
                      <w:kern w:val="2"/>
                      <w:sz w:val="21"/>
                      <w:szCs w:val="21"/>
                      <w:lang w:val="en-US" w:eastAsia="zh-CN" w:bidi="ar-SA"/>
                    </w:rPr>
                  </w:pPr>
                </w:p>
              </w:tc>
              <w:tc>
                <w:tcPr>
                  <w:tcW w:w="630" w:type="pct"/>
                  <w:tcBorders>
                    <w:tl2br w:val="nil"/>
                    <w:tr2bl w:val="nil"/>
                  </w:tcBorders>
                  <w:noWrap w:val="0"/>
                  <w:vAlign w:val="center"/>
                </w:tcPr>
                <w:p w14:paraId="0608BFC9">
                  <w:pPr>
                    <w:jc w:val="center"/>
                    <w:rPr>
                      <w:rFonts w:hint="eastAsia" w:ascii="Times New Roman" w:hAnsi="Times New Roman" w:eastAsia="宋体" w:cs="Arial"/>
                      <w:color w:val="auto"/>
                      <w:sz w:val="21"/>
                      <w:szCs w:val="21"/>
                      <w:lang w:val="en-US" w:eastAsia="zh-CN"/>
                    </w:rPr>
                  </w:pPr>
                  <w:r>
                    <w:rPr>
                      <w:rFonts w:hint="eastAsia" w:ascii="Times New Roman" w:hAnsi="Times New Roman" w:eastAsia="宋体"/>
                      <w:color w:val="auto"/>
                      <w:szCs w:val="21"/>
                      <w:lang w:val="en-US" w:eastAsia="zh-CN"/>
                    </w:rPr>
                    <w:t>洁净蒸汽系统</w:t>
                  </w:r>
                </w:p>
              </w:tc>
              <w:tc>
                <w:tcPr>
                  <w:tcW w:w="242" w:type="pct"/>
                  <w:tcBorders>
                    <w:tl2br w:val="nil"/>
                    <w:tr2bl w:val="nil"/>
                  </w:tcBorders>
                  <w:noWrap w:val="0"/>
                  <w:vAlign w:val="center"/>
                </w:tcPr>
                <w:p w14:paraId="1DF23AC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1630" w:type="dxa"/>
                  <w:tcBorders>
                    <w:tl2br w:val="nil"/>
                    <w:tr2bl w:val="nil"/>
                  </w:tcBorders>
                  <w:noWrap w:val="0"/>
                  <w:vAlign w:val="center"/>
                </w:tcPr>
                <w:p w14:paraId="3447C49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w:t>
                  </w:r>
                </w:p>
              </w:tc>
              <w:tc>
                <w:tcPr>
                  <w:tcW w:w="262" w:type="pct"/>
                  <w:vMerge w:val="continue"/>
                  <w:tcBorders>
                    <w:tl2br w:val="nil"/>
                    <w:tr2bl w:val="nil"/>
                  </w:tcBorders>
                  <w:noWrap w:val="0"/>
                  <w:vAlign w:val="center"/>
                </w:tcPr>
                <w:p w14:paraId="66BD676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715" w:type="dxa"/>
                  <w:tcBorders>
                    <w:tl2br w:val="nil"/>
                    <w:tr2bl w:val="nil"/>
                  </w:tcBorders>
                  <w:noWrap w:val="0"/>
                  <w:vAlign w:val="center"/>
                </w:tcPr>
                <w:p w14:paraId="1A36C296">
                  <w:pPr>
                    <w:keepNext w:val="0"/>
                    <w:keepLines w:val="0"/>
                    <w:widowControl/>
                    <w:suppressLineNumbers w:val="0"/>
                    <w:jc w:val="right"/>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20.4</w:t>
                  </w:r>
                </w:p>
              </w:tc>
              <w:tc>
                <w:tcPr>
                  <w:tcW w:w="730" w:type="dxa"/>
                  <w:tcBorders>
                    <w:tl2br w:val="nil"/>
                    <w:tr2bl w:val="nil"/>
                  </w:tcBorders>
                  <w:noWrap w:val="0"/>
                  <w:vAlign w:val="center"/>
                </w:tcPr>
                <w:p w14:paraId="3B40C28A">
                  <w:pPr>
                    <w:keepNext w:val="0"/>
                    <w:keepLines w:val="0"/>
                    <w:widowControl/>
                    <w:suppressLineNumbers w:val="0"/>
                    <w:jc w:val="right"/>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45.2</w:t>
                  </w:r>
                </w:p>
              </w:tc>
              <w:tc>
                <w:tcPr>
                  <w:tcW w:w="187" w:type="pct"/>
                  <w:tcBorders>
                    <w:tl2br w:val="nil"/>
                    <w:tr2bl w:val="nil"/>
                  </w:tcBorders>
                  <w:noWrap w:val="0"/>
                  <w:vAlign w:val="center"/>
                </w:tcPr>
                <w:p w14:paraId="113983F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758" w:type="dxa"/>
                  <w:tcBorders>
                    <w:tl2br w:val="nil"/>
                    <w:tr2bl w:val="nil"/>
                  </w:tcBorders>
                  <w:noWrap w:val="0"/>
                  <w:vAlign w:val="center"/>
                </w:tcPr>
                <w:p w14:paraId="5EF605A2">
                  <w:pPr>
                    <w:keepNext w:val="0"/>
                    <w:keepLines w:val="0"/>
                    <w:widowControl/>
                    <w:suppressLineNumbers w:val="0"/>
                    <w:jc w:val="right"/>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45.2</w:t>
                  </w:r>
                </w:p>
              </w:tc>
              <w:tc>
                <w:tcPr>
                  <w:tcW w:w="1465" w:type="dxa"/>
                  <w:tcBorders>
                    <w:tl2br w:val="nil"/>
                    <w:tr2bl w:val="nil"/>
                  </w:tcBorders>
                  <w:noWrap w:val="0"/>
                  <w:vAlign w:val="center"/>
                </w:tcPr>
                <w:p w14:paraId="49F98725">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41.89</w:t>
                  </w:r>
                </w:p>
              </w:tc>
              <w:tc>
                <w:tcPr>
                  <w:tcW w:w="466" w:type="pct"/>
                  <w:vMerge w:val="continue"/>
                  <w:tcBorders>
                    <w:tl2br w:val="nil"/>
                    <w:tr2bl w:val="nil"/>
                  </w:tcBorders>
                  <w:noWrap w:val="0"/>
                  <w:vAlign w:val="center"/>
                </w:tcPr>
                <w:p w14:paraId="2528CFC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72" w:type="pct"/>
                  <w:vMerge w:val="continue"/>
                  <w:tcBorders>
                    <w:tl2br w:val="nil"/>
                    <w:tr2bl w:val="nil"/>
                  </w:tcBorders>
                  <w:noWrap w:val="0"/>
                  <w:vAlign w:val="center"/>
                </w:tcPr>
                <w:p w14:paraId="6AE36B6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1381" w:type="dxa"/>
                  <w:tcBorders>
                    <w:tl2br w:val="nil"/>
                    <w:tr2bl w:val="nil"/>
                  </w:tcBorders>
                  <w:noWrap w:val="0"/>
                  <w:vAlign w:val="center"/>
                </w:tcPr>
                <w:p w14:paraId="73647FAC">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21.89</w:t>
                  </w:r>
                </w:p>
              </w:tc>
              <w:tc>
                <w:tcPr>
                  <w:tcW w:w="235" w:type="pct"/>
                  <w:tcBorders>
                    <w:tl2br w:val="nil"/>
                    <w:tr2bl w:val="nil"/>
                  </w:tcBorders>
                  <w:noWrap w:val="0"/>
                  <w:vAlign w:val="center"/>
                </w:tcPr>
                <w:p w14:paraId="16246EE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3850E812">
              <w:trPr>
                <w:trHeight w:val="397" w:hRule="atLeast"/>
                <w:jc w:val="center"/>
              </w:trPr>
              <w:tc>
                <w:tcPr>
                  <w:tcW w:w="147" w:type="pct"/>
                  <w:tcBorders>
                    <w:tl2br w:val="nil"/>
                    <w:tr2bl w:val="nil"/>
                  </w:tcBorders>
                  <w:noWrap w:val="0"/>
                  <w:vAlign w:val="center"/>
                </w:tcPr>
                <w:p w14:paraId="0306531C">
                  <w:pPr>
                    <w:numPr>
                      <w:ilvl w:val="0"/>
                      <w:numId w:val="25"/>
                    </w:numPr>
                    <w:ind w:left="0" w:leftChars="0" w:firstLine="0" w:firstLineChars="0"/>
                    <w:jc w:val="center"/>
                    <w:rPr>
                      <w:rFonts w:hint="eastAsia" w:ascii="Times New Roman" w:hAnsi="Times New Roman" w:eastAsia="宋体"/>
                      <w:color w:val="auto"/>
                      <w:sz w:val="21"/>
                      <w:szCs w:val="21"/>
                      <w:lang w:val="en-US" w:eastAsia="zh-CN"/>
                    </w:rPr>
                  </w:pPr>
                </w:p>
              </w:tc>
              <w:tc>
                <w:tcPr>
                  <w:tcW w:w="245" w:type="pct"/>
                  <w:vMerge w:val="continue"/>
                  <w:tcBorders>
                    <w:tl2br w:val="nil"/>
                    <w:tr2bl w:val="nil"/>
                  </w:tcBorders>
                  <w:noWrap w:val="0"/>
                  <w:vAlign w:val="center"/>
                </w:tcPr>
                <w:p w14:paraId="5B5520B7">
                  <w:pPr>
                    <w:jc w:val="center"/>
                    <w:rPr>
                      <w:rFonts w:hint="eastAsia" w:ascii="Times New Roman" w:hAnsi="Times New Roman" w:eastAsia="宋体"/>
                      <w:color w:val="auto"/>
                      <w:kern w:val="2"/>
                      <w:sz w:val="21"/>
                      <w:szCs w:val="21"/>
                      <w:lang w:val="en-US" w:eastAsia="zh-CN" w:bidi="ar-SA"/>
                    </w:rPr>
                  </w:pPr>
                </w:p>
              </w:tc>
              <w:tc>
                <w:tcPr>
                  <w:tcW w:w="630" w:type="pct"/>
                  <w:tcBorders>
                    <w:tl2br w:val="nil"/>
                    <w:tr2bl w:val="nil"/>
                  </w:tcBorders>
                  <w:noWrap w:val="0"/>
                  <w:vAlign w:val="center"/>
                </w:tcPr>
                <w:p w14:paraId="6A3DB89D">
                  <w:pPr>
                    <w:jc w:val="center"/>
                    <w:rPr>
                      <w:rFonts w:hint="eastAsia" w:ascii="Times New Roman" w:hAnsi="Times New Roman" w:eastAsia="宋体" w:cs="Arial"/>
                      <w:color w:val="auto"/>
                      <w:sz w:val="21"/>
                      <w:szCs w:val="21"/>
                      <w:lang w:val="en-US" w:eastAsia="zh-CN"/>
                    </w:rPr>
                  </w:pPr>
                  <w:r>
                    <w:rPr>
                      <w:rFonts w:hint="eastAsia" w:ascii="Times New Roman" w:hAnsi="Times New Roman" w:eastAsia="宋体"/>
                      <w:color w:val="auto"/>
                      <w:szCs w:val="21"/>
                      <w:lang w:val="en-US" w:eastAsia="zh-CN"/>
                    </w:rPr>
                    <w:t>无菌水制备系统</w:t>
                  </w:r>
                </w:p>
              </w:tc>
              <w:tc>
                <w:tcPr>
                  <w:tcW w:w="242" w:type="pct"/>
                  <w:tcBorders>
                    <w:tl2br w:val="nil"/>
                    <w:tr2bl w:val="nil"/>
                  </w:tcBorders>
                  <w:noWrap w:val="0"/>
                  <w:vAlign w:val="center"/>
                </w:tcPr>
                <w:p w14:paraId="1A3AE60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1630" w:type="dxa"/>
                  <w:tcBorders>
                    <w:tl2br w:val="nil"/>
                    <w:tr2bl w:val="nil"/>
                  </w:tcBorders>
                  <w:noWrap w:val="0"/>
                  <w:vAlign w:val="center"/>
                </w:tcPr>
                <w:p w14:paraId="304EE2A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w:t>
                  </w:r>
                </w:p>
              </w:tc>
              <w:tc>
                <w:tcPr>
                  <w:tcW w:w="262" w:type="pct"/>
                  <w:vMerge w:val="continue"/>
                  <w:tcBorders>
                    <w:tl2br w:val="nil"/>
                    <w:tr2bl w:val="nil"/>
                  </w:tcBorders>
                  <w:noWrap w:val="0"/>
                  <w:vAlign w:val="center"/>
                </w:tcPr>
                <w:p w14:paraId="16EFDFD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715" w:type="dxa"/>
                  <w:tcBorders>
                    <w:tl2br w:val="nil"/>
                    <w:tr2bl w:val="nil"/>
                  </w:tcBorders>
                  <w:noWrap w:val="0"/>
                  <w:vAlign w:val="center"/>
                </w:tcPr>
                <w:p w14:paraId="02061DED">
                  <w:pPr>
                    <w:keepNext w:val="0"/>
                    <w:keepLines w:val="0"/>
                    <w:widowControl/>
                    <w:suppressLineNumbers w:val="0"/>
                    <w:jc w:val="right"/>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28.5</w:t>
                  </w:r>
                </w:p>
              </w:tc>
              <w:tc>
                <w:tcPr>
                  <w:tcW w:w="730" w:type="dxa"/>
                  <w:tcBorders>
                    <w:tl2br w:val="nil"/>
                    <w:tr2bl w:val="nil"/>
                  </w:tcBorders>
                  <w:noWrap w:val="0"/>
                  <w:vAlign w:val="center"/>
                </w:tcPr>
                <w:p w14:paraId="4AF804C1">
                  <w:pPr>
                    <w:keepNext w:val="0"/>
                    <w:keepLines w:val="0"/>
                    <w:widowControl/>
                    <w:suppressLineNumbers w:val="0"/>
                    <w:jc w:val="right"/>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45.8</w:t>
                  </w:r>
                </w:p>
              </w:tc>
              <w:tc>
                <w:tcPr>
                  <w:tcW w:w="187" w:type="pct"/>
                  <w:tcBorders>
                    <w:tl2br w:val="nil"/>
                    <w:tr2bl w:val="nil"/>
                  </w:tcBorders>
                  <w:noWrap w:val="0"/>
                  <w:vAlign w:val="center"/>
                </w:tcPr>
                <w:p w14:paraId="1E5A7B5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758" w:type="dxa"/>
                  <w:tcBorders>
                    <w:tl2br w:val="nil"/>
                    <w:tr2bl w:val="nil"/>
                  </w:tcBorders>
                  <w:noWrap w:val="0"/>
                  <w:vAlign w:val="center"/>
                </w:tcPr>
                <w:p w14:paraId="04BD3487">
                  <w:pPr>
                    <w:keepNext w:val="0"/>
                    <w:keepLines w:val="0"/>
                    <w:widowControl/>
                    <w:suppressLineNumbers w:val="0"/>
                    <w:jc w:val="right"/>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45.8</w:t>
                  </w:r>
                </w:p>
              </w:tc>
              <w:tc>
                <w:tcPr>
                  <w:tcW w:w="1465" w:type="dxa"/>
                  <w:tcBorders>
                    <w:tl2br w:val="nil"/>
                    <w:tr2bl w:val="nil"/>
                  </w:tcBorders>
                  <w:noWrap w:val="0"/>
                  <w:vAlign w:val="center"/>
                </w:tcPr>
                <w:p w14:paraId="169511B8">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41.78</w:t>
                  </w:r>
                </w:p>
              </w:tc>
              <w:tc>
                <w:tcPr>
                  <w:tcW w:w="466" w:type="pct"/>
                  <w:vMerge w:val="continue"/>
                  <w:tcBorders>
                    <w:tl2br w:val="nil"/>
                    <w:tr2bl w:val="nil"/>
                  </w:tcBorders>
                  <w:noWrap w:val="0"/>
                  <w:vAlign w:val="center"/>
                </w:tcPr>
                <w:p w14:paraId="6374965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72" w:type="pct"/>
                  <w:vMerge w:val="continue"/>
                  <w:tcBorders>
                    <w:tl2br w:val="nil"/>
                    <w:tr2bl w:val="nil"/>
                  </w:tcBorders>
                  <w:noWrap w:val="0"/>
                  <w:vAlign w:val="center"/>
                </w:tcPr>
                <w:p w14:paraId="670DC03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1381" w:type="dxa"/>
                  <w:tcBorders>
                    <w:tl2br w:val="nil"/>
                    <w:tr2bl w:val="nil"/>
                  </w:tcBorders>
                  <w:noWrap w:val="0"/>
                  <w:vAlign w:val="center"/>
                </w:tcPr>
                <w:p w14:paraId="3FFC464C">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21.78</w:t>
                  </w:r>
                </w:p>
              </w:tc>
              <w:tc>
                <w:tcPr>
                  <w:tcW w:w="235" w:type="pct"/>
                  <w:tcBorders>
                    <w:tl2br w:val="nil"/>
                    <w:tr2bl w:val="nil"/>
                  </w:tcBorders>
                  <w:noWrap w:val="0"/>
                  <w:vAlign w:val="center"/>
                </w:tcPr>
                <w:p w14:paraId="61E4BEE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29E6DA67">
              <w:trPr>
                <w:trHeight w:val="397" w:hRule="atLeast"/>
                <w:jc w:val="center"/>
              </w:trPr>
              <w:tc>
                <w:tcPr>
                  <w:tcW w:w="147" w:type="pct"/>
                  <w:tcBorders>
                    <w:tl2br w:val="nil"/>
                    <w:tr2bl w:val="nil"/>
                  </w:tcBorders>
                  <w:noWrap w:val="0"/>
                  <w:vAlign w:val="center"/>
                </w:tcPr>
                <w:p w14:paraId="146B60E0">
                  <w:pPr>
                    <w:numPr>
                      <w:ilvl w:val="0"/>
                      <w:numId w:val="25"/>
                    </w:numPr>
                    <w:ind w:left="0" w:leftChars="0" w:firstLine="0" w:firstLineChars="0"/>
                    <w:jc w:val="center"/>
                    <w:rPr>
                      <w:rFonts w:hint="eastAsia" w:ascii="Times New Roman" w:hAnsi="Times New Roman" w:eastAsia="宋体"/>
                      <w:color w:val="auto"/>
                      <w:sz w:val="21"/>
                      <w:szCs w:val="21"/>
                      <w:lang w:val="en-US" w:eastAsia="zh-CN"/>
                    </w:rPr>
                  </w:pPr>
                </w:p>
              </w:tc>
              <w:tc>
                <w:tcPr>
                  <w:tcW w:w="245" w:type="pct"/>
                  <w:vMerge w:val="continue"/>
                  <w:tcBorders>
                    <w:tl2br w:val="nil"/>
                    <w:tr2bl w:val="nil"/>
                  </w:tcBorders>
                  <w:noWrap w:val="0"/>
                  <w:vAlign w:val="center"/>
                </w:tcPr>
                <w:p w14:paraId="20B6B329">
                  <w:pPr>
                    <w:jc w:val="center"/>
                    <w:rPr>
                      <w:rFonts w:hint="eastAsia" w:ascii="Times New Roman" w:hAnsi="Times New Roman" w:eastAsia="宋体"/>
                      <w:color w:val="auto"/>
                      <w:kern w:val="2"/>
                      <w:sz w:val="21"/>
                      <w:szCs w:val="21"/>
                      <w:lang w:val="en-US" w:eastAsia="zh-CN" w:bidi="ar-SA"/>
                    </w:rPr>
                  </w:pPr>
                </w:p>
              </w:tc>
              <w:tc>
                <w:tcPr>
                  <w:tcW w:w="630" w:type="pct"/>
                  <w:tcBorders>
                    <w:tl2br w:val="nil"/>
                    <w:tr2bl w:val="nil"/>
                  </w:tcBorders>
                  <w:noWrap w:val="0"/>
                  <w:vAlign w:val="center"/>
                </w:tcPr>
                <w:p w14:paraId="143419FE">
                  <w:pPr>
                    <w:jc w:val="center"/>
                    <w:rPr>
                      <w:rFonts w:hint="default" w:ascii="Times New Roman" w:hAnsi="Times New Roman" w:eastAsia="宋体" w:cs="Arial"/>
                      <w:color w:val="auto"/>
                      <w:sz w:val="21"/>
                      <w:szCs w:val="21"/>
                      <w:lang w:val="en-US" w:eastAsia="zh-CN"/>
                    </w:rPr>
                  </w:pPr>
                  <w:r>
                    <w:rPr>
                      <w:rFonts w:hint="eastAsia" w:ascii="Times New Roman" w:hAnsi="Times New Roman" w:eastAsia="宋体"/>
                      <w:color w:val="auto"/>
                      <w:szCs w:val="21"/>
                      <w:lang w:val="en-US" w:eastAsia="zh-CN"/>
                    </w:rPr>
                    <w:t>CIP清洗系统</w:t>
                  </w:r>
                </w:p>
              </w:tc>
              <w:tc>
                <w:tcPr>
                  <w:tcW w:w="242" w:type="pct"/>
                  <w:tcBorders>
                    <w:tl2br w:val="nil"/>
                    <w:tr2bl w:val="nil"/>
                  </w:tcBorders>
                  <w:noWrap w:val="0"/>
                  <w:vAlign w:val="center"/>
                </w:tcPr>
                <w:p w14:paraId="579ADAB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1630" w:type="dxa"/>
                  <w:tcBorders>
                    <w:tl2br w:val="nil"/>
                    <w:tr2bl w:val="nil"/>
                  </w:tcBorders>
                  <w:noWrap w:val="0"/>
                  <w:vAlign w:val="center"/>
                </w:tcPr>
                <w:p w14:paraId="1458AC1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85</w:t>
                  </w:r>
                </w:p>
              </w:tc>
              <w:tc>
                <w:tcPr>
                  <w:tcW w:w="262" w:type="pct"/>
                  <w:vMerge w:val="continue"/>
                  <w:tcBorders>
                    <w:tl2br w:val="nil"/>
                    <w:tr2bl w:val="nil"/>
                  </w:tcBorders>
                  <w:noWrap w:val="0"/>
                  <w:vAlign w:val="center"/>
                </w:tcPr>
                <w:p w14:paraId="0ED37A8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715" w:type="dxa"/>
                  <w:tcBorders>
                    <w:tl2br w:val="nil"/>
                    <w:tr2bl w:val="nil"/>
                  </w:tcBorders>
                  <w:noWrap w:val="0"/>
                  <w:vAlign w:val="center"/>
                </w:tcPr>
                <w:p w14:paraId="33F73081">
                  <w:pPr>
                    <w:keepNext w:val="0"/>
                    <w:keepLines w:val="0"/>
                    <w:widowControl/>
                    <w:suppressLineNumbers w:val="0"/>
                    <w:jc w:val="right"/>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35.2</w:t>
                  </w:r>
                </w:p>
              </w:tc>
              <w:tc>
                <w:tcPr>
                  <w:tcW w:w="730" w:type="dxa"/>
                  <w:tcBorders>
                    <w:tl2br w:val="nil"/>
                    <w:tr2bl w:val="nil"/>
                  </w:tcBorders>
                  <w:noWrap w:val="0"/>
                  <w:vAlign w:val="center"/>
                </w:tcPr>
                <w:p w14:paraId="7D2FCAA2">
                  <w:pPr>
                    <w:keepNext w:val="0"/>
                    <w:keepLines w:val="0"/>
                    <w:widowControl/>
                    <w:suppressLineNumbers w:val="0"/>
                    <w:jc w:val="right"/>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40.1</w:t>
                  </w:r>
                </w:p>
              </w:tc>
              <w:tc>
                <w:tcPr>
                  <w:tcW w:w="187" w:type="pct"/>
                  <w:tcBorders>
                    <w:tl2br w:val="nil"/>
                    <w:tr2bl w:val="nil"/>
                  </w:tcBorders>
                  <w:noWrap w:val="0"/>
                  <w:vAlign w:val="center"/>
                </w:tcPr>
                <w:p w14:paraId="3C20E4F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758" w:type="dxa"/>
                  <w:tcBorders>
                    <w:tl2br w:val="nil"/>
                    <w:tr2bl w:val="nil"/>
                  </w:tcBorders>
                  <w:noWrap w:val="0"/>
                  <w:vAlign w:val="center"/>
                </w:tcPr>
                <w:p w14:paraId="7B8E57D7">
                  <w:pPr>
                    <w:keepNext w:val="0"/>
                    <w:keepLines w:val="0"/>
                    <w:widowControl/>
                    <w:suppressLineNumbers w:val="0"/>
                    <w:jc w:val="right"/>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40.1</w:t>
                  </w:r>
                </w:p>
              </w:tc>
              <w:tc>
                <w:tcPr>
                  <w:tcW w:w="1465" w:type="dxa"/>
                  <w:tcBorders>
                    <w:tl2br w:val="nil"/>
                    <w:tr2bl w:val="nil"/>
                  </w:tcBorders>
                  <w:noWrap w:val="0"/>
                  <w:vAlign w:val="center"/>
                </w:tcPr>
                <w:p w14:paraId="1A25693A">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55.94</w:t>
                  </w:r>
                </w:p>
              </w:tc>
              <w:tc>
                <w:tcPr>
                  <w:tcW w:w="466" w:type="pct"/>
                  <w:vMerge w:val="continue"/>
                  <w:tcBorders>
                    <w:tl2br w:val="nil"/>
                    <w:tr2bl w:val="nil"/>
                  </w:tcBorders>
                  <w:noWrap w:val="0"/>
                  <w:vAlign w:val="center"/>
                </w:tcPr>
                <w:p w14:paraId="0222C63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72" w:type="pct"/>
                  <w:vMerge w:val="continue"/>
                  <w:tcBorders>
                    <w:tl2br w:val="nil"/>
                    <w:tr2bl w:val="nil"/>
                  </w:tcBorders>
                  <w:noWrap w:val="0"/>
                  <w:vAlign w:val="center"/>
                </w:tcPr>
                <w:p w14:paraId="28DAA6E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1381" w:type="dxa"/>
                  <w:tcBorders>
                    <w:tl2br w:val="nil"/>
                    <w:tr2bl w:val="nil"/>
                  </w:tcBorders>
                  <w:noWrap w:val="0"/>
                  <w:vAlign w:val="center"/>
                </w:tcPr>
                <w:p w14:paraId="5D4D8250">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35.94</w:t>
                  </w:r>
                </w:p>
              </w:tc>
              <w:tc>
                <w:tcPr>
                  <w:tcW w:w="235" w:type="pct"/>
                  <w:tcBorders>
                    <w:tl2br w:val="nil"/>
                    <w:tr2bl w:val="nil"/>
                  </w:tcBorders>
                  <w:noWrap w:val="0"/>
                  <w:vAlign w:val="center"/>
                </w:tcPr>
                <w:p w14:paraId="024E557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26541794">
              <w:trPr>
                <w:trHeight w:val="397" w:hRule="atLeast"/>
                <w:jc w:val="center"/>
              </w:trPr>
              <w:tc>
                <w:tcPr>
                  <w:tcW w:w="147" w:type="pct"/>
                  <w:tcBorders>
                    <w:tl2br w:val="nil"/>
                    <w:tr2bl w:val="nil"/>
                  </w:tcBorders>
                  <w:noWrap w:val="0"/>
                  <w:vAlign w:val="center"/>
                </w:tcPr>
                <w:p w14:paraId="77FAB0E2">
                  <w:pPr>
                    <w:numPr>
                      <w:ilvl w:val="0"/>
                      <w:numId w:val="25"/>
                    </w:numPr>
                    <w:ind w:left="0" w:leftChars="0" w:firstLine="0" w:firstLineChars="0"/>
                    <w:jc w:val="center"/>
                    <w:rPr>
                      <w:rFonts w:hint="eastAsia" w:ascii="Times New Roman" w:hAnsi="Times New Roman" w:eastAsia="宋体"/>
                      <w:color w:val="auto"/>
                      <w:sz w:val="21"/>
                      <w:szCs w:val="21"/>
                      <w:lang w:val="en-US" w:eastAsia="zh-CN"/>
                    </w:rPr>
                  </w:pPr>
                </w:p>
              </w:tc>
              <w:tc>
                <w:tcPr>
                  <w:tcW w:w="245" w:type="pct"/>
                  <w:vMerge w:val="continue"/>
                  <w:tcBorders>
                    <w:tl2br w:val="nil"/>
                    <w:tr2bl w:val="nil"/>
                  </w:tcBorders>
                  <w:noWrap w:val="0"/>
                  <w:vAlign w:val="center"/>
                </w:tcPr>
                <w:p w14:paraId="19894833">
                  <w:pPr>
                    <w:jc w:val="center"/>
                    <w:rPr>
                      <w:rFonts w:hint="eastAsia" w:ascii="Times New Roman" w:hAnsi="Times New Roman" w:eastAsia="宋体"/>
                      <w:color w:val="auto"/>
                      <w:kern w:val="2"/>
                      <w:sz w:val="21"/>
                      <w:szCs w:val="21"/>
                      <w:lang w:val="en-US" w:eastAsia="zh-CN" w:bidi="ar-SA"/>
                    </w:rPr>
                  </w:pPr>
                </w:p>
              </w:tc>
              <w:tc>
                <w:tcPr>
                  <w:tcW w:w="630" w:type="pct"/>
                  <w:tcBorders>
                    <w:tl2br w:val="nil"/>
                    <w:tr2bl w:val="nil"/>
                  </w:tcBorders>
                  <w:noWrap w:val="0"/>
                  <w:vAlign w:val="center"/>
                </w:tcPr>
                <w:p w14:paraId="083E211D">
                  <w:pPr>
                    <w:jc w:val="center"/>
                    <w:rPr>
                      <w:rFonts w:hint="eastAsia" w:ascii="Times New Roman" w:hAnsi="Times New Roman" w:eastAsia="宋体" w:cs="Arial"/>
                      <w:color w:val="auto"/>
                      <w:sz w:val="21"/>
                      <w:szCs w:val="21"/>
                      <w:lang w:val="en-US" w:eastAsia="zh-CN"/>
                    </w:rPr>
                  </w:pPr>
                  <w:r>
                    <w:rPr>
                      <w:rFonts w:hint="eastAsia" w:ascii="Times New Roman" w:hAnsi="Times New Roman" w:eastAsia="宋体"/>
                      <w:color w:val="auto"/>
                      <w:szCs w:val="21"/>
                      <w:lang w:val="en-US" w:eastAsia="zh-CN"/>
                    </w:rPr>
                    <w:t>吹瓶机组</w:t>
                  </w:r>
                </w:p>
              </w:tc>
              <w:tc>
                <w:tcPr>
                  <w:tcW w:w="242" w:type="pct"/>
                  <w:tcBorders>
                    <w:tl2br w:val="nil"/>
                    <w:tr2bl w:val="nil"/>
                  </w:tcBorders>
                  <w:noWrap w:val="0"/>
                  <w:vAlign w:val="center"/>
                </w:tcPr>
                <w:p w14:paraId="77852CA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1630" w:type="dxa"/>
                  <w:tcBorders>
                    <w:tl2br w:val="nil"/>
                    <w:tr2bl w:val="nil"/>
                  </w:tcBorders>
                  <w:noWrap w:val="0"/>
                  <w:vAlign w:val="center"/>
                </w:tcPr>
                <w:p w14:paraId="638D7C4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85</w:t>
                  </w:r>
                </w:p>
              </w:tc>
              <w:tc>
                <w:tcPr>
                  <w:tcW w:w="262" w:type="pct"/>
                  <w:vMerge w:val="continue"/>
                  <w:tcBorders>
                    <w:tl2br w:val="nil"/>
                    <w:tr2bl w:val="nil"/>
                  </w:tcBorders>
                  <w:noWrap w:val="0"/>
                  <w:vAlign w:val="center"/>
                </w:tcPr>
                <w:p w14:paraId="1039CDE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715" w:type="dxa"/>
                  <w:tcBorders>
                    <w:tl2br w:val="nil"/>
                    <w:tr2bl w:val="nil"/>
                  </w:tcBorders>
                  <w:noWrap w:val="0"/>
                  <w:vAlign w:val="center"/>
                </w:tcPr>
                <w:p w14:paraId="4712A9F0">
                  <w:pPr>
                    <w:keepNext w:val="0"/>
                    <w:keepLines w:val="0"/>
                    <w:widowControl/>
                    <w:suppressLineNumbers w:val="0"/>
                    <w:jc w:val="right"/>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60.3</w:t>
                  </w:r>
                </w:p>
              </w:tc>
              <w:tc>
                <w:tcPr>
                  <w:tcW w:w="730" w:type="dxa"/>
                  <w:tcBorders>
                    <w:tl2br w:val="nil"/>
                    <w:tr2bl w:val="nil"/>
                  </w:tcBorders>
                  <w:noWrap w:val="0"/>
                  <w:vAlign w:val="center"/>
                </w:tcPr>
                <w:p w14:paraId="4E100138">
                  <w:pPr>
                    <w:keepNext w:val="0"/>
                    <w:keepLines w:val="0"/>
                    <w:widowControl/>
                    <w:suppressLineNumbers w:val="0"/>
                    <w:jc w:val="right"/>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25.5</w:t>
                  </w:r>
                </w:p>
              </w:tc>
              <w:tc>
                <w:tcPr>
                  <w:tcW w:w="187" w:type="pct"/>
                  <w:tcBorders>
                    <w:tl2br w:val="nil"/>
                    <w:tr2bl w:val="nil"/>
                  </w:tcBorders>
                  <w:noWrap w:val="0"/>
                  <w:vAlign w:val="center"/>
                </w:tcPr>
                <w:p w14:paraId="544AE19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758" w:type="dxa"/>
                  <w:tcBorders>
                    <w:tl2br w:val="nil"/>
                    <w:tr2bl w:val="nil"/>
                  </w:tcBorders>
                  <w:noWrap w:val="0"/>
                  <w:vAlign w:val="center"/>
                </w:tcPr>
                <w:p w14:paraId="6E7642C0">
                  <w:pPr>
                    <w:keepNext w:val="0"/>
                    <w:keepLines w:val="0"/>
                    <w:widowControl/>
                    <w:suppressLineNumbers w:val="0"/>
                    <w:jc w:val="right"/>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25.5</w:t>
                  </w:r>
                </w:p>
              </w:tc>
              <w:tc>
                <w:tcPr>
                  <w:tcW w:w="1465" w:type="dxa"/>
                  <w:tcBorders>
                    <w:tl2br w:val="nil"/>
                    <w:tr2bl w:val="nil"/>
                  </w:tcBorders>
                  <w:noWrap w:val="0"/>
                  <w:vAlign w:val="center"/>
                </w:tcPr>
                <w:p w14:paraId="2A2A14DA">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59.8</w:t>
                  </w:r>
                </w:p>
              </w:tc>
              <w:tc>
                <w:tcPr>
                  <w:tcW w:w="466" w:type="pct"/>
                  <w:vMerge w:val="continue"/>
                  <w:tcBorders>
                    <w:tl2br w:val="nil"/>
                    <w:tr2bl w:val="nil"/>
                  </w:tcBorders>
                  <w:noWrap w:val="0"/>
                  <w:vAlign w:val="center"/>
                </w:tcPr>
                <w:p w14:paraId="3BFD486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72" w:type="pct"/>
                  <w:vMerge w:val="continue"/>
                  <w:tcBorders>
                    <w:tl2br w:val="nil"/>
                    <w:tr2bl w:val="nil"/>
                  </w:tcBorders>
                  <w:noWrap w:val="0"/>
                  <w:vAlign w:val="center"/>
                </w:tcPr>
                <w:p w14:paraId="7DEEBAA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1381" w:type="dxa"/>
                  <w:tcBorders>
                    <w:tl2br w:val="nil"/>
                    <w:tr2bl w:val="nil"/>
                  </w:tcBorders>
                  <w:noWrap w:val="0"/>
                  <w:vAlign w:val="center"/>
                </w:tcPr>
                <w:p w14:paraId="586A49A9">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39.8</w:t>
                  </w:r>
                </w:p>
              </w:tc>
              <w:tc>
                <w:tcPr>
                  <w:tcW w:w="235" w:type="pct"/>
                  <w:tcBorders>
                    <w:tl2br w:val="nil"/>
                    <w:tr2bl w:val="nil"/>
                  </w:tcBorders>
                  <w:noWrap w:val="0"/>
                  <w:vAlign w:val="center"/>
                </w:tcPr>
                <w:p w14:paraId="1F121C6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3183BB25">
              <w:trPr>
                <w:trHeight w:val="397" w:hRule="atLeast"/>
                <w:jc w:val="center"/>
              </w:trPr>
              <w:tc>
                <w:tcPr>
                  <w:tcW w:w="147" w:type="pct"/>
                  <w:tcBorders>
                    <w:tl2br w:val="nil"/>
                    <w:tr2bl w:val="nil"/>
                  </w:tcBorders>
                  <w:noWrap w:val="0"/>
                  <w:vAlign w:val="center"/>
                </w:tcPr>
                <w:p w14:paraId="2CD74102">
                  <w:pPr>
                    <w:numPr>
                      <w:ilvl w:val="0"/>
                      <w:numId w:val="25"/>
                    </w:numPr>
                    <w:ind w:left="0" w:leftChars="0" w:firstLine="0" w:firstLineChars="0"/>
                    <w:jc w:val="center"/>
                    <w:rPr>
                      <w:rFonts w:hint="eastAsia" w:ascii="Times New Roman" w:hAnsi="Times New Roman" w:eastAsia="宋体"/>
                      <w:color w:val="auto"/>
                      <w:sz w:val="21"/>
                      <w:szCs w:val="21"/>
                      <w:lang w:val="en-US" w:eastAsia="zh-CN"/>
                    </w:rPr>
                  </w:pPr>
                </w:p>
              </w:tc>
              <w:tc>
                <w:tcPr>
                  <w:tcW w:w="245" w:type="pct"/>
                  <w:vMerge w:val="continue"/>
                  <w:tcBorders>
                    <w:tl2br w:val="nil"/>
                    <w:tr2bl w:val="nil"/>
                  </w:tcBorders>
                  <w:noWrap w:val="0"/>
                  <w:vAlign w:val="center"/>
                </w:tcPr>
                <w:p w14:paraId="2DD0D5CE">
                  <w:pPr>
                    <w:jc w:val="center"/>
                    <w:rPr>
                      <w:rFonts w:hint="eastAsia" w:ascii="Times New Roman" w:hAnsi="Times New Roman" w:eastAsia="宋体"/>
                      <w:color w:val="auto"/>
                      <w:kern w:val="2"/>
                      <w:sz w:val="21"/>
                      <w:szCs w:val="21"/>
                      <w:lang w:val="en-US" w:eastAsia="zh-CN" w:bidi="ar-SA"/>
                    </w:rPr>
                  </w:pPr>
                </w:p>
              </w:tc>
              <w:tc>
                <w:tcPr>
                  <w:tcW w:w="630" w:type="pct"/>
                  <w:tcBorders>
                    <w:tl2br w:val="nil"/>
                    <w:tr2bl w:val="nil"/>
                  </w:tcBorders>
                  <w:noWrap w:val="0"/>
                  <w:vAlign w:val="center"/>
                </w:tcPr>
                <w:p w14:paraId="49E992B8">
                  <w:pPr>
                    <w:jc w:val="center"/>
                    <w:rPr>
                      <w:rFonts w:hint="eastAsia" w:ascii="Times New Roman" w:hAnsi="Times New Roman" w:eastAsia="宋体" w:cs="Arial"/>
                      <w:color w:val="auto"/>
                      <w:sz w:val="21"/>
                      <w:szCs w:val="21"/>
                      <w:lang w:val="en-US" w:eastAsia="zh-CN"/>
                    </w:rPr>
                  </w:pPr>
                  <w:r>
                    <w:rPr>
                      <w:rFonts w:hint="eastAsia" w:ascii="Times New Roman" w:hAnsi="Times New Roman" w:eastAsia="宋体"/>
                      <w:color w:val="auto"/>
                      <w:szCs w:val="21"/>
                      <w:lang w:val="en-US" w:eastAsia="zh-CN"/>
                    </w:rPr>
                    <w:t>封盖机组</w:t>
                  </w:r>
                </w:p>
              </w:tc>
              <w:tc>
                <w:tcPr>
                  <w:tcW w:w="242" w:type="pct"/>
                  <w:tcBorders>
                    <w:tl2br w:val="nil"/>
                    <w:tr2bl w:val="nil"/>
                  </w:tcBorders>
                  <w:noWrap w:val="0"/>
                  <w:vAlign w:val="center"/>
                </w:tcPr>
                <w:p w14:paraId="4E4F633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1630" w:type="dxa"/>
                  <w:tcBorders>
                    <w:tl2br w:val="nil"/>
                    <w:tr2bl w:val="nil"/>
                  </w:tcBorders>
                  <w:noWrap w:val="0"/>
                  <w:vAlign w:val="center"/>
                </w:tcPr>
                <w:p w14:paraId="17CCA6E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85</w:t>
                  </w:r>
                </w:p>
              </w:tc>
              <w:tc>
                <w:tcPr>
                  <w:tcW w:w="262" w:type="pct"/>
                  <w:vMerge w:val="continue"/>
                  <w:tcBorders>
                    <w:tl2br w:val="nil"/>
                    <w:tr2bl w:val="nil"/>
                  </w:tcBorders>
                  <w:noWrap w:val="0"/>
                  <w:vAlign w:val="center"/>
                </w:tcPr>
                <w:p w14:paraId="25C3A31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715" w:type="dxa"/>
                  <w:tcBorders>
                    <w:tl2br w:val="nil"/>
                    <w:tr2bl w:val="nil"/>
                  </w:tcBorders>
                  <w:noWrap w:val="0"/>
                  <w:vAlign w:val="center"/>
                </w:tcPr>
                <w:p w14:paraId="6D56871B">
                  <w:pPr>
                    <w:keepNext w:val="0"/>
                    <w:keepLines w:val="0"/>
                    <w:widowControl/>
                    <w:suppressLineNumbers w:val="0"/>
                    <w:jc w:val="right"/>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60.5</w:t>
                  </w:r>
                </w:p>
              </w:tc>
              <w:tc>
                <w:tcPr>
                  <w:tcW w:w="730" w:type="dxa"/>
                  <w:tcBorders>
                    <w:tl2br w:val="nil"/>
                    <w:tr2bl w:val="nil"/>
                  </w:tcBorders>
                  <w:noWrap w:val="0"/>
                  <w:vAlign w:val="center"/>
                </w:tcPr>
                <w:p w14:paraId="1B92B4BA">
                  <w:pPr>
                    <w:keepNext w:val="0"/>
                    <w:keepLines w:val="0"/>
                    <w:widowControl/>
                    <w:suppressLineNumbers w:val="0"/>
                    <w:jc w:val="right"/>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36.4</w:t>
                  </w:r>
                </w:p>
              </w:tc>
              <w:tc>
                <w:tcPr>
                  <w:tcW w:w="187" w:type="pct"/>
                  <w:tcBorders>
                    <w:tl2br w:val="nil"/>
                    <w:tr2bl w:val="nil"/>
                  </w:tcBorders>
                  <w:noWrap w:val="0"/>
                  <w:vAlign w:val="center"/>
                </w:tcPr>
                <w:p w14:paraId="457AFA4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758" w:type="dxa"/>
                  <w:tcBorders>
                    <w:tl2br w:val="nil"/>
                    <w:tr2bl w:val="nil"/>
                  </w:tcBorders>
                  <w:noWrap w:val="0"/>
                  <w:vAlign w:val="center"/>
                </w:tcPr>
                <w:p w14:paraId="6182A142">
                  <w:pPr>
                    <w:keepNext w:val="0"/>
                    <w:keepLines w:val="0"/>
                    <w:widowControl/>
                    <w:suppressLineNumbers w:val="0"/>
                    <w:jc w:val="right"/>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36.4</w:t>
                  </w:r>
                </w:p>
              </w:tc>
              <w:tc>
                <w:tcPr>
                  <w:tcW w:w="1465" w:type="dxa"/>
                  <w:tcBorders>
                    <w:tl2br w:val="nil"/>
                    <w:tr2bl w:val="nil"/>
                  </w:tcBorders>
                  <w:noWrap w:val="0"/>
                  <w:vAlign w:val="center"/>
                </w:tcPr>
                <w:p w14:paraId="739EBED3">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56.78</w:t>
                  </w:r>
                </w:p>
              </w:tc>
              <w:tc>
                <w:tcPr>
                  <w:tcW w:w="466" w:type="pct"/>
                  <w:vMerge w:val="continue"/>
                  <w:tcBorders>
                    <w:tl2br w:val="nil"/>
                    <w:tr2bl w:val="nil"/>
                  </w:tcBorders>
                  <w:noWrap w:val="0"/>
                  <w:vAlign w:val="center"/>
                </w:tcPr>
                <w:p w14:paraId="6B1E5D7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72" w:type="pct"/>
                  <w:vMerge w:val="continue"/>
                  <w:tcBorders>
                    <w:tl2br w:val="nil"/>
                    <w:tr2bl w:val="nil"/>
                  </w:tcBorders>
                  <w:noWrap w:val="0"/>
                  <w:vAlign w:val="center"/>
                </w:tcPr>
                <w:p w14:paraId="0152CB5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1381" w:type="dxa"/>
                  <w:tcBorders>
                    <w:tl2br w:val="nil"/>
                    <w:tr2bl w:val="nil"/>
                  </w:tcBorders>
                  <w:noWrap w:val="0"/>
                  <w:vAlign w:val="center"/>
                </w:tcPr>
                <w:p w14:paraId="6E93CC12">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36.78</w:t>
                  </w:r>
                </w:p>
              </w:tc>
              <w:tc>
                <w:tcPr>
                  <w:tcW w:w="235" w:type="pct"/>
                  <w:tcBorders>
                    <w:tl2br w:val="nil"/>
                    <w:tr2bl w:val="nil"/>
                  </w:tcBorders>
                  <w:noWrap w:val="0"/>
                  <w:vAlign w:val="center"/>
                </w:tcPr>
                <w:p w14:paraId="38AE2EC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322AC0A7">
              <w:trPr>
                <w:trHeight w:val="397" w:hRule="atLeast"/>
                <w:jc w:val="center"/>
              </w:trPr>
              <w:tc>
                <w:tcPr>
                  <w:tcW w:w="147" w:type="pct"/>
                  <w:tcBorders>
                    <w:tl2br w:val="nil"/>
                    <w:tr2bl w:val="nil"/>
                  </w:tcBorders>
                  <w:noWrap w:val="0"/>
                  <w:vAlign w:val="center"/>
                </w:tcPr>
                <w:p w14:paraId="1D85CBFF">
                  <w:pPr>
                    <w:numPr>
                      <w:ilvl w:val="0"/>
                      <w:numId w:val="25"/>
                    </w:numPr>
                    <w:ind w:left="0" w:leftChars="0" w:firstLine="0" w:firstLineChars="0"/>
                    <w:jc w:val="center"/>
                    <w:rPr>
                      <w:rFonts w:hint="eastAsia" w:ascii="Times New Roman" w:hAnsi="Times New Roman" w:eastAsia="宋体"/>
                      <w:color w:val="auto"/>
                      <w:sz w:val="21"/>
                      <w:szCs w:val="21"/>
                      <w:lang w:val="en-US" w:eastAsia="zh-CN"/>
                    </w:rPr>
                  </w:pPr>
                </w:p>
              </w:tc>
              <w:tc>
                <w:tcPr>
                  <w:tcW w:w="245" w:type="pct"/>
                  <w:vMerge w:val="continue"/>
                  <w:tcBorders>
                    <w:tl2br w:val="nil"/>
                    <w:tr2bl w:val="nil"/>
                  </w:tcBorders>
                  <w:noWrap w:val="0"/>
                  <w:vAlign w:val="center"/>
                </w:tcPr>
                <w:p w14:paraId="0D3010AE">
                  <w:pPr>
                    <w:jc w:val="center"/>
                    <w:rPr>
                      <w:rFonts w:hint="eastAsia" w:ascii="Times New Roman" w:hAnsi="Times New Roman" w:eastAsia="宋体"/>
                      <w:color w:val="auto"/>
                      <w:kern w:val="2"/>
                      <w:sz w:val="21"/>
                      <w:szCs w:val="21"/>
                      <w:lang w:val="en-US" w:eastAsia="zh-CN" w:bidi="ar-SA"/>
                    </w:rPr>
                  </w:pPr>
                </w:p>
              </w:tc>
              <w:tc>
                <w:tcPr>
                  <w:tcW w:w="630" w:type="pct"/>
                  <w:tcBorders>
                    <w:tl2br w:val="nil"/>
                    <w:tr2bl w:val="nil"/>
                  </w:tcBorders>
                  <w:noWrap w:val="0"/>
                  <w:vAlign w:val="center"/>
                </w:tcPr>
                <w:p w14:paraId="495CB6EF">
                  <w:pPr>
                    <w:jc w:val="center"/>
                    <w:rPr>
                      <w:rFonts w:hint="eastAsia" w:ascii="Times New Roman" w:hAnsi="Times New Roman" w:eastAsia="宋体" w:cs="Arial"/>
                      <w:color w:val="auto"/>
                      <w:sz w:val="21"/>
                      <w:lang w:eastAsia="zh-CN"/>
                    </w:rPr>
                  </w:pPr>
                  <w:r>
                    <w:rPr>
                      <w:rFonts w:hint="eastAsia" w:ascii="Times New Roman" w:hAnsi="Times New Roman" w:eastAsia="宋体"/>
                      <w:color w:val="auto"/>
                      <w:szCs w:val="21"/>
                      <w:lang w:val="en-US" w:eastAsia="zh-CN"/>
                    </w:rPr>
                    <w:t>灌装机组</w:t>
                  </w:r>
                </w:p>
              </w:tc>
              <w:tc>
                <w:tcPr>
                  <w:tcW w:w="242" w:type="pct"/>
                  <w:tcBorders>
                    <w:tl2br w:val="nil"/>
                    <w:tr2bl w:val="nil"/>
                  </w:tcBorders>
                  <w:noWrap w:val="0"/>
                  <w:vAlign w:val="center"/>
                </w:tcPr>
                <w:p w14:paraId="2774AFE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1630" w:type="dxa"/>
                  <w:tcBorders>
                    <w:tl2br w:val="nil"/>
                    <w:tr2bl w:val="nil"/>
                  </w:tcBorders>
                  <w:noWrap w:val="0"/>
                  <w:vAlign w:val="center"/>
                </w:tcPr>
                <w:p w14:paraId="5BAD48C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85</w:t>
                  </w:r>
                </w:p>
              </w:tc>
              <w:tc>
                <w:tcPr>
                  <w:tcW w:w="262" w:type="pct"/>
                  <w:vMerge w:val="continue"/>
                  <w:tcBorders>
                    <w:tl2br w:val="nil"/>
                    <w:tr2bl w:val="nil"/>
                  </w:tcBorders>
                  <w:noWrap w:val="0"/>
                  <w:vAlign w:val="center"/>
                </w:tcPr>
                <w:p w14:paraId="2E6CA13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715" w:type="dxa"/>
                  <w:tcBorders>
                    <w:tl2br w:val="nil"/>
                    <w:tr2bl w:val="nil"/>
                  </w:tcBorders>
                  <w:noWrap w:val="0"/>
                  <w:vAlign w:val="center"/>
                </w:tcPr>
                <w:p w14:paraId="30B83A99">
                  <w:pPr>
                    <w:keepNext w:val="0"/>
                    <w:keepLines w:val="0"/>
                    <w:widowControl/>
                    <w:suppressLineNumbers w:val="0"/>
                    <w:jc w:val="right"/>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40.5</w:t>
                  </w:r>
                </w:p>
              </w:tc>
              <w:tc>
                <w:tcPr>
                  <w:tcW w:w="730" w:type="dxa"/>
                  <w:tcBorders>
                    <w:tl2br w:val="nil"/>
                    <w:tr2bl w:val="nil"/>
                  </w:tcBorders>
                  <w:noWrap w:val="0"/>
                  <w:vAlign w:val="center"/>
                </w:tcPr>
                <w:p w14:paraId="16C27578">
                  <w:pPr>
                    <w:keepNext w:val="0"/>
                    <w:keepLines w:val="0"/>
                    <w:widowControl/>
                    <w:suppressLineNumbers w:val="0"/>
                    <w:jc w:val="right"/>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35.5</w:t>
                  </w:r>
                </w:p>
              </w:tc>
              <w:tc>
                <w:tcPr>
                  <w:tcW w:w="187" w:type="pct"/>
                  <w:tcBorders>
                    <w:tl2br w:val="nil"/>
                    <w:tr2bl w:val="nil"/>
                  </w:tcBorders>
                  <w:noWrap w:val="0"/>
                  <w:vAlign w:val="center"/>
                </w:tcPr>
                <w:p w14:paraId="1376EC1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758" w:type="dxa"/>
                  <w:tcBorders>
                    <w:tl2br w:val="nil"/>
                    <w:tr2bl w:val="nil"/>
                  </w:tcBorders>
                  <w:noWrap w:val="0"/>
                  <w:vAlign w:val="center"/>
                </w:tcPr>
                <w:p w14:paraId="213C9704">
                  <w:pPr>
                    <w:keepNext w:val="0"/>
                    <w:keepLines w:val="0"/>
                    <w:widowControl/>
                    <w:suppressLineNumbers w:val="0"/>
                    <w:jc w:val="right"/>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35.5</w:t>
                  </w:r>
                </w:p>
              </w:tc>
              <w:tc>
                <w:tcPr>
                  <w:tcW w:w="1465" w:type="dxa"/>
                  <w:tcBorders>
                    <w:tl2br w:val="nil"/>
                    <w:tr2bl w:val="nil"/>
                  </w:tcBorders>
                  <w:noWrap w:val="0"/>
                  <w:vAlign w:val="center"/>
                </w:tcPr>
                <w:p w14:paraId="3A600A45">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58.76</w:t>
                  </w:r>
                </w:p>
              </w:tc>
              <w:tc>
                <w:tcPr>
                  <w:tcW w:w="466" w:type="pct"/>
                  <w:vMerge w:val="continue"/>
                  <w:tcBorders>
                    <w:tl2br w:val="nil"/>
                    <w:tr2bl w:val="nil"/>
                  </w:tcBorders>
                  <w:noWrap w:val="0"/>
                  <w:vAlign w:val="center"/>
                </w:tcPr>
                <w:p w14:paraId="68B0CD8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72" w:type="pct"/>
                  <w:vMerge w:val="continue"/>
                  <w:tcBorders>
                    <w:tl2br w:val="nil"/>
                    <w:tr2bl w:val="nil"/>
                  </w:tcBorders>
                  <w:noWrap w:val="0"/>
                  <w:vAlign w:val="center"/>
                </w:tcPr>
                <w:p w14:paraId="66CD66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1381" w:type="dxa"/>
                  <w:tcBorders>
                    <w:tl2br w:val="nil"/>
                    <w:tr2bl w:val="nil"/>
                  </w:tcBorders>
                  <w:noWrap w:val="0"/>
                  <w:vAlign w:val="center"/>
                </w:tcPr>
                <w:p w14:paraId="4ACA0FE5">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38.76</w:t>
                  </w:r>
                </w:p>
              </w:tc>
              <w:tc>
                <w:tcPr>
                  <w:tcW w:w="235" w:type="pct"/>
                  <w:tcBorders>
                    <w:tl2br w:val="nil"/>
                    <w:tr2bl w:val="nil"/>
                  </w:tcBorders>
                  <w:noWrap w:val="0"/>
                  <w:vAlign w:val="center"/>
                </w:tcPr>
                <w:p w14:paraId="73EFE75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1CA6FC50">
              <w:trPr>
                <w:trHeight w:val="397" w:hRule="atLeast"/>
                <w:jc w:val="center"/>
              </w:trPr>
              <w:tc>
                <w:tcPr>
                  <w:tcW w:w="147" w:type="pct"/>
                  <w:tcBorders>
                    <w:tl2br w:val="nil"/>
                    <w:tr2bl w:val="nil"/>
                  </w:tcBorders>
                  <w:noWrap w:val="0"/>
                  <w:vAlign w:val="center"/>
                </w:tcPr>
                <w:p w14:paraId="334F5543">
                  <w:pPr>
                    <w:numPr>
                      <w:ilvl w:val="0"/>
                      <w:numId w:val="25"/>
                    </w:numPr>
                    <w:ind w:left="0" w:leftChars="0" w:firstLine="0" w:firstLineChars="0"/>
                    <w:jc w:val="center"/>
                    <w:rPr>
                      <w:rFonts w:hint="eastAsia" w:ascii="Times New Roman" w:hAnsi="Times New Roman" w:eastAsia="宋体"/>
                      <w:color w:val="auto"/>
                      <w:sz w:val="21"/>
                      <w:szCs w:val="21"/>
                      <w:lang w:val="en-US" w:eastAsia="zh-CN"/>
                    </w:rPr>
                  </w:pPr>
                </w:p>
              </w:tc>
              <w:tc>
                <w:tcPr>
                  <w:tcW w:w="245" w:type="pct"/>
                  <w:vMerge w:val="continue"/>
                  <w:tcBorders>
                    <w:tl2br w:val="nil"/>
                    <w:tr2bl w:val="nil"/>
                  </w:tcBorders>
                  <w:noWrap w:val="0"/>
                  <w:vAlign w:val="center"/>
                </w:tcPr>
                <w:p w14:paraId="72290D6F">
                  <w:pPr>
                    <w:jc w:val="center"/>
                    <w:rPr>
                      <w:rFonts w:hint="eastAsia" w:ascii="Times New Roman" w:hAnsi="Times New Roman" w:eastAsia="宋体"/>
                      <w:color w:val="auto"/>
                      <w:kern w:val="2"/>
                      <w:sz w:val="21"/>
                      <w:szCs w:val="21"/>
                      <w:lang w:val="en-US" w:eastAsia="zh-CN" w:bidi="ar-SA"/>
                    </w:rPr>
                  </w:pPr>
                </w:p>
              </w:tc>
              <w:tc>
                <w:tcPr>
                  <w:tcW w:w="630" w:type="pct"/>
                  <w:tcBorders>
                    <w:tl2br w:val="nil"/>
                    <w:tr2bl w:val="nil"/>
                  </w:tcBorders>
                  <w:noWrap w:val="0"/>
                  <w:vAlign w:val="center"/>
                </w:tcPr>
                <w:p w14:paraId="0781BF68">
                  <w:pPr>
                    <w:jc w:val="center"/>
                    <w:rPr>
                      <w:rFonts w:hint="eastAsia" w:ascii="Times New Roman" w:hAnsi="Times New Roman" w:eastAsia="宋体" w:cs="Arial"/>
                      <w:color w:val="auto"/>
                      <w:sz w:val="21"/>
                      <w:lang w:eastAsia="zh-CN"/>
                    </w:rPr>
                  </w:pPr>
                  <w:r>
                    <w:rPr>
                      <w:rFonts w:hint="eastAsia" w:ascii="Times New Roman" w:hAnsi="Times New Roman" w:eastAsia="宋体"/>
                      <w:color w:val="auto"/>
                      <w:szCs w:val="21"/>
                      <w:lang w:val="en-US" w:eastAsia="zh-CN"/>
                    </w:rPr>
                    <w:t>包装流水线</w:t>
                  </w:r>
                </w:p>
              </w:tc>
              <w:tc>
                <w:tcPr>
                  <w:tcW w:w="242" w:type="pct"/>
                  <w:tcBorders>
                    <w:tl2br w:val="nil"/>
                    <w:tr2bl w:val="nil"/>
                  </w:tcBorders>
                  <w:noWrap w:val="0"/>
                  <w:vAlign w:val="center"/>
                </w:tcPr>
                <w:p w14:paraId="060CC73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1630" w:type="dxa"/>
                  <w:tcBorders>
                    <w:tl2br w:val="nil"/>
                    <w:tr2bl w:val="nil"/>
                  </w:tcBorders>
                  <w:noWrap w:val="0"/>
                  <w:vAlign w:val="center"/>
                </w:tcPr>
                <w:p w14:paraId="7FEB89C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w:t>
                  </w:r>
                </w:p>
              </w:tc>
              <w:tc>
                <w:tcPr>
                  <w:tcW w:w="262" w:type="pct"/>
                  <w:vMerge w:val="continue"/>
                  <w:tcBorders>
                    <w:tl2br w:val="nil"/>
                    <w:tr2bl w:val="nil"/>
                  </w:tcBorders>
                  <w:noWrap w:val="0"/>
                  <w:vAlign w:val="center"/>
                </w:tcPr>
                <w:p w14:paraId="682DC08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715" w:type="dxa"/>
                  <w:tcBorders>
                    <w:tl2br w:val="nil"/>
                    <w:tr2bl w:val="nil"/>
                  </w:tcBorders>
                  <w:noWrap w:val="0"/>
                  <w:vAlign w:val="center"/>
                </w:tcPr>
                <w:p w14:paraId="64DDBD49">
                  <w:pPr>
                    <w:keepNext w:val="0"/>
                    <w:keepLines w:val="0"/>
                    <w:widowControl/>
                    <w:suppressLineNumbers w:val="0"/>
                    <w:jc w:val="right"/>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50.1</w:t>
                  </w:r>
                </w:p>
              </w:tc>
              <w:tc>
                <w:tcPr>
                  <w:tcW w:w="730" w:type="dxa"/>
                  <w:tcBorders>
                    <w:tl2br w:val="nil"/>
                    <w:tr2bl w:val="nil"/>
                  </w:tcBorders>
                  <w:noWrap w:val="0"/>
                  <w:vAlign w:val="center"/>
                </w:tcPr>
                <w:p w14:paraId="51344114">
                  <w:pPr>
                    <w:keepNext w:val="0"/>
                    <w:keepLines w:val="0"/>
                    <w:widowControl/>
                    <w:suppressLineNumbers w:val="0"/>
                    <w:jc w:val="right"/>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34.2</w:t>
                  </w:r>
                </w:p>
              </w:tc>
              <w:tc>
                <w:tcPr>
                  <w:tcW w:w="187" w:type="pct"/>
                  <w:tcBorders>
                    <w:tl2br w:val="nil"/>
                    <w:tr2bl w:val="nil"/>
                  </w:tcBorders>
                  <w:noWrap w:val="0"/>
                  <w:vAlign w:val="center"/>
                </w:tcPr>
                <w:p w14:paraId="41FE9AB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758" w:type="dxa"/>
                  <w:tcBorders>
                    <w:tl2br w:val="nil"/>
                    <w:tr2bl w:val="nil"/>
                  </w:tcBorders>
                  <w:noWrap w:val="0"/>
                  <w:vAlign w:val="center"/>
                </w:tcPr>
                <w:p w14:paraId="78E1CA5E">
                  <w:pPr>
                    <w:keepNext w:val="0"/>
                    <w:keepLines w:val="0"/>
                    <w:widowControl/>
                    <w:suppressLineNumbers w:val="0"/>
                    <w:jc w:val="right"/>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34.2</w:t>
                  </w:r>
                </w:p>
              </w:tc>
              <w:tc>
                <w:tcPr>
                  <w:tcW w:w="1465" w:type="dxa"/>
                  <w:tcBorders>
                    <w:tl2br w:val="nil"/>
                    <w:tr2bl w:val="nil"/>
                  </w:tcBorders>
                  <w:noWrap w:val="0"/>
                  <w:vAlign w:val="center"/>
                </w:tcPr>
                <w:p w14:paraId="5F9EB14D">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47.32</w:t>
                  </w:r>
                </w:p>
              </w:tc>
              <w:tc>
                <w:tcPr>
                  <w:tcW w:w="466" w:type="pct"/>
                  <w:vMerge w:val="continue"/>
                  <w:tcBorders>
                    <w:tl2br w:val="nil"/>
                    <w:tr2bl w:val="nil"/>
                  </w:tcBorders>
                  <w:noWrap w:val="0"/>
                  <w:vAlign w:val="center"/>
                </w:tcPr>
                <w:p w14:paraId="3FC591C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72" w:type="pct"/>
                  <w:vMerge w:val="continue"/>
                  <w:tcBorders>
                    <w:tl2br w:val="nil"/>
                    <w:tr2bl w:val="nil"/>
                  </w:tcBorders>
                  <w:noWrap w:val="0"/>
                  <w:vAlign w:val="center"/>
                </w:tcPr>
                <w:p w14:paraId="37A3CF4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1381" w:type="dxa"/>
                  <w:tcBorders>
                    <w:tl2br w:val="nil"/>
                    <w:tr2bl w:val="nil"/>
                  </w:tcBorders>
                  <w:noWrap w:val="0"/>
                  <w:vAlign w:val="center"/>
                </w:tcPr>
                <w:p w14:paraId="3625EE8A">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27.32</w:t>
                  </w:r>
                </w:p>
              </w:tc>
              <w:tc>
                <w:tcPr>
                  <w:tcW w:w="235" w:type="pct"/>
                  <w:tcBorders>
                    <w:tl2br w:val="nil"/>
                    <w:tr2bl w:val="nil"/>
                  </w:tcBorders>
                  <w:noWrap w:val="0"/>
                  <w:vAlign w:val="center"/>
                </w:tcPr>
                <w:p w14:paraId="6FFC329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7224B65C">
              <w:trPr>
                <w:trHeight w:val="397" w:hRule="atLeast"/>
                <w:jc w:val="center"/>
              </w:trPr>
              <w:tc>
                <w:tcPr>
                  <w:tcW w:w="147" w:type="pct"/>
                  <w:tcBorders>
                    <w:tl2br w:val="nil"/>
                    <w:tr2bl w:val="nil"/>
                  </w:tcBorders>
                  <w:noWrap w:val="0"/>
                  <w:vAlign w:val="center"/>
                </w:tcPr>
                <w:p w14:paraId="64CA2646">
                  <w:pPr>
                    <w:numPr>
                      <w:ilvl w:val="0"/>
                      <w:numId w:val="25"/>
                    </w:numPr>
                    <w:ind w:left="0" w:leftChars="0" w:firstLine="0" w:firstLineChars="0"/>
                    <w:jc w:val="center"/>
                    <w:rPr>
                      <w:rFonts w:hint="eastAsia" w:ascii="Times New Roman" w:hAnsi="Times New Roman" w:eastAsia="宋体"/>
                      <w:color w:val="auto"/>
                      <w:sz w:val="21"/>
                      <w:szCs w:val="21"/>
                      <w:lang w:val="en-US" w:eastAsia="zh-CN"/>
                    </w:rPr>
                  </w:pPr>
                </w:p>
              </w:tc>
              <w:tc>
                <w:tcPr>
                  <w:tcW w:w="245" w:type="pct"/>
                  <w:vMerge w:val="continue"/>
                  <w:tcBorders>
                    <w:tl2br w:val="nil"/>
                    <w:tr2bl w:val="nil"/>
                  </w:tcBorders>
                  <w:noWrap w:val="0"/>
                  <w:vAlign w:val="center"/>
                </w:tcPr>
                <w:p w14:paraId="76646CF8">
                  <w:pPr>
                    <w:jc w:val="center"/>
                    <w:rPr>
                      <w:rFonts w:hint="eastAsia" w:ascii="Times New Roman" w:hAnsi="Times New Roman" w:eastAsia="宋体"/>
                      <w:color w:val="auto"/>
                      <w:kern w:val="2"/>
                      <w:sz w:val="21"/>
                      <w:szCs w:val="21"/>
                      <w:lang w:val="en-US" w:eastAsia="zh-CN" w:bidi="ar-SA"/>
                    </w:rPr>
                  </w:pPr>
                </w:p>
              </w:tc>
              <w:tc>
                <w:tcPr>
                  <w:tcW w:w="630" w:type="pct"/>
                  <w:tcBorders>
                    <w:tl2br w:val="nil"/>
                    <w:tr2bl w:val="nil"/>
                  </w:tcBorders>
                  <w:noWrap w:val="0"/>
                  <w:vAlign w:val="center"/>
                </w:tcPr>
                <w:p w14:paraId="025E2A3A">
                  <w:pPr>
                    <w:jc w:val="center"/>
                    <w:rPr>
                      <w:rFonts w:hint="eastAsia" w:ascii="Times New Roman" w:hAnsi="Times New Roman" w:eastAsia="宋体" w:cs="Arial"/>
                      <w:color w:val="auto"/>
                      <w:sz w:val="21"/>
                      <w:lang w:eastAsia="zh-CN"/>
                    </w:rPr>
                  </w:pPr>
                  <w:r>
                    <w:rPr>
                      <w:rFonts w:hint="eastAsia" w:ascii="Times New Roman" w:hAnsi="Times New Roman" w:eastAsia="宋体"/>
                      <w:color w:val="auto"/>
                      <w:szCs w:val="21"/>
                      <w:lang w:val="en-US" w:eastAsia="zh-CN"/>
                    </w:rPr>
                    <w:t>激光打码机</w:t>
                  </w:r>
                </w:p>
              </w:tc>
              <w:tc>
                <w:tcPr>
                  <w:tcW w:w="242" w:type="pct"/>
                  <w:tcBorders>
                    <w:tl2br w:val="nil"/>
                    <w:tr2bl w:val="nil"/>
                  </w:tcBorders>
                  <w:noWrap w:val="0"/>
                  <w:vAlign w:val="center"/>
                </w:tcPr>
                <w:p w14:paraId="10B36EF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1630" w:type="dxa"/>
                  <w:tcBorders>
                    <w:tl2br w:val="nil"/>
                    <w:tr2bl w:val="nil"/>
                  </w:tcBorders>
                  <w:noWrap w:val="0"/>
                  <w:vAlign w:val="center"/>
                </w:tcPr>
                <w:p w14:paraId="6FDE506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262" w:type="pct"/>
                  <w:vMerge w:val="continue"/>
                  <w:tcBorders>
                    <w:tl2br w:val="nil"/>
                    <w:tr2bl w:val="nil"/>
                  </w:tcBorders>
                  <w:noWrap w:val="0"/>
                  <w:vAlign w:val="center"/>
                </w:tcPr>
                <w:p w14:paraId="5A857FC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715" w:type="dxa"/>
                  <w:tcBorders>
                    <w:tl2br w:val="nil"/>
                    <w:tr2bl w:val="nil"/>
                  </w:tcBorders>
                  <w:noWrap w:val="0"/>
                  <w:vAlign w:val="center"/>
                </w:tcPr>
                <w:p w14:paraId="0B606890">
                  <w:pPr>
                    <w:keepNext w:val="0"/>
                    <w:keepLines w:val="0"/>
                    <w:widowControl/>
                    <w:suppressLineNumbers w:val="0"/>
                    <w:jc w:val="right"/>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46.5</w:t>
                  </w:r>
                </w:p>
              </w:tc>
              <w:tc>
                <w:tcPr>
                  <w:tcW w:w="730" w:type="dxa"/>
                  <w:tcBorders>
                    <w:tl2br w:val="nil"/>
                    <w:tr2bl w:val="nil"/>
                  </w:tcBorders>
                  <w:noWrap w:val="0"/>
                  <w:vAlign w:val="center"/>
                </w:tcPr>
                <w:p w14:paraId="7EBCE553">
                  <w:pPr>
                    <w:keepNext w:val="0"/>
                    <w:keepLines w:val="0"/>
                    <w:widowControl/>
                    <w:suppressLineNumbers w:val="0"/>
                    <w:jc w:val="right"/>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35.2</w:t>
                  </w:r>
                </w:p>
              </w:tc>
              <w:tc>
                <w:tcPr>
                  <w:tcW w:w="187" w:type="pct"/>
                  <w:tcBorders>
                    <w:tl2br w:val="nil"/>
                    <w:tr2bl w:val="nil"/>
                  </w:tcBorders>
                  <w:noWrap w:val="0"/>
                  <w:vAlign w:val="center"/>
                </w:tcPr>
                <w:p w14:paraId="18C4E8E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758" w:type="dxa"/>
                  <w:tcBorders>
                    <w:tl2br w:val="nil"/>
                    <w:tr2bl w:val="nil"/>
                  </w:tcBorders>
                  <w:noWrap w:val="0"/>
                  <w:vAlign w:val="center"/>
                </w:tcPr>
                <w:p w14:paraId="528BCD3D">
                  <w:pPr>
                    <w:keepNext w:val="0"/>
                    <w:keepLines w:val="0"/>
                    <w:widowControl/>
                    <w:suppressLineNumbers w:val="0"/>
                    <w:jc w:val="right"/>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35.2</w:t>
                  </w:r>
                </w:p>
              </w:tc>
              <w:tc>
                <w:tcPr>
                  <w:tcW w:w="1465" w:type="dxa"/>
                  <w:tcBorders>
                    <w:tl2br w:val="nil"/>
                    <w:tr2bl w:val="nil"/>
                  </w:tcBorders>
                  <w:noWrap w:val="0"/>
                  <w:vAlign w:val="center"/>
                </w:tcPr>
                <w:p w14:paraId="7A3C63D7">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46.05</w:t>
                  </w:r>
                </w:p>
              </w:tc>
              <w:tc>
                <w:tcPr>
                  <w:tcW w:w="466" w:type="pct"/>
                  <w:vMerge w:val="continue"/>
                  <w:tcBorders>
                    <w:tl2br w:val="nil"/>
                    <w:tr2bl w:val="nil"/>
                  </w:tcBorders>
                  <w:noWrap w:val="0"/>
                  <w:vAlign w:val="center"/>
                </w:tcPr>
                <w:p w14:paraId="1A3466B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72" w:type="pct"/>
                  <w:vMerge w:val="continue"/>
                  <w:tcBorders>
                    <w:tl2br w:val="nil"/>
                    <w:tr2bl w:val="nil"/>
                  </w:tcBorders>
                  <w:noWrap w:val="0"/>
                  <w:vAlign w:val="center"/>
                </w:tcPr>
                <w:p w14:paraId="7570BA3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1381" w:type="dxa"/>
                  <w:tcBorders>
                    <w:tl2br w:val="nil"/>
                    <w:tr2bl w:val="nil"/>
                  </w:tcBorders>
                  <w:noWrap w:val="0"/>
                  <w:vAlign w:val="center"/>
                </w:tcPr>
                <w:p w14:paraId="492AC94D">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26.05</w:t>
                  </w:r>
                </w:p>
              </w:tc>
              <w:tc>
                <w:tcPr>
                  <w:tcW w:w="235" w:type="pct"/>
                  <w:tcBorders>
                    <w:tl2br w:val="nil"/>
                    <w:tr2bl w:val="nil"/>
                  </w:tcBorders>
                  <w:noWrap w:val="0"/>
                  <w:vAlign w:val="center"/>
                </w:tcPr>
                <w:p w14:paraId="10827DC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27CB521F">
              <w:trPr>
                <w:trHeight w:val="397" w:hRule="atLeast"/>
                <w:jc w:val="center"/>
              </w:trPr>
              <w:tc>
                <w:tcPr>
                  <w:tcW w:w="147" w:type="pct"/>
                  <w:tcBorders>
                    <w:tl2br w:val="nil"/>
                    <w:tr2bl w:val="nil"/>
                  </w:tcBorders>
                  <w:noWrap w:val="0"/>
                  <w:vAlign w:val="center"/>
                </w:tcPr>
                <w:p w14:paraId="379289B6">
                  <w:pPr>
                    <w:numPr>
                      <w:ilvl w:val="0"/>
                      <w:numId w:val="25"/>
                    </w:numPr>
                    <w:ind w:left="0" w:leftChars="0" w:firstLine="0" w:firstLineChars="0"/>
                    <w:jc w:val="center"/>
                    <w:rPr>
                      <w:rFonts w:hint="eastAsia" w:ascii="Times New Roman" w:hAnsi="Times New Roman" w:eastAsia="宋体"/>
                      <w:color w:val="auto"/>
                      <w:sz w:val="21"/>
                      <w:szCs w:val="21"/>
                      <w:lang w:val="en-US" w:eastAsia="zh-CN"/>
                    </w:rPr>
                  </w:pPr>
                </w:p>
              </w:tc>
              <w:tc>
                <w:tcPr>
                  <w:tcW w:w="245" w:type="pct"/>
                  <w:vMerge w:val="continue"/>
                  <w:tcBorders>
                    <w:tl2br w:val="nil"/>
                    <w:tr2bl w:val="nil"/>
                  </w:tcBorders>
                  <w:noWrap w:val="0"/>
                  <w:vAlign w:val="center"/>
                </w:tcPr>
                <w:p w14:paraId="0F902452">
                  <w:pPr>
                    <w:jc w:val="center"/>
                    <w:rPr>
                      <w:rFonts w:hint="eastAsia" w:ascii="Times New Roman" w:hAnsi="Times New Roman" w:eastAsia="宋体"/>
                      <w:color w:val="auto"/>
                      <w:kern w:val="2"/>
                      <w:sz w:val="21"/>
                      <w:szCs w:val="21"/>
                      <w:lang w:val="en-US" w:eastAsia="zh-CN" w:bidi="ar-SA"/>
                    </w:rPr>
                  </w:pPr>
                </w:p>
              </w:tc>
              <w:tc>
                <w:tcPr>
                  <w:tcW w:w="630" w:type="pct"/>
                  <w:tcBorders>
                    <w:tl2br w:val="nil"/>
                    <w:tr2bl w:val="nil"/>
                  </w:tcBorders>
                  <w:noWrap w:val="0"/>
                  <w:vAlign w:val="center"/>
                </w:tcPr>
                <w:p w14:paraId="5DF49CEB">
                  <w:pPr>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风干机</w:t>
                  </w:r>
                </w:p>
              </w:tc>
              <w:tc>
                <w:tcPr>
                  <w:tcW w:w="242" w:type="pct"/>
                  <w:tcBorders>
                    <w:tl2br w:val="nil"/>
                    <w:tr2bl w:val="nil"/>
                  </w:tcBorders>
                  <w:noWrap w:val="0"/>
                  <w:vAlign w:val="center"/>
                </w:tcPr>
                <w:p w14:paraId="5BB8D08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1630" w:type="dxa"/>
                  <w:tcBorders>
                    <w:tl2br w:val="nil"/>
                    <w:tr2bl w:val="nil"/>
                  </w:tcBorders>
                  <w:noWrap w:val="0"/>
                  <w:vAlign w:val="center"/>
                </w:tcPr>
                <w:p w14:paraId="502E8B0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85</w:t>
                  </w:r>
                </w:p>
              </w:tc>
              <w:tc>
                <w:tcPr>
                  <w:tcW w:w="262" w:type="pct"/>
                  <w:vMerge w:val="continue"/>
                  <w:tcBorders>
                    <w:tl2br w:val="nil"/>
                    <w:tr2bl w:val="nil"/>
                  </w:tcBorders>
                  <w:noWrap w:val="0"/>
                  <w:vAlign w:val="center"/>
                </w:tcPr>
                <w:p w14:paraId="68C6B53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715" w:type="dxa"/>
                  <w:tcBorders>
                    <w:tl2br w:val="nil"/>
                    <w:tr2bl w:val="nil"/>
                  </w:tcBorders>
                  <w:noWrap w:val="0"/>
                  <w:vAlign w:val="center"/>
                </w:tcPr>
                <w:p w14:paraId="2024F4AC">
                  <w:pPr>
                    <w:keepNext w:val="0"/>
                    <w:keepLines w:val="0"/>
                    <w:widowControl/>
                    <w:suppressLineNumbers w:val="0"/>
                    <w:jc w:val="right"/>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43.2</w:t>
                  </w:r>
                </w:p>
              </w:tc>
              <w:tc>
                <w:tcPr>
                  <w:tcW w:w="730" w:type="dxa"/>
                  <w:tcBorders>
                    <w:tl2br w:val="nil"/>
                    <w:tr2bl w:val="nil"/>
                  </w:tcBorders>
                  <w:noWrap w:val="0"/>
                  <w:vAlign w:val="center"/>
                </w:tcPr>
                <w:p w14:paraId="1F77D666">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35</w:t>
                  </w:r>
                </w:p>
              </w:tc>
              <w:tc>
                <w:tcPr>
                  <w:tcW w:w="187" w:type="pct"/>
                  <w:tcBorders>
                    <w:tl2br w:val="nil"/>
                    <w:tr2bl w:val="nil"/>
                  </w:tcBorders>
                  <w:noWrap w:val="0"/>
                  <w:vAlign w:val="center"/>
                </w:tcPr>
                <w:p w14:paraId="7B7E9A1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758" w:type="dxa"/>
                  <w:tcBorders>
                    <w:tl2br w:val="nil"/>
                    <w:tr2bl w:val="nil"/>
                  </w:tcBorders>
                  <w:noWrap w:val="0"/>
                  <w:vAlign w:val="center"/>
                </w:tcPr>
                <w:p w14:paraId="2B085141">
                  <w:pPr>
                    <w:keepNext w:val="0"/>
                    <w:keepLines w:val="0"/>
                    <w:widowControl/>
                    <w:suppressLineNumbers w:val="0"/>
                    <w:jc w:val="right"/>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35</w:t>
                  </w:r>
                </w:p>
              </w:tc>
              <w:tc>
                <w:tcPr>
                  <w:tcW w:w="1465" w:type="dxa"/>
                  <w:tcBorders>
                    <w:tl2br w:val="nil"/>
                    <w:tr2bl w:val="nil"/>
                  </w:tcBorders>
                  <w:noWrap w:val="0"/>
                  <w:vAlign w:val="center"/>
                </w:tcPr>
                <w:p w14:paraId="19FF90F7">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60.13</w:t>
                  </w:r>
                </w:p>
              </w:tc>
              <w:tc>
                <w:tcPr>
                  <w:tcW w:w="466" w:type="pct"/>
                  <w:vMerge w:val="continue"/>
                  <w:tcBorders>
                    <w:tl2br w:val="nil"/>
                    <w:tr2bl w:val="nil"/>
                  </w:tcBorders>
                  <w:noWrap w:val="0"/>
                  <w:vAlign w:val="center"/>
                </w:tcPr>
                <w:p w14:paraId="6557C4D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72" w:type="pct"/>
                  <w:vMerge w:val="continue"/>
                  <w:tcBorders>
                    <w:tl2br w:val="nil"/>
                    <w:tr2bl w:val="nil"/>
                  </w:tcBorders>
                  <w:noWrap w:val="0"/>
                  <w:vAlign w:val="center"/>
                </w:tcPr>
                <w:p w14:paraId="4362C5C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1381" w:type="dxa"/>
                  <w:tcBorders>
                    <w:tl2br w:val="nil"/>
                    <w:tr2bl w:val="nil"/>
                  </w:tcBorders>
                  <w:noWrap w:val="0"/>
                  <w:vAlign w:val="center"/>
                </w:tcPr>
                <w:p w14:paraId="65642578">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i w:val="0"/>
                      <w:iCs w:val="0"/>
                      <w:color w:val="auto"/>
                      <w:kern w:val="0"/>
                      <w:sz w:val="22"/>
                      <w:szCs w:val="22"/>
                      <w:u w:val="none"/>
                      <w:lang w:val="en-US" w:eastAsia="zh-CN" w:bidi="ar"/>
                    </w:rPr>
                    <w:t>40.13</w:t>
                  </w:r>
                </w:p>
              </w:tc>
              <w:tc>
                <w:tcPr>
                  <w:tcW w:w="235" w:type="pct"/>
                  <w:tcBorders>
                    <w:tl2br w:val="nil"/>
                    <w:tr2bl w:val="nil"/>
                  </w:tcBorders>
                  <w:noWrap w:val="0"/>
                  <w:vAlign w:val="center"/>
                </w:tcPr>
                <w:p w14:paraId="3217E5C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bl>
          <w:p w14:paraId="57AAD83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olor w:val="auto"/>
              </w:rPr>
            </w:pPr>
            <w:r>
              <w:rPr>
                <w:rFonts w:hint="eastAsia" w:ascii="Times New Roman" w:hAnsi="Times New Roman" w:eastAsia="宋体"/>
                <w:b/>
                <w:bCs w:val="0"/>
                <w:color w:val="auto"/>
                <w:sz w:val="18"/>
                <w:szCs w:val="18"/>
                <w:lang w:val="en-US" w:eastAsia="zh-CN"/>
              </w:rPr>
              <w:t>注：表中坐标以厂房西南角（119.</w:t>
            </w:r>
            <w:r>
              <w:rPr>
                <w:rFonts w:hint="eastAsia"/>
                <w:b/>
                <w:bCs w:val="0"/>
                <w:color w:val="auto"/>
                <w:sz w:val="18"/>
                <w:szCs w:val="18"/>
                <w:lang w:val="en-US" w:eastAsia="zh-CN"/>
              </w:rPr>
              <w:t>23322439</w:t>
            </w:r>
            <w:r>
              <w:rPr>
                <w:rFonts w:hint="eastAsia" w:ascii="Times New Roman" w:hAnsi="Times New Roman" w:eastAsia="宋体"/>
                <w:b/>
                <w:bCs w:val="0"/>
                <w:color w:val="auto"/>
                <w:sz w:val="18"/>
                <w:szCs w:val="18"/>
                <w:lang w:val="en-US" w:eastAsia="zh-CN"/>
              </w:rPr>
              <w:t>,33.</w:t>
            </w:r>
            <w:r>
              <w:rPr>
                <w:rFonts w:hint="eastAsia"/>
                <w:b/>
                <w:bCs w:val="0"/>
                <w:color w:val="auto"/>
                <w:sz w:val="18"/>
                <w:szCs w:val="18"/>
                <w:lang w:val="en-US" w:eastAsia="zh-CN"/>
              </w:rPr>
              <w:t>8034445</w:t>
            </w:r>
            <w:r>
              <w:rPr>
                <w:rFonts w:hint="eastAsia" w:ascii="Times New Roman" w:hAnsi="Times New Roman" w:eastAsia="宋体"/>
                <w:b/>
                <w:bCs w:val="0"/>
                <w:color w:val="auto"/>
                <w:sz w:val="18"/>
                <w:szCs w:val="18"/>
                <w:lang w:val="en-US" w:eastAsia="zh-CN"/>
              </w:rPr>
              <w:t>）为坐标原点，正东向为X轴正方向，正北向为Y轴正方向。</w:t>
            </w:r>
          </w:p>
        </w:tc>
      </w:tr>
    </w:tbl>
    <w:p w14:paraId="3911D74B">
      <w:pPr>
        <w:pStyle w:val="17"/>
        <w:rPr>
          <w:color w:val="auto"/>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0"/>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8162"/>
      </w:tblGrid>
      <w:tr w14:paraId="39EF6613">
        <w:trPr>
          <w:trHeight w:val="12792" w:hRule="atLeast"/>
          <w:jc w:val="center"/>
        </w:trPr>
        <w:tc>
          <w:tcPr>
            <w:tcW w:w="746" w:type="dxa"/>
            <w:noWrap w:val="0"/>
            <w:tcMar>
              <w:left w:w="28" w:type="dxa"/>
              <w:right w:w="28" w:type="dxa"/>
            </w:tcMar>
            <w:vAlign w:val="center"/>
          </w:tcPr>
          <w:p w14:paraId="25E04598">
            <w:pPr>
              <w:pStyle w:val="16"/>
              <w:rPr>
                <w:color w:val="auto"/>
              </w:rPr>
            </w:pPr>
          </w:p>
        </w:tc>
        <w:tc>
          <w:tcPr>
            <w:tcW w:w="8162" w:type="dxa"/>
            <w:noWrap w:val="0"/>
            <w:vAlign w:val="center"/>
          </w:tcPr>
          <w:p w14:paraId="1570E656">
            <w:pPr>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声环境保护具体措施和对策如下：</w:t>
            </w:r>
          </w:p>
          <w:p w14:paraId="420183ED">
            <w:pPr>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（1）从声源上降噪</w:t>
            </w:r>
          </w:p>
          <w:p w14:paraId="617F5DDE">
            <w:pPr>
              <w:keepNext w:val="0"/>
              <w:keepLines w:val="0"/>
              <w:pageBreakBefore w:val="0"/>
              <w:suppressLineNumbers w:val="0"/>
              <w:kinsoku/>
              <w:wordWrap/>
              <w:overflowPunct/>
              <w:topLinePunct w:val="0"/>
              <w:bidi w:val="0"/>
              <w:spacing w:before="0" w:beforeAutospacing="0" w:after="0" w:afterAutospacing="0" w:line="360" w:lineRule="auto"/>
              <w:ind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rPr>
              <w:t>重视设备选型，选择自动化程度高、噪声低的生产设备。项目</w:t>
            </w:r>
            <w:r>
              <w:rPr>
                <w:rFonts w:hint="default" w:ascii="Times New Roman" w:hAnsi="Times New Roman" w:cs="Times New Roman"/>
                <w:color w:val="auto"/>
                <w:sz w:val="24"/>
                <w:lang w:val="en-US" w:eastAsia="zh-CN"/>
              </w:rPr>
              <w:t>主要产噪</w:t>
            </w:r>
            <w:r>
              <w:rPr>
                <w:rFonts w:hint="default" w:ascii="Times New Roman" w:hAnsi="Times New Roman" w:cs="Times New Roman"/>
                <w:color w:val="auto"/>
                <w:sz w:val="24"/>
              </w:rPr>
              <w:t>设备选用满足国标标准的低噪声、低振动设备；加强</w:t>
            </w:r>
            <w:r>
              <w:rPr>
                <w:rFonts w:hint="default" w:ascii="Times New Roman" w:hAnsi="Times New Roman" w:eastAsia="宋体" w:cs="Times New Roman"/>
                <w:color w:val="auto"/>
                <w:kern w:val="2"/>
                <w:sz w:val="24"/>
                <w:szCs w:val="24"/>
                <w:lang w:val="en-US" w:eastAsia="zh-CN" w:bidi="ar-SA"/>
              </w:rPr>
              <w:t>设备的维护、检修与润滑，确保设备处于良好的运转状态。从而从声源上降低设备本身的噪声。</w:t>
            </w:r>
          </w:p>
          <w:p w14:paraId="34F98305">
            <w:pPr>
              <w:keepNext w:val="0"/>
              <w:keepLines w:val="0"/>
              <w:pageBreakBefore w:val="0"/>
              <w:numPr>
                <w:ilvl w:val="0"/>
                <w:numId w:val="0"/>
              </w:numPr>
              <w:suppressLineNumbers w:val="0"/>
              <w:kinsoku/>
              <w:wordWrap/>
              <w:overflowPunct/>
              <w:topLinePunct w:val="0"/>
              <w:bidi w:val="0"/>
              <w:spacing w:before="0" w:beforeAutospacing="0" w:after="0" w:afterAutospacing="0" w:line="360" w:lineRule="auto"/>
              <w:ind w:left="420" w:leftChars="0" w:right="0" w:rightChars="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（2）从传播途径上降噪</w:t>
            </w:r>
          </w:p>
          <w:p w14:paraId="2EFDF05D">
            <w:pPr>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采用“闹静分开”和“合理布局”的设计原则，在平面布置上，尽量将厂房内的高噪声设备尽量布置在厂区中间，远离噪声敏感区域或厂界，将高噪声设备通过距离衰减减轻噪声对周围环境的影响；</w:t>
            </w:r>
          </w:p>
          <w:p w14:paraId="5D96D23B">
            <w:pPr>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各生产设备按照规范安装，主要生产设备安装在</w:t>
            </w:r>
            <w:r>
              <w:rPr>
                <w:rFonts w:hint="default" w:ascii="Times New Roman" w:hAnsi="Times New Roman" w:cs="Times New Roman"/>
                <w:color w:val="auto"/>
                <w:sz w:val="24"/>
                <w:lang w:val="en-US" w:eastAsia="zh-CN"/>
              </w:rPr>
              <w:t>厂房</w:t>
            </w:r>
            <w:r>
              <w:rPr>
                <w:rFonts w:hint="default" w:ascii="Times New Roman" w:hAnsi="Times New Roman" w:cs="Times New Roman"/>
                <w:color w:val="auto"/>
                <w:sz w:val="24"/>
              </w:rPr>
              <w:t>内，</w:t>
            </w:r>
            <w:r>
              <w:rPr>
                <w:rFonts w:hint="default" w:ascii="Times New Roman" w:hAnsi="Times New Roman" w:cs="Times New Roman"/>
                <w:color w:val="auto"/>
                <w:sz w:val="24"/>
                <w:lang w:val="en-US" w:eastAsia="zh-CN"/>
              </w:rPr>
              <w:t>厂房</w:t>
            </w:r>
            <w:r>
              <w:rPr>
                <w:rFonts w:hint="default" w:ascii="Times New Roman" w:hAnsi="Times New Roman" w:cs="Times New Roman"/>
                <w:color w:val="auto"/>
                <w:sz w:val="24"/>
              </w:rPr>
              <w:t>墙壁采用具有较高隔声、吸声功能的建筑材料，通过建筑物封闭隔声降低噪声向外环境的辐射量；并对高噪声设备设置隔声罩、安装消声器、底座采用减震基座等措施，可减轻设备噪声对周围环境的影响。其中，隔音消声设计等方面严格按照《工业企业噪声控制设计规范》（GB/T50087-2013）的要求进行。</w:t>
            </w:r>
          </w:p>
          <w:p w14:paraId="2D71128B">
            <w:pPr>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管道采用</w:t>
            </w:r>
            <w:r>
              <w:rPr>
                <w:rFonts w:hint="default" w:ascii="Times New Roman" w:hAnsi="Times New Roman" w:cs="Times New Roman"/>
                <w:color w:val="auto"/>
                <w:sz w:val="24"/>
                <w:lang w:eastAsia="zh-CN"/>
              </w:rPr>
              <w:t>隔振</w:t>
            </w:r>
            <w:r>
              <w:rPr>
                <w:rFonts w:hint="default" w:ascii="Times New Roman" w:hAnsi="Times New Roman" w:cs="Times New Roman"/>
                <w:color w:val="auto"/>
                <w:sz w:val="24"/>
              </w:rPr>
              <w:t>避震喉，以减少噪声的传播；合理安排装卸作业，避免噪声设备同时运转。</w:t>
            </w:r>
          </w:p>
          <w:p w14:paraId="30E81684">
            <w:pPr>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对各类噪声源采取以上降噪措施后，建设项目厂界噪声可达标，能满足环境保护的要求。</w:t>
            </w:r>
          </w:p>
          <w:p w14:paraId="384FC5AA">
            <w:pPr>
              <w:keepNext w:val="0"/>
              <w:keepLines w:val="0"/>
              <w:pageBreakBefore w:val="0"/>
              <w:numPr>
                <w:ilvl w:val="0"/>
                <w:numId w:val="2"/>
              </w:numPr>
              <w:suppressLineNumbers w:val="0"/>
              <w:kinsoku/>
              <w:wordWrap/>
              <w:overflowPunct/>
              <w:topLinePunct w:val="0"/>
              <w:bidi w:val="0"/>
              <w:adjustRightInd w:val="0"/>
              <w:spacing w:before="0" w:beforeAutospacing="0" w:after="0" w:afterAutospacing="0" w:line="360" w:lineRule="auto"/>
              <w:ind w:left="0" w:leftChars="0" w:right="0" w:firstLine="480" w:firstLineChars="200"/>
              <w:textAlignment w:val="auto"/>
              <w:rPr>
                <w:rFonts w:hint="default" w:ascii="Times New Roman" w:hAnsi="Times New Roman" w:cs="Times New Roman"/>
                <w:bCs/>
                <w:color w:val="auto"/>
                <w:sz w:val="24"/>
                <w:lang w:val="en-US" w:eastAsia="zh-CN"/>
              </w:rPr>
            </w:pPr>
            <w:r>
              <w:rPr>
                <w:rFonts w:hint="default" w:ascii="Times New Roman" w:hAnsi="Times New Roman" w:cs="Times New Roman"/>
                <w:bCs/>
                <w:color w:val="auto"/>
                <w:sz w:val="24"/>
                <w:lang w:val="en-US" w:eastAsia="zh-CN"/>
              </w:rPr>
              <w:t>噪声预测</w:t>
            </w:r>
          </w:p>
          <w:p w14:paraId="4B79F562">
            <w:pPr>
              <w:keepNext w:val="0"/>
              <w:keepLines w:val="0"/>
              <w:pageBreakBefore w:val="0"/>
              <w:numPr>
                <w:ilvl w:val="0"/>
                <w:numId w:val="0"/>
              </w:numPr>
              <w:suppressLineNumbers w:val="0"/>
              <w:kinsoku/>
              <w:wordWrap/>
              <w:overflowPunct/>
              <w:topLinePunct w:val="0"/>
              <w:bidi w:val="0"/>
              <w:adjustRightInd w:val="0"/>
              <w:spacing w:before="0" w:beforeAutospacing="0" w:after="0" w:afterAutospacing="0" w:line="360" w:lineRule="auto"/>
              <w:ind w:left="0" w:right="0" w:rightChars="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本项目位于</w:t>
            </w:r>
            <w:r>
              <w:rPr>
                <w:rFonts w:hint="default" w:ascii="Times New Roman" w:hAnsi="Times New Roman" w:cs="Times New Roman"/>
                <w:color w:val="auto"/>
                <w:sz w:val="24"/>
                <w:lang w:val="en-US" w:eastAsia="zh-CN"/>
              </w:rPr>
              <w:t>涟水县经济开发区</w:t>
            </w:r>
            <w:r>
              <w:rPr>
                <w:rFonts w:hint="default" w:ascii="Times New Roman" w:hAnsi="Times New Roman" w:cs="Times New Roman"/>
                <w:color w:val="auto"/>
                <w:sz w:val="24"/>
              </w:rPr>
              <w:t>，其声环境功能为</w:t>
            </w:r>
            <w:r>
              <w:rPr>
                <w:rFonts w:hint="default" w:ascii="Times New Roman" w:hAnsi="Times New Roman" w:cs="Times New Roman"/>
                <w:color w:val="auto"/>
                <w:sz w:val="24"/>
                <w:lang w:val="en-US" w:eastAsia="zh-CN"/>
              </w:rPr>
              <w:t>3类</w:t>
            </w:r>
            <w:r>
              <w:rPr>
                <w:rFonts w:hint="default" w:ascii="Times New Roman" w:hAnsi="Times New Roman" w:cs="Times New Roman"/>
                <w:color w:val="auto"/>
                <w:sz w:val="24"/>
              </w:rPr>
              <w:t>区，本项目夜间生产，营运期项目四周厂界昼</w:t>
            </w:r>
            <w:r>
              <w:rPr>
                <w:rFonts w:hint="eastAsia" w:cs="Times New Roman"/>
                <w:color w:val="auto"/>
                <w:sz w:val="24"/>
                <w:lang w:val="en-US" w:eastAsia="zh-CN"/>
              </w:rPr>
              <w:t>夜</w:t>
            </w:r>
            <w:r>
              <w:rPr>
                <w:rFonts w:hint="default" w:ascii="Times New Roman" w:hAnsi="Times New Roman" w:cs="Times New Roman"/>
                <w:color w:val="auto"/>
                <w:sz w:val="24"/>
              </w:rPr>
              <w:t>间噪声执行《工业企业厂界环境噪声排放标准》（GB12348-2008）中的</w:t>
            </w:r>
            <w:r>
              <w:rPr>
                <w:rFonts w:hint="default" w:ascii="Times New Roman" w:hAnsi="Times New Roman" w:cs="Times New Roman"/>
                <w:color w:val="auto"/>
                <w:sz w:val="24"/>
                <w:lang w:val="en-US" w:eastAsia="zh-CN"/>
              </w:rPr>
              <w:t>3类</w:t>
            </w:r>
            <w:r>
              <w:rPr>
                <w:rFonts w:hint="default" w:ascii="Times New Roman" w:hAnsi="Times New Roman" w:cs="Times New Roman"/>
                <w:color w:val="auto"/>
                <w:sz w:val="24"/>
              </w:rPr>
              <w:t>标准（昼间≤</w:t>
            </w:r>
            <w:r>
              <w:rPr>
                <w:rFonts w:hint="default" w:ascii="Times New Roman" w:hAnsi="Times New Roman" w:cs="Times New Roman"/>
                <w:color w:val="auto"/>
                <w:sz w:val="24"/>
                <w:lang w:val="en-US" w:eastAsia="zh-CN"/>
              </w:rPr>
              <w:t>65</w:t>
            </w:r>
            <w:r>
              <w:rPr>
                <w:rFonts w:hint="default" w:ascii="Times New Roman" w:hAnsi="Times New Roman" w:cs="Times New Roman"/>
                <w:color w:val="auto"/>
                <w:sz w:val="24"/>
              </w:rPr>
              <w:t>dB（A）</w:t>
            </w:r>
            <w:r>
              <w:rPr>
                <w:rFonts w:hint="eastAsia" w:cs="Times New Roman"/>
                <w:color w:val="auto"/>
                <w:sz w:val="24"/>
                <w:lang w:eastAsia="zh-CN"/>
              </w:rPr>
              <w:t>、</w:t>
            </w:r>
            <w:r>
              <w:rPr>
                <w:rFonts w:hint="eastAsia" w:cs="Times New Roman"/>
                <w:color w:val="auto"/>
                <w:sz w:val="24"/>
                <w:lang w:val="en-US" w:eastAsia="zh-CN"/>
              </w:rPr>
              <w:t>夜间</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rPr>
              <w:t>dB（A））。</w:t>
            </w:r>
          </w:p>
          <w:p w14:paraId="154CC191">
            <w:pPr>
              <w:keepNext w:val="0"/>
              <w:keepLines w:val="0"/>
              <w:pageBreakBefore w:val="0"/>
              <w:suppressLineNumbers w:val="0"/>
              <w:kinsoku/>
              <w:wordWrap/>
              <w:overflowPunct/>
              <w:topLinePunct w:val="0"/>
              <w:autoSpaceDE w:val="0"/>
              <w:autoSpaceDN w:val="0"/>
              <w:bidi w:val="0"/>
              <w:spacing w:before="0" w:beforeAutospacing="0" w:after="0" w:afterAutospacing="0" w:line="360" w:lineRule="auto"/>
              <w:ind w:left="0" w:right="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sz w:val="24"/>
              </w:rPr>
              <w:t>参照《环境影响评价技术导则声环境》（HJ2.4-2021），</w:t>
            </w:r>
            <w:r>
              <w:rPr>
                <w:rFonts w:hint="default" w:ascii="Times New Roman" w:hAnsi="Times New Roman" w:cs="Times New Roman"/>
                <w:color w:val="auto"/>
                <w:kern w:val="0"/>
                <w:sz w:val="24"/>
                <w:lang w:bidi="ar"/>
              </w:rPr>
              <w:t>噪声在传播过程中受到多种因素的干扰，使其产生衰减，根据建设项目噪声源和环境特征，预测过程中考虑了隔声罩等的屏障作用、空气吸收。预测模式采用点声源处于半自由空间的几何发散模式。</w:t>
            </w:r>
          </w:p>
          <w:p w14:paraId="3B6B421A">
            <w:pPr>
              <w:keepNext w:val="0"/>
              <w:keepLines w:val="0"/>
              <w:pageBreakBefore w:val="0"/>
              <w:suppressLineNumbers w:val="0"/>
              <w:kinsoku/>
              <w:wordWrap/>
              <w:overflowPunct/>
              <w:topLinePunct w:val="0"/>
              <w:autoSpaceDE w:val="0"/>
              <w:autoSpaceDN w:val="0"/>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①</w:t>
            </w:r>
            <w:r>
              <w:rPr>
                <w:rFonts w:hint="default" w:ascii="Times New Roman" w:hAnsi="Times New Roman" w:eastAsia="宋体" w:cs="Times New Roman"/>
                <w:color w:val="auto"/>
                <w:sz w:val="24"/>
              </w:rPr>
              <w:t>室内声源等效室外声源声功率级计算方法</w:t>
            </w:r>
          </w:p>
          <w:p w14:paraId="11E6999A">
            <w:pPr>
              <w:keepNext w:val="0"/>
              <w:keepLines w:val="0"/>
              <w:pageBreakBefore w:val="0"/>
              <w:widowControl/>
              <w:suppressLineNumbers w:val="0"/>
              <w:kinsoku/>
              <w:wordWrap/>
              <w:overflowPunct/>
              <w:topLinePunct w:val="0"/>
              <w:autoSpaceDN w:val="0"/>
              <w:bidi w:val="0"/>
              <w:adjustRightInd w:val="0"/>
              <w:snapToGrid w:val="0"/>
              <w:spacing w:before="0" w:beforeAutospacing="0" w:after="0" w:afterAutospacing="0" w:line="360" w:lineRule="auto"/>
              <w:ind w:left="0" w:right="0" w:firstLine="480"/>
              <w:jc w:val="left"/>
              <w:textAlignment w:val="auto"/>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设靠近开口处（或窗户）室内、室外某倍频带的声压级或A声级分别为L</w:t>
            </w:r>
            <w:r>
              <w:rPr>
                <w:rFonts w:hint="default" w:ascii="Times New Roman" w:hAnsi="Times New Roman" w:cs="Times New Roman"/>
                <w:color w:val="auto"/>
                <w:kern w:val="0"/>
                <w:sz w:val="24"/>
                <w:vertAlign w:val="subscript"/>
                <w:lang w:bidi="ar"/>
              </w:rPr>
              <w:t>p1</w:t>
            </w:r>
            <w:r>
              <w:rPr>
                <w:rFonts w:hint="default" w:ascii="Times New Roman" w:hAnsi="Times New Roman" w:cs="Times New Roman"/>
                <w:color w:val="auto"/>
                <w:kern w:val="0"/>
                <w:sz w:val="24"/>
                <w:lang w:bidi="ar"/>
              </w:rPr>
              <w:t>和L</w:t>
            </w:r>
            <w:r>
              <w:rPr>
                <w:rFonts w:hint="default" w:ascii="Times New Roman" w:hAnsi="Times New Roman" w:cs="Times New Roman"/>
                <w:color w:val="auto"/>
                <w:kern w:val="0"/>
                <w:sz w:val="24"/>
                <w:vertAlign w:val="subscript"/>
                <w:lang w:bidi="ar"/>
              </w:rPr>
              <w:t>p2</w:t>
            </w:r>
            <w:r>
              <w:rPr>
                <w:rFonts w:hint="default" w:ascii="Times New Roman" w:hAnsi="Times New Roman" w:cs="Times New Roman"/>
                <w:color w:val="auto"/>
                <w:kern w:val="0"/>
                <w:sz w:val="24"/>
                <w:lang w:bidi="ar"/>
              </w:rPr>
              <w:t>。若声源所在室内声场为近似扩散声场，则室外的倍频带声压级可按式</w:t>
            </w:r>
            <w:r>
              <w:rPr>
                <w:rFonts w:hint="default" w:ascii="Times New Roman" w:hAnsi="Times New Roman" w:cs="Times New Roman"/>
                <w:color w:val="auto"/>
                <w:kern w:val="0"/>
                <w:sz w:val="24"/>
                <w:lang w:val="en-US" w:eastAsia="zh-CN" w:bidi="ar"/>
              </w:rPr>
              <w:t>①</w:t>
            </w:r>
            <w:r>
              <w:rPr>
                <w:rFonts w:hint="default" w:ascii="Times New Roman" w:hAnsi="Times New Roman" w:cs="Times New Roman"/>
                <w:color w:val="auto"/>
                <w:kern w:val="0"/>
                <w:sz w:val="24"/>
                <w:lang w:bidi="ar"/>
              </w:rPr>
              <w:t>近似求出：</w:t>
            </w:r>
          </w:p>
          <w:p w14:paraId="2FDA617D">
            <w:pPr>
              <w:keepNext w:val="0"/>
              <w:keepLines w:val="0"/>
              <w:pageBreakBefore w:val="0"/>
              <w:widowControl/>
              <w:suppressLineNumbers w:val="0"/>
              <w:kinsoku/>
              <w:wordWrap/>
              <w:overflowPunct/>
              <w:topLinePunct w:val="0"/>
              <w:autoSpaceDN w:val="0"/>
              <w:bidi w:val="0"/>
              <w:adjustRightInd w:val="0"/>
              <w:snapToGrid w:val="0"/>
              <w:spacing w:before="0" w:beforeAutospacing="0" w:after="0" w:afterAutospacing="0" w:line="360" w:lineRule="auto"/>
              <w:ind w:left="0" w:right="0" w:firstLine="480"/>
              <w:jc w:val="center"/>
              <w:textAlignment w:val="auto"/>
              <w:rPr>
                <w:rFonts w:hint="default" w:ascii="Times New Roman" w:hAnsi="Times New Roman" w:cs="Times New Roman"/>
                <w:color w:val="auto"/>
                <w:sz w:val="24"/>
              </w:rPr>
            </w:pPr>
            <w:r>
              <w:rPr>
                <w:rFonts w:hint="default" w:ascii="Times New Roman" w:hAnsi="Times New Roman" w:cs="Times New Roman"/>
                <w:color w:val="auto"/>
                <w:kern w:val="0"/>
                <w:position w:val="-14"/>
                <w:sz w:val="24"/>
                <w:lang w:bidi="ar"/>
              </w:rPr>
              <w:object>
                <v:shape id="_x0000_i1026" o:spt="75" type="#_x0000_t75" style="height:20.25pt;width:99pt;" o:ole="t" filled="f" o:preferrelative="t" stroked="f" coordsize="21600,21600">
                  <v:path/>
                  <v:fill on="f" focussize="0,0"/>
                  <v:stroke on="f"/>
                  <v:imagedata r:id="rId14" o:title=""/>
                  <o:lock v:ext="edit" aspectratio="t"/>
                  <w10:wrap type="none"/>
                  <w10:anchorlock/>
                </v:shape>
                <o:OLEObject Type="Embed" ProgID="Equation.3" ShapeID="_x0000_i1026" DrawAspect="Content" ObjectID="_1468075728" r:id="rId13">
                  <o:LockedField>false</o:LockedField>
                </o:OLEObject>
              </w:object>
            </w:r>
            <w:r>
              <w:rPr>
                <w:rFonts w:hint="default" w:ascii="Times New Roman" w:hAnsi="Times New Roman" w:cs="Times New Roman"/>
                <w:color w:val="auto"/>
                <w:kern w:val="0"/>
                <w:sz w:val="24"/>
                <w:lang w:val="en-US" w:eastAsia="zh-CN" w:bidi="ar"/>
              </w:rPr>
              <w:t>①</w:t>
            </w:r>
          </w:p>
          <w:p w14:paraId="2209D591">
            <w:pPr>
              <w:keepNext w:val="0"/>
              <w:keepLines w:val="0"/>
              <w:pageBreakBefore w:val="0"/>
              <w:widowControl/>
              <w:suppressLineNumbers w:val="0"/>
              <w:kinsoku/>
              <w:wordWrap/>
              <w:overflowPunct/>
              <w:topLinePunct w:val="0"/>
              <w:autoSpaceDN w:val="0"/>
              <w:bidi w:val="0"/>
              <w:adjustRightInd w:val="0"/>
              <w:snapToGrid w:val="0"/>
              <w:spacing w:before="0" w:beforeAutospacing="0" w:after="0" w:afterAutospacing="0" w:line="360" w:lineRule="auto"/>
              <w:ind w:left="0" w:right="0" w:firstLine="480"/>
              <w:jc w:val="left"/>
              <w:textAlignment w:val="auto"/>
              <w:rPr>
                <w:rFonts w:hint="eastAsia" w:ascii="Times New Roman" w:hAnsi="Times New Roman" w:eastAsia="宋体" w:cs="Times New Roman"/>
                <w:color w:val="auto"/>
                <w:kern w:val="0"/>
                <w:sz w:val="24"/>
                <w:lang w:eastAsia="zh-CN" w:bidi="ar"/>
              </w:rPr>
            </w:pPr>
            <w:r>
              <w:rPr>
                <w:rFonts w:hint="default" w:ascii="Times New Roman" w:hAnsi="Times New Roman" w:cs="Times New Roman"/>
                <w:color w:val="auto"/>
                <w:kern w:val="0"/>
                <w:sz w:val="24"/>
                <w:lang w:bidi="ar"/>
              </w:rPr>
              <w:t>式中：L</w:t>
            </w:r>
            <w:r>
              <w:rPr>
                <w:rFonts w:hint="default" w:ascii="Times New Roman" w:hAnsi="Times New Roman" w:cs="Times New Roman"/>
                <w:color w:val="auto"/>
                <w:kern w:val="0"/>
                <w:sz w:val="24"/>
                <w:vertAlign w:val="subscript"/>
                <w:lang w:bidi="ar"/>
              </w:rPr>
              <w:t>p1</w:t>
            </w:r>
            <w:r>
              <w:rPr>
                <w:rFonts w:hint="default" w:ascii="Times New Roman" w:hAnsi="Times New Roman" w:cs="Times New Roman"/>
                <w:color w:val="auto"/>
                <w:kern w:val="0"/>
                <w:sz w:val="24"/>
                <w:lang w:bidi="ar"/>
              </w:rPr>
              <w:t>—靠近开口处（或窗户）室内某倍频带的声压级或A声级，dB；</w:t>
            </w:r>
          </w:p>
          <w:p w14:paraId="6BB931A6">
            <w:pPr>
              <w:keepNext w:val="0"/>
              <w:keepLines w:val="0"/>
              <w:pageBreakBefore w:val="0"/>
              <w:widowControl/>
              <w:suppressLineNumbers w:val="0"/>
              <w:kinsoku/>
              <w:wordWrap/>
              <w:overflowPunct/>
              <w:topLinePunct w:val="0"/>
              <w:autoSpaceDN w:val="0"/>
              <w:bidi w:val="0"/>
              <w:adjustRightInd w:val="0"/>
              <w:snapToGrid w:val="0"/>
              <w:spacing w:before="0" w:beforeAutospacing="0" w:after="0" w:afterAutospacing="0" w:line="360" w:lineRule="auto"/>
              <w:ind w:right="0" w:firstLine="1200" w:firstLineChars="500"/>
              <w:jc w:val="left"/>
              <w:textAlignment w:val="auto"/>
              <w:rPr>
                <w:rFonts w:hint="eastAsia" w:ascii="Times New Roman" w:hAnsi="Times New Roman" w:eastAsia="宋体" w:cs="Times New Roman"/>
                <w:color w:val="auto"/>
                <w:kern w:val="0"/>
                <w:sz w:val="24"/>
                <w:lang w:eastAsia="zh-CN" w:bidi="ar"/>
              </w:rPr>
            </w:pPr>
            <w:r>
              <w:rPr>
                <w:rFonts w:hint="default" w:ascii="Times New Roman" w:hAnsi="Times New Roman" w:cs="Times New Roman"/>
                <w:color w:val="auto"/>
                <w:kern w:val="0"/>
                <w:sz w:val="24"/>
                <w:lang w:bidi="ar"/>
              </w:rPr>
              <w:t>L</w:t>
            </w:r>
            <w:r>
              <w:rPr>
                <w:rFonts w:hint="default" w:ascii="Times New Roman" w:hAnsi="Times New Roman" w:cs="Times New Roman"/>
                <w:color w:val="auto"/>
                <w:kern w:val="0"/>
                <w:sz w:val="24"/>
                <w:vertAlign w:val="subscript"/>
                <w:lang w:bidi="ar"/>
              </w:rPr>
              <w:t>p2</w:t>
            </w:r>
            <w:r>
              <w:rPr>
                <w:rFonts w:hint="default" w:ascii="Times New Roman" w:hAnsi="Times New Roman" w:cs="Times New Roman"/>
                <w:color w:val="auto"/>
                <w:kern w:val="0"/>
                <w:sz w:val="24"/>
                <w:lang w:bidi="ar"/>
              </w:rPr>
              <w:t>—靠近开口处（或窗户）室外某倍频带的声压级或A声级，dB；</w:t>
            </w:r>
          </w:p>
          <w:p w14:paraId="5559ABBE">
            <w:pPr>
              <w:keepNext w:val="0"/>
              <w:keepLines w:val="0"/>
              <w:pageBreakBefore w:val="0"/>
              <w:widowControl/>
              <w:suppressLineNumbers w:val="0"/>
              <w:kinsoku/>
              <w:wordWrap/>
              <w:overflowPunct/>
              <w:topLinePunct w:val="0"/>
              <w:autoSpaceDN w:val="0"/>
              <w:bidi w:val="0"/>
              <w:adjustRightInd w:val="0"/>
              <w:snapToGrid w:val="0"/>
              <w:spacing w:before="0" w:beforeAutospacing="0" w:after="0" w:afterAutospacing="0" w:line="360" w:lineRule="auto"/>
              <w:ind w:right="0" w:firstLine="1200" w:firstLineChars="500"/>
              <w:jc w:val="left"/>
              <w:textAlignment w:val="auto"/>
              <w:rPr>
                <w:rFonts w:hint="eastAsia" w:ascii="Times New Roman" w:hAnsi="Times New Roman" w:eastAsia="宋体" w:cs="Times New Roman"/>
                <w:color w:val="auto"/>
                <w:kern w:val="0"/>
                <w:sz w:val="24"/>
                <w:lang w:eastAsia="zh-CN" w:bidi="ar"/>
              </w:rPr>
            </w:pPr>
            <w:r>
              <w:rPr>
                <w:rFonts w:hint="default" w:ascii="Times New Roman" w:hAnsi="Times New Roman" w:cs="Times New Roman"/>
                <w:color w:val="auto"/>
                <w:kern w:val="0"/>
                <w:sz w:val="24"/>
                <w:lang w:bidi="ar"/>
              </w:rPr>
              <w:t>TL—隔墙（或窗户）倍频带或A声级的隔声量，dB。</w:t>
            </w:r>
          </w:p>
          <w:p w14:paraId="79681145">
            <w:pPr>
              <w:keepNext w:val="0"/>
              <w:keepLines w:val="0"/>
              <w:pageBreakBefore w:val="0"/>
              <w:widowControl/>
              <w:suppressLineNumbers w:val="0"/>
              <w:kinsoku/>
              <w:wordWrap/>
              <w:overflowPunct/>
              <w:topLinePunct w:val="0"/>
              <w:autoSpaceDN w:val="0"/>
              <w:bidi w:val="0"/>
              <w:adjustRightInd w:val="0"/>
              <w:snapToGrid w:val="0"/>
              <w:spacing w:before="0" w:beforeAutospacing="0" w:after="0" w:afterAutospacing="0" w:line="360" w:lineRule="auto"/>
              <w:ind w:left="0" w:right="0" w:firstLine="480"/>
              <w:jc w:val="left"/>
              <w:textAlignment w:val="auto"/>
              <w:rPr>
                <w:rFonts w:hint="default" w:ascii="Times New Roman" w:hAnsi="Times New Roman" w:cs="Times New Roman"/>
                <w:color w:val="auto"/>
                <w:sz w:val="24"/>
              </w:rPr>
            </w:pPr>
            <w:r>
              <w:rPr>
                <w:rFonts w:hint="default" w:ascii="Times New Roman" w:hAnsi="Times New Roman" w:cs="Times New Roman"/>
                <w:color w:val="auto"/>
                <w:kern w:val="0"/>
                <w:sz w:val="24"/>
                <w:lang w:bidi="ar"/>
              </w:rPr>
              <w:t>也可按式</w:t>
            </w:r>
            <w:r>
              <w:rPr>
                <w:rFonts w:hint="default" w:ascii="Times New Roman" w:hAnsi="Times New Roman" w:cs="Times New Roman"/>
                <w:color w:val="auto"/>
                <w:kern w:val="0"/>
                <w:sz w:val="24"/>
                <w:lang w:val="en-US" w:eastAsia="zh-CN" w:bidi="ar"/>
              </w:rPr>
              <w:t>②</w:t>
            </w:r>
            <w:r>
              <w:rPr>
                <w:rFonts w:hint="default" w:ascii="Times New Roman" w:hAnsi="Times New Roman" w:cs="Times New Roman"/>
                <w:color w:val="auto"/>
                <w:kern w:val="0"/>
                <w:sz w:val="24"/>
                <w:lang w:bidi="ar"/>
              </w:rPr>
              <w:t>计算某一室内声源靠近围护结构处产生的倍频带声压级或A声级：</w:t>
            </w:r>
          </w:p>
          <w:p w14:paraId="253AE91E">
            <w:pPr>
              <w:keepNext w:val="0"/>
              <w:keepLines w:val="0"/>
              <w:pageBreakBefore w:val="0"/>
              <w:widowControl/>
              <w:suppressLineNumbers w:val="0"/>
              <w:kinsoku/>
              <w:wordWrap/>
              <w:overflowPunct/>
              <w:topLinePunct w:val="0"/>
              <w:autoSpaceDN w:val="0"/>
              <w:bidi w:val="0"/>
              <w:adjustRightInd w:val="0"/>
              <w:snapToGrid w:val="0"/>
              <w:spacing w:before="0" w:beforeAutospacing="0" w:after="120" w:afterLines="50" w:afterAutospacing="0" w:line="360" w:lineRule="auto"/>
              <w:ind w:left="0" w:right="0"/>
              <w:jc w:val="center"/>
              <w:textAlignment w:val="auto"/>
              <w:rPr>
                <w:rFonts w:hint="default" w:ascii="Times New Roman" w:hAnsi="Times New Roman" w:cs="Times New Roman"/>
                <w:color w:val="auto"/>
                <w:sz w:val="24"/>
              </w:rPr>
            </w:pPr>
            <w:r>
              <w:rPr>
                <w:rFonts w:hint="default" w:ascii="Times New Roman" w:hAnsi="Times New Roman" w:cs="Times New Roman"/>
                <w:color w:val="auto"/>
                <w:kern w:val="0"/>
                <w:position w:val="-24"/>
                <w:sz w:val="24"/>
                <w:lang w:bidi="ar"/>
              </w:rPr>
              <w:object>
                <v:shape id="_x0000_i1027" o:spt="75" type="#_x0000_t75" style="height:32.25pt;width:134.25pt;" o:ole="t" filled="f" o:preferrelative="t" stroked="f" coordsize="21600,21600">
                  <v:path/>
                  <v:fill on="f" focussize="0,0"/>
                  <v:stroke on="f"/>
                  <v:imagedata r:id="rId16" o:title=""/>
                  <o:lock v:ext="edit" aspectratio="t"/>
                  <w10:wrap type="none"/>
                  <w10:anchorlock/>
                </v:shape>
                <o:OLEObject Type="Embed" ProgID="Equation.3" ShapeID="_x0000_i1027" DrawAspect="Content" ObjectID="_1468075729" r:id="rId15">
                  <o:LockedField>false</o:LockedField>
                </o:OLEObject>
              </w:object>
            </w:r>
            <w:r>
              <w:rPr>
                <w:rFonts w:hint="default" w:ascii="Times New Roman" w:hAnsi="Times New Roman" w:cs="Times New Roman"/>
                <w:color w:val="auto"/>
                <w:kern w:val="0"/>
                <w:sz w:val="24"/>
                <w:lang w:val="en-US" w:eastAsia="zh-CN" w:bidi="ar"/>
              </w:rPr>
              <w:t>②</w:t>
            </w:r>
          </w:p>
          <w:p w14:paraId="4C168D51">
            <w:pPr>
              <w:keepNext w:val="0"/>
              <w:keepLines w:val="0"/>
              <w:pageBreakBefore w:val="0"/>
              <w:widowControl/>
              <w:suppressLineNumbers w:val="0"/>
              <w:kinsoku/>
              <w:wordWrap/>
              <w:overflowPunct/>
              <w:topLinePunct w:val="0"/>
              <w:autoSpaceDN w:val="0"/>
              <w:bidi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kern w:val="0"/>
                <w:sz w:val="24"/>
                <w:lang w:eastAsia="zh-CN" w:bidi="ar"/>
              </w:rPr>
            </w:pPr>
            <w:r>
              <w:rPr>
                <w:rFonts w:hint="default" w:ascii="Times New Roman" w:hAnsi="Times New Roman" w:cs="Times New Roman"/>
                <w:color w:val="auto"/>
                <w:kern w:val="0"/>
                <w:sz w:val="24"/>
                <w:lang w:bidi="ar"/>
              </w:rPr>
              <w:t>式中：Q—指向性因数；通常对无指向性声源，当声源放在房间中心时，Q=1；当放在一面墙的中心时，Q=2；当放在两面墙夹角处时，Q=4；当放在三面墙夹角处时，Q=8；</w:t>
            </w:r>
          </w:p>
          <w:p w14:paraId="3BF2A05C">
            <w:pPr>
              <w:keepNext w:val="0"/>
              <w:keepLines w:val="0"/>
              <w:pageBreakBefore w:val="0"/>
              <w:widowControl/>
              <w:suppressLineNumbers w:val="0"/>
              <w:kinsoku/>
              <w:wordWrap/>
              <w:overflowPunct/>
              <w:topLinePunct w:val="0"/>
              <w:autoSpaceDN w:val="0"/>
              <w:bidi w:val="0"/>
              <w:spacing w:before="0" w:beforeAutospacing="0" w:after="0" w:afterAutospacing="0" w:line="360" w:lineRule="auto"/>
              <w:ind w:left="0" w:right="0" w:firstLine="1200" w:firstLineChars="500"/>
              <w:textAlignment w:val="auto"/>
              <w:rPr>
                <w:rFonts w:hint="eastAsia" w:ascii="Times New Roman" w:hAnsi="Times New Roman" w:eastAsia="宋体" w:cs="Times New Roman"/>
                <w:color w:val="auto"/>
                <w:kern w:val="0"/>
                <w:sz w:val="24"/>
                <w:lang w:eastAsia="zh-CN" w:bidi="ar"/>
              </w:rPr>
            </w:pPr>
            <w:r>
              <w:rPr>
                <w:rFonts w:hint="default" w:ascii="Times New Roman" w:hAnsi="Times New Roman" w:cs="Times New Roman"/>
                <w:color w:val="auto"/>
                <w:kern w:val="0"/>
                <w:sz w:val="24"/>
                <w:lang w:bidi="ar"/>
              </w:rPr>
              <w:t>R—房间常数；R=Sα/(1-α</w:t>
            </w:r>
            <w:r>
              <w:rPr>
                <w:rFonts w:hint="eastAsia" w:cs="Times New Roman"/>
                <w:color w:val="auto"/>
                <w:kern w:val="0"/>
                <w:sz w:val="24"/>
                <w:lang w:eastAsia="zh-CN" w:bidi="ar"/>
              </w:rPr>
              <w:t>）</w:t>
            </w:r>
            <w:r>
              <w:rPr>
                <w:rFonts w:hint="default" w:ascii="Times New Roman" w:hAnsi="Times New Roman" w:cs="Times New Roman"/>
                <w:color w:val="auto"/>
                <w:kern w:val="0"/>
                <w:sz w:val="24"/>
                <w:lang w:bidi="ar"/>
              </w:rPr>
              <w:t>，S为房间内表面面积，m</w:t>
            </w:r>
            <w:r>
              <w:rPr>
                <w:rFonts w:hint="default" w:ascii="Times New Roman" w:hAnsi="Times New Roman" w:cs="Times New Roman"/>
                <w:color w:val="auto"/>
                <w:kern w:val="0"/>
                <w:sz w:val="24"/>
                <w:vertAlign w:val="superscript"/>
                <w:lang w:bidi="ar"/>
              </w:rPr>
              <w:t>2</w:t>
            </w:r>
            <w:r>
              <w:rPr>
                <w:rFonts w:hint="default" w:ascii="Times New Roman" w:hAnsi="Times New Roman" w:cs="Times New Roman"/>
                <w:color w:val="auto"/>
                <w:kern w:val="0"/>
                <w:sz w:val="24"/>
                <w:lang w:bidi="ar"/>
              </w:rPr>
              <w:t>；α为平均吸声系数；</w:t>
            </w:r>
          </w:p>
          <w:p w14:paraId="502DDA29">
            <w:pPr>
              <w:keepNext w:val="0"/>
              <w:keepLines w:val="0"/>
              <w:pageBreakBefore w:val="0"/>
              <w:widowControl/>
              <w:suppressLineNumbers w:val="0"/>
              <w:kinsoku/>
              <w:wordWrap/>
              <w:overflowPunct/>
              <w:topLinePunct w:val="0"/>
              <w:autoSpaceDN w:val="0"/>
              <w:bidi w:val="0"/>
              <w:spacing w:before="0" w:beforeAutospacing="0" w:after="0" w:afterAutospacing="0" w:line="360" w:lineRule="auto"/>
              <w:ind w:left="0" w:right="0" w:firstLine="1200" w:firstLineChars="500"/>
              <w:textAlignment w:val="auto"/>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r—声源到靠近围护结构某点处的距离，m。</w:t>
            </w:r>
          </w:p>
          <w:p w14:paraId="4BD71997">
            <w:pPr>
              <w:keepNext w:val="0"/>
              <w:keepLines w:val="0"/>
              <w:pageBreakBefore w:val="0"/>
              <w:widowControl/>
              <w:suppressLineNumbers w:val="0"/>
              <w:kinsoku/>
              <w:wordWrap/>
              <w:overflowPunct/>
              <w:topLinePunct w:val="0"/>
              <w:autoSpaceDN w:val="0"/>
              <w:bidi w:val="0"/>
              <w:adjustRightInd w:val="0"/>
              <w:snapToGrid w:val="0"/>
              <w:spacing w:before="0" w:beforeAutospacing="0" w:after="0" w:afterAutospacing="0" w:line="360" w:lineRule="auto"/>
              <w:ind w:left="0" w:right="0" w:firstLine="480"/>
              <w:jc w:val="left"/>
              <w:textAlignment w:val="auto"/>
              <w:rPr>
                <w:rFonts w:hint="default" w:ascii="Times New Roman" w:hAnsi="Times New Roman" w:cs="Times New Roman"/>
                <w:color w:val="auto"/>
                <w:sz w:val="24"/>
              </w:rPr>
            </w:pPr>
            <w:r>
              <w:rPr>
                <w:rFonts w:hint="default" w:ascii="Times New Roman" w:hAnsi="Times New Roman" w:cs="Times New Roman"/>
                <w:color w:val="auto"/>
                <w:kern w:val="0"/>
                <w:sz w:val="24"/>
                <w:lang w:bidi="ar"/>
              </w:rPr>
              <w:t>然后，按公式</w:t>
            </w:r>
            <w:r>
              <w:rPr>
                <w:rFonts w:hint="default" w:ascii="Times New Roman" w:hAnsi="Times New Roman" w:cs="Times New Roman"/>
                <w:color w:val="auto"/>
                <w:kern w:val="0"/>
                <w:sz w:val="24"/>
                <w:lang w:val="en-US" w:eastAsia="zh-CN" w:bidi="ar"/>
              </w:rPr>
              <w:t>③</w:t>
            </w:r>
            <w:r>
              <w:rPr>
                <w:rFonts w:hint="default" w:ascii="Times New Roman" w:hAnsi="Times New Roman" w:cs="Times New Roman"/>
                <w:color w:val="auto"/>
                <w:kern w:val="0"/>
                <w:sz w:val="24"/>
                <w:lang w:bidi="ar"/>
              </w:rPr>
              <w:t>计算出所有室内声源在围护结构处产生的i倍频带叠加声压级：</w:t>
            </w:r>
          </w:p>
          <w:p w14:paraId="42D2579A">
            <w:pPr>
              <w:keepNext w:val="0"/>
              <w:keepLines w:val="0"/>
              <w:pageBreakBefore w:val="0"/>
              <w:widowControl/>
              <w:suppressLineNumbers w:val="0"/>
              <w:kinsoku/>
              <w:wordWrap/>
              <w:overflowPunct/>
              <w:topLinePunct w:val="0"/>
              <w:autoSpaceDN w:val="0"/>
              <w:bidi w:val="0"/>
              <w:adjustRightInd w:val="0"/>
              <w:snapToGrid w:val="0"/>
              <w:spacing w:before="0" w:beforeAutospacing="0" w:after="240" w:afterLines="100" w:afterAutospacing="0" w:line="360" w:lineRule="auto"/>
              <w:ind w:left="0" w:right="0"/>
              <w:jc w:val="center"/>
              <w:textAlignment w:val="auto"/>
              <w:rPr>
                <w:rFonts w:hint="default" w:ascii="Times New Roman" w:hAnsi="Times New Roman" w:eastAsia="宋体" w:cs="Times New Roman"/>
                <w:color w:val="auto"/>
                <w:sz w:val="24"/>
                <w:lang w:eastAsia="zh-CN"/>
              </w:rPr>
            </w:pPr>
            <w:r>
              <w:rPr>
                <w:rFonts w:hint="default" w:ascii="Times New Roman" w:hAnsi="Times New Roman" w:cs="Times New Roman"/>
                <w:color w:val="auto"/>
                <w:kern w:val="0"/>
                <w:position w:val="-30"/>
                <w:sz w:val="24"/>
                <w:lang w:bidi="ar"/>
              </w:rPr>
              <w:object>
                <v:shape id="_x0000_i1028" o:spt="75" type="#_x0000_t75" style="height:32.25pt;width:128.25pt;" o:ole="t" filled="f" o:preferrelative="t" stroked="f" coordsize="21600,21600">
                  <v:path/>
                  <v:fill on="f" focussize="0,0"/>
                  <v:stroke on="f"/>
                  <v:imagedata r:id="rId18" o:title=""/>
                  <o:lock v:ext="edit" aspectratio="t"/>
                  <w10:wrap type="none"/>
                  <w10:anchorlock/>
                </v:shape>
                <o:OLEObject Type="Embed" ProgID="Equation.3" ShapeID="_x0000_i1028" DrawAspect="Content" ObjectID="_1468075730" r:id="rId17">
                  <o:LockedField>false</o:LockedField>
                </o:OLEObject>
              </w:object>
            </w:r>
            <w:r>
              <w:rPr>
                <w:rFonts w:hint="default" w:ascii="Times New Roman" w:hAnsi="Times New Roman" w:cs="Times New Roman"/>
                <w:color w:val="auto"/>
                <w:kern w:val="0"/>
                <w:sz w:val="24"/>
                <w:lang w:val="en-US" w:eastAsia="zh-CN" w:bidi="ar"/>
              </w:rPr>
              <w:t>③</w:t>
            </w:r>
          </w:p>
          <w:p w14:paraId="6480DE88">
            <w:pPr>
              <w:keepNext w:val="0"/>
              <w:keepLines w:val="0"/>
              <w:pageBreakBefore w:val="0"/>
              <w:widowControl/>
              <w:suppressLineNumbers w:val="0"/>
              <w:kinsoku/>
              <w:wordWrap/>
              <w:overflowPunct/>
              <w:topLinePunct w:val="0"/>
              <w:autoSpaceDN w:val="0"/>
              <w:bidi w:val="0"/>
              <w:adjustRightInd w:val="0"/>
              <w:snapToGrid w:val="0"/>
              <w:spacing w:before="0" w:beforeAutospacing="0" w:after="0" w:afterAutospacing="0" w:line="360" w:lineRule="auto"/>
              <w:ind w:left="0" w:right="0" w:firstLine="480"/>
              <w:jc w:val="left"/>
              <w:textAlignment w:val="auto"/>
              <w:rPr>
                <w:rFonts w:hint="default" w:ascii="Times New Roman" w:hAnsi="Times New Roman" w:cs="Times New Roman"/>
                <w:color w:val="auto"/>
                <w:sz w:val="24"/>
              </w:rPr>
            </w:pPr>
            <w:r>
              <w:rPr>
                <w:rFonts w:hint="default" w:ascii="Times New Roman" w:hAnsi="Times New Roman" w:cs="Times New Roman"/>
                <w:color w:val="auto"/>
                <w:kern w:val="0"/>
                <w:sz w:val="24"/>
                <w:lang w:bidi="ar"/>
              </w:rPr>
              <w:t>式中：L</w:t>
            </w:r>
            <w:r>
              <w:rPr>
                <w:rFonts w:hint="default" w:ascii="Times New Roman" w:hAnsi="Times New Roman" w:cs="Times New Roman"/>
                <w:color w:val="auto"/>
                <w:kern w:val="0"/>
                <w:sz w:val="24"/>
                <w:vertAlign w:val="subscript"/>
                <w:lang w:bidi="ar"/>
              </w:rPr>
              <w:t>P1i</w:t>
            </w:r>
            <w:r>
              <w:rPr>
                <w:rFonts w:hint="default" w:ascii="Times New Roman" w:hAnsi="Times New Roman" w:cs="Times New Roman"/>
                <w:color w:val="auto"/>
                <w:kern w:val="0"/>
                <w:sz w:val="24"/>
                <w:lang w:bidi="ar"/>
              </w:rPr>
              <w:t>(T)—靠近围护结构处室内N个声源i倍频带的叠加声压级，dB；</w:t>
            </w:r>
          </w:p>
          <w:p w14:paraId="240794E2">
            <w:pPr>
              <w:keepNext w:val="0"/>
              <w:keepLines w:val="0"/>
              <w:pageBreakBefore w:val="0"/>
              <w:widowControl/>
              <w:suppressLineNumbers w:val="0"/>
              <w:kinsoku/>
              <w:wordWrap/>
              <w:overflowPunct/>
              <w:topLinePunct w:val="0"/>
              <w:autoSpaceDN w:val="0"/>
              <w:bidi w:val="0"/>
              <w:adjustRightInd w:val="0"/>
              <w:snapToGrid w:val="0"/>
              <w:spacing w:before="0" w:beforeAutospacing="0" w:after="0" w:afterAutospacing="0" w:line="360" w:lineRule="auto"/>
              <w:ind w:left="0" w:right="0" w:firstLine="1262" w:firstLineChars="526"/>
              <w:jc w:val="left"/>
              <w:textAlignment w:val="auto"/>
              <w:rPr>
                <w:rFonts w:hint="default" w:ascii="Times New Roman" w:hAnsi="Times New Roman" w:cs="Times New Roman"/>
                <w:color w:val="auto"/>
                <w:sz w:val="24"/>
              </w:rPr>
            </w:pPr>
            <w:r>
              <w:rPr>
                <w:rFonts w:hint="default" w:ascii="Times New Roman" w:hAnsi="Times New Roman" w:cs="Times New Roman"/>
                <w:color w:val="auto"/>
                <w:kern w:val="0"/>
                <w:sz w:val="24"/>
                <w:lang w:bidi="ar"/>
              </w:rPr>
              <w:t>L</w:t>
            </w:r>
            <w:r>
              <w:rPr>
                <w:rFonts w:hint="default" w:ascii="Times New Roman" w:hAnsi="Times New Roman" w:cs="Times New Roman"/>
                <w:color w:val="auto"/>
                <w:kern w:val="0"/>
                <w:sz w:val="24"/>
                <w:vertAlign w:val="subscript"/>
                <w:lang w:bidi="ar"/>
              </w:rPr>
              <w:t>P1ij</w:t>
            </w:r>
            <w:r>
              <w:rPr>
                <w:rFonts w:hint="default" w:ascii="Times New Roman" w:hAnsi="Times New Roman" w:cs="Times New Roman"/>
                <w:color w:val="auto"/>
                <w:kern w:val="0"/>
                <w:sz w:val="24"/>
                <w:lang w:bidi="ar"/>
              </w:rPr>
              <w:t>—室内j声源i倍频带的声压级，dB；N—室内声源总数。</w:t>
            </w:r>
          </w:p>
          <w:p w14:paraId="4D839A40">
            <w:pPr>
              <w:keepNext w:val="0"/>
              <w:keepLines w:val="0"/>
              <w:pageBreakBefore w:val="0"/>
              <w:widowControl/>
              <w:suppressLineNumbers w:val="0"/>
              <w:kinsoku/>
              <w:wordWrap/>
              <w:overflowPunct/>
              <w:topLinePunct w:val="0"/>
              <w:autoSpaceDN w:val="0"/>
              <w:bidi w:val="0"/>
              <w:adjustRightInd w:val="0"/>
              <w:snapToGrid w:val="0"/>
              <w:spacing w:before="0" w:beforeAutospacing="0" w:after="0" w:afterAutospacing="0" w:line="360" w:lineRule="auto"/>
              <w:ind w:left="0" w:right="0" w:firstLine="480"/>
              <w:jc w:val="left"/>
              <w:textAlignment w:val="auto"/>
              <w:rPr>
                <w:rFonts w:hint="default" w:ascii="Times New Roman" w:hAnsi="Times New Roman" w:cs="Times New Roman"/>
                <w:color w:val="auto"/>
                <w:sz w:val="24"/>
              </w:rPr>
            </w:pPr>
            <w:r>
              <w:rPr>
                <w:rFonts w:hint="default" w:ascii="Times New Roman" w:hAnsi="Times New Roman" w:cs="Times New Roman"/>
                <w:color w:val="auto"/>
                <w:kern w:val="0"/>
                <w:sz w:val="24"/>
                <w:lang w:bidi="ar"/>
              </w:rPr>
              <w:t>在室内近似为扩散声场时，按公式</w:t>
            </w:r>
            <w:r>
              <w:rPr>
                <w:rFonts w:hint="default" w:ascii="Times New Roman" w:hAnsi="Times New Roman" w:cs="Times New Roman"/>
                <w:color w:val="auto"/>
                <w:kern w:val="0"/>
                <w:sz w:val="24"/>
                <w:lang w:val="en-US" w:eastAsia="zh-CN" w:bidi="ar"/>
              </w:rPr>
              <w:t>④</w:t>
            </w:r>
            <w:r>
              <w:rPr>
                <w:rFonts w:hint="default" w:ascii="Times New Roman" w:hAnsi="Times New Roman" w:cs="Times New Roman"/>
                <w:color w:val="auto"/>
                <w:kern w:val="0"/>
                <w:sz w:val="24"/>
                <w:lang w:bidi="ar"/>
              </w:rPr>
              <w:t>计算出靠近室外围护结构处的声压级：</w:t>
            </w:r>
          </w:p>
          <w:p w14:paraId="5C0BA350">
            <w:pPr>
              <w:keepNext w:val="0"/>
              <w:keepLines w:val="0"/>
              <w:pageBreakBefore w:val="0"/>
              <w:widowControl/>
              <w:suppressLineNumbers w:val="0"/>
              <w:kinsoku/>
              <w:wordWrap/>
              <w:overflowPunct/>
              <w:topLinePunct w:val="0"/>
              <w:autoSpaceDN w:val="0"/>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sz w:val="24"/>
                <w:lang w:eastAsia="zh-CN"/>
              </w:rPr>
            </w:pPr>
            <w:r>
              <w:rPr>
                <w:rFonts w:hint="default" w:ascii="Times New Roman" w:hAnsi="Times New Roman" w:cs="Times New Roman"/>
                <w:color w:val="auto"/>
                <w:kern w:val="0"/>
                <w:position w:val="-12"/>
                <w:sz w:val="24"/>
                <w:lang w:bidi="ar"/>
              </w:rPr>
              <w:object>
                <v:shape id="_x0000_i1029" o:spt="75" type="#_x0000_t75" style="height:17.25pt;width:114.2pt;" o:ole="t" filled="f" o:preferrelative="t" stroked="f" coordsize="21600,21600">
                  <v:path/>
                  <v:fill on="f" focussize="0,0"/>
                  <v:stroke on="f"/>
                  <v:imagedata r:id="rId20" o:title=""/>
                  <o:lock v:ext="edit" aspectratio="t"/>
                  <w10:wrap type="none"/>
                  <w10:anchorlock/>
                </v:shape>
                <o:OLEObject Type="Embed" ProgID="Equation.3" ShapeID="_x0000_i1029" DrawAspect="Content" ObjectID="_1468075731" r:id="rId19">
                  <o:LockedField>false</o:LockedField>
                </o:OLEObject>
              </w:object>
            </w:r>
            <w:r>
              <w:rPr>
                <w:rFonts w:hint="default" w:ascii="Times New Roman" w:hAnsi="Times New Roman" w:cs="Times New Roman"/>
                <w:color w:val="auto"/>
                <w:kern w:val="0"/>
                <w:sz w:val="24"/>
                <w:lang w:val="en-US" w:eastAsia="zh-CN" w:bidi="ar"/>
              </w:rPr>
              <w:t>④</w:t>
            </w:r>
          </w:p>
          <w:p w14:paraId="035C8047">
            <w:pPr>
              <w:keepNext w:val="0"/>
              <w:keepLines w:val="0"/>
              <w:pageBreakBefore w:val="0"/>
              <w:widowControl/>
              <w:suppressLineNumbers w:val="0"/>
              <w:kinsoku/>
              <w:wordWrap/>
              <w:overflowPunct/>
              <w:topLinePunct w:val="0"/>
              <w:autoSpaceDN w:val="0"/>
              <w:bidi w:val="0"/>
              <w:adjustRightInd w:val="0"/>
              <w:snapToGrid w:val="0"/>
              <w:spacing w:before="0" w:beforeAutospacing="0" w:after="0" w:afterAutospacing="0" w:line="360" w:lineRule="auto"/>
              <w:ind w:left="0" w:right="0" w:firstLine="480"/>
              <w:jc w:val="left"/>
              <w:textAlignment w:val="auto"/>
              <w:rPr>
                <w:rFonts w:hint="default" w:ascii="Times New Roman" w:hAnsi="Times New Roman" w:cs="Times New Roman"/>
                <w:color w:val="auto"/>
                <w:sz w:val="24"/>
              </w:rPr>
            </w:pPr>
            <w:r>
              <w:rPr>
                <w:rFonts w:hint="default" w:ascii="Times New Roman" w:hAnsi="Times New Roman" w:cs="Times New Roman"/>
                <w:color w:val="auto"/>
                <w:kern w:val="0"/>
                <w:sz w:val="24"/>
                <w:lang w:bidi="ar"/>
              </w:rPr>
              <w:t>式中：L</w:t>
            </w:r>
            <w:r>
              <w:rPr>
                <w:rFonts w:hint="default" w:ascii="Times New Roman" w:hAnsi="Times New Roman" w:cs="Times New Roman"/>
                <w:color w:val="auto"/>
                <w:kern w:val="0"/>
                <w:sz w:val="24"/>
                <w:vertAlign w:val="subscript"/>
                <w:lang w:bidi="ar"/>
              </w:rPr>
              <w:t>P2i</w:t>
            </w:r>
            <w:r>
              <w:rPr>
                <w:rFonts w:hint="default" w:ascii="Times New Roman" w:hAnsi="Times New Roman" w:cs="Times New Roman"/>
                <w:color w:val="auto"/>
                <w:kern w:val="0"/>
                <w:sz w:val="24"/>
                <w:lang w:bidi="ar"/>
              </w:rPr>
              <w:t>(T)—靠近围护结构处室外N个声源i倍频带的叠加声压级，dB；</w:t>
            </w:r>
          </w:p>
          <w:p w14:paraId="4598A544">
            <w:pPr>
              <w:keepNext w:val="0"/>
              <w:keepLines w:val="0"/>
              <w:pageBreakBefore w:val="0"/>
              <w:widowControl/>
              <w:suppressLineNumbers w:val="0"/>
              <w:kinsoku/>
              <w:wordWrap/>
              <w:overflowPunct/>
              <w:topLinePunct w:val="0"/>
              <w:autoSpaceDN w:val="0"/>
              <w:bidi w:val="0"/>
              <w:adjustRightInd w:val="0"/>
              <w:snapToGrid w:val="0"/>
              <w:spacing w:before="0" w:beforeAutospacing="0" w:after="0" w:afterAutospacing="0" w:line="360" w:lineRule="auto"/>
              <w:ind w:left="0" w:right="0" w:firstLine="1262" w:firstLineChars="526"/>
              <w:jc w:val="left"/>
              <w:textAlignment w:val="auto"/>
              <w:rPr>
                <w:rFonts w:hint="default" w:ascii="Times New Roman" w:hAnsi="Times New Roman" w:cs="Times New Roman"/>
                <w:color w:val="auto"/>
                <w:sz w:val="24"/>
              </w:rPr>
            </w:pPr>
            <w:r>
              <w:rPr>
                <w:rFonts w:hint="default" w:ascii="Times New Roman" w:hAnsi="Times New Roman" w:cs="Times New Roman"/>
                <w:color w:val="auto"/>
                <w:kern w:val="0"/>
                <w:sz w:val="24"/>
                <w:lang w:bidi="ar"/>
              </w:rPr>
              <w:t>TL</w:t>
            </w:r>
            <w:r>
              <w:rPr>
                <w:rFonts w:hint="default" w:ascii="Times New Roman" w:hAnsi="Times New Roman" w:cs="Times New Roman"/>
                <w:color w:val="auto"/>
                <w:kern w:val="0"/>
                <w:sz w:val="24"/>
                <w:vertAlign w:val="subscript"/>
                <w:lang w:bidi="ar"/>
              </w:rPr>
              <w:t>i</w:t>
            </w:r>
            <w:r>
              <w:rPr>
                <w:rFonts w:hint="default" w:ascii="Times New Roman" w:hAnsi="Times New Roman" w:cs="Times New Roman"/>
                <w:color w:val="auto"/>
                <w:kern w:val="0"/>
                <w:sz w:val="24"/>
                <w:lang w:bidi="ar"/>
              </w:rPr>
              <w:t>—围护结构i倍频带的隔声量，dB。</w:t>
            </w:r>
          </w:p>
          <w:p w14:paraId="446979A4">
            <w:pPr>
              <w:keepNext w:val="0"/>
              <w:keepLines w:val="0"/>
              <w:pageBreakBefore w:val="0"/>
              <w:widowControl/>
              <w:suppressLineNumbers w:val="0"/>
              <w:kinsoku/>
              <w:wordWrap/>
              <w:overflowPunct/>
              <w:topLinePunct w:val="0"/>
              <w:autoSpaceDN w:val="0"/>
              <w:bidi w:val="0"/>
              <w:adjustRightInd w:val="0"/>
              <w:snapToGrid w:val="0"/>
              <w:spacing w:before="0" w:beforeAutospacing="0" w:after="0" w:afterAutospacing="0" w:line="360" w:lineRule="auto"/>
              <w:ind w:left="0" w:right="0" w:firstLine="480"/>
              <w:jc w:val="left"/>
              <w:textAlignment w:val="auto"/>
              <w:rPr>
                <w:rFonts w:hint="default" w:ascii="Times New Roman" w:hAnsi="Times New Roman" w:cs="Times New Roman"/>
                <w:color w:val="auto"/>
                <w:sz w:val="24"/>
              </w:rPr>
            </w:pPr>
            <w:r>
              <w:rPr>
                <w:rFonts w:hint="default" w:ascii="Times New Roman" w:hAnsi="Times New Roman" w:cs="Times New Roman"/>
                <w:color w:val="auto"/>
                <w:kern w:val="0"/>
                <w:sz w:val="24"/>
                <w:lang w:bidi="ar"/>
              </w:rPr>
              <w:t>然后，按公式</w:t>
            </w:r>
            <w:r>
              <w:rPr>
                <w:rFonts w:hint="default" w:ascii="Times New Roman" w:hAnsi="Times New Roman" w:cs="Times New Roman"/>
                <w:color w:val="auto"/>
                <w:kern w:val="0"/>
                <w:sz w:val="24"/>
                <w:lang w:val="en-US" w:eastAsia="zh-CN" w:bidi="ar"/>
              </w:rPr>
              <w:t>⑤</w:t>
            </w:r>
            <w:r>
              <w:rPr>
                <w:rFonts w:hint="default" w:ascii="Times New Roman" w:hAnsi="Times New Roman" w:cs="Times New Roman"/>
                <w:color w:val="auto"/>
                <w:kern w:val="0"/>
                <w:sz w:val="24"/>
                <w:lang w:bidi="ar"/>
              </w:rPr>
              <w:t>将室外声源的声压级和透过面积换算成等效的室外声源，计算出中心位置位于透声面积（S）处的等效声源的倍频带声功率级：</w:t>
            </w:r>
          </w:p>
          <w:p w14:paraId="446BFC6A">
            <w:pPr>
              <w:keepNext w:val="0"/>
              <w:keepLines w:val="0"/>
              <w:pageBreakBefore w:val="0"/>
              <w:widowControl/>
              <w:suppressLineNumbers w:val="0"/>
              <w:kinsoku/>
              <w:wordWrap/>
              <w:overflowPunct/>
              <w:topLinePunct w:val="0"/>
              <w:autoSpaceDN w:val="0"/>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sz w:val="24"/>
                <w:lang w:eastAsia="zh-CN"/>
              </w:rPr>
            </w:pPr>
            <w:r>
              <w:rPr>
                <w:rFonts w:hint="default" w:ascii="Times New Roman" w:hAnsi="Times New Roman" w:cs="Times New Roman"/>
                <w:color w:val="auto"/>
                <w:kern w:val="0"/>
                <w:position w:val="-12"/>
                <w:sz w:val="24"/>
                <w:lang w:bidi="ar"/>
              </w:rPr>
              <w:object>
                <v:shape id="_x0000_i1030" o:spt="75" type="#_x0000_t75" style="height:18.5pt;width:87.95pt;" o:ole="t" filled="f" o:preferrelative="t" stroked="f" coordsize="21600,21600">
                  <v:path/>
                  <v:fill on="f" focussize="0,0"/>
                  <v:stroke on="f"/>
                  <v:imagedata r:id="rId22" o:title=""/>
                  <o:lock v:ext="edit" aspectratio="t"/>
                  <w10:wrap type="none"/>
                  <w10:anchorlock/>
                </v:shape>
                <o:OLEObject Type="Embed" ProgID="Equation.3" ShapeID="_x0000_i1030" DrawAspect="Content" ObjectID="_1468075732" r:id="rId21">
                  <o:LockedField>false</o:LockedField>
                </o:OLEObject>
              </w:object>
            </w:r>
            <w:r>
              <w:rPr>
                <w:rFonts w:hint="default" w:ascii="Times New Roman" w:hAnsi="Times New Roman" w:cs="Times New Roman"/>
                <w:color w:val="auto"/>
                <w:kern w:val="0"/>
                <w:sz w:val="24"/>
                <w:lang w:val="en-US" w:eastAsia="zh-CN" w:bidi="ar"/>
              </w:rPr>
              <w:t>⑤</w:t>
            </w:r>
          </w:p>
          <w:p w14:paraId="00BAD392">
            <w:pPr>
              <w:keepNext w:val="0"/>
              <w:keepLines w:val="0"/>
              <w:pageBreakBefore w:val="0"/>
              <w:suppressLineNumbers w:val="0"/>
              <w:kinsoku/>
              <w:wordWrap/>
              <w:overflowPunct/>
              <w:topLinePunct w:val="0"/>
              <w:autoSpaceDE w:val="0"/>
              <w:autoSpaceDN w:val="0"/>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然后按室外声源预测方法计算预测点处的A声级。</w:t>
            </w:r>
          </w:p>
          <w:p w14:paraId="193F7A78">
            <w:pPr>
              <w:keepNext w:val="0"/>
              <w:keepLines w:val="0"/>
              <w:pageBreakBefore w:val="0"/>
              <w:suppressLineNumbers w:val="0"/>
              <w:kinsoku/>
              <w:wordWrap/>
              <w:overflowPunct/>
              <w:topLinePunct w:val="0"/>
              <w:autoSpaceDE w:val="0"/>
              <w:autoSpaceDN w:val="0"/>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②噪声贡献值计算</w:t>
            </w:r>
          </w:p>
          <w:p w14:paraId="512EE754">
            <w:pPr>
              <w:keepNext w:val="0"/>
              <w:keepLines w:val="0"/>
              <w:pageBreakBefore w:val="0"/>
              <w:widowControl/>
              <w:suppressLineNumbers w:val="0"/>
              <w:kinsoku/>
              <w:wordWrap/>
              <w:overflowPunct/>
              <w:topLinePunct w:val="0"/>
              <w:autoSpaceDE/>
              <w:autoSpaceDN w:val="0"/>
              <w:bidi w:val="0"/>
              <w:adjustRightInd w:val="0"/>
              <w:snapToGrid w:val="0"/>
              <w:spacing w:before="0" w:beforeAutospacing="0" w:after="0" w:afterAutospacing="0" w:line="360" w:lineRule="auto"/>
              <w:ind w:left="0" w:right="0" w:firstLine="48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lang w:bidi="ar"/>
              </w:rPr>
              <w:t>设第i个室外声源在预测点产生的A声级为L</w:t>
            </w:r>
            <w:r>
              <w:rPr>
                <w:rFonts w:hint="default" w:ascii="Times New Roman" w:hAnsi="Times New Roman" w:eastAsia="宋体" w:cs="Times New Roman"/>
                <w:color w:val="auto"/>
                <w:kern w:val="0"/>
                <w:sz w:val="24"/>
                <w:vertAlign w:val="subscript"/>
                <w:lang w:bidi="ar"/>
              </w:rPr>
              <w:t>Ai</w:t>
            </w:r>
            <w:r>
              <w:rPr>
                <w:rFonts w:hint="default" w:ascii="Times New Roman" w:hAnsi="Times New Roman" w:eastAsia="宋体" w:cs="Times New Roman"/>
                <w:color w:val="auto"/>
                <w:kern w:val="0"/>
                <w:sz w:val="24"/>
                <w:lang w:bidi="ar"/>
              </w:rPr>
              <w:t>，在T时间内该声源工作时间为t</w:t>
            </w:r>
            <w:r>
              <w:rPr>
                <w:rFonts w:hint="default" w:ascii="Times New Roman" w:hAnsi="Times New Roman" w:eastAsia="宋体" w:cs="Times New Roman"/>
                <w:color w:val="auto"/>
                <w:kern w:val="0"/>
                <w:sz w:val="24"/>
                <w:vertAlign w:val="subscript"/>
                <w:lang w:bidi="ar"/>
              </w:rPr>
              <w:t>i</w:t>
            </w:r>
            <w:r>
              <w:rPr>
                <w:rFonts w:hint="default" w:ascii="Times New Roman" w:hAnsi="Times New Roman" w:eastAsia="宋体" w:cs="Times New Roman"/>
                <w:color w:val="auto"/>
                <w:kern w:val="0"/>
                <w:sz w:val="24"/>
                <w:lang w:bidi="ar"/>
              </w:rPr>
              <w:t>；第j个等效室外声源在预测点产生的A声级为L</w:t>
            </w:r>
            <w:r>
              <w:rPr>
                <w:rFonts w:hint="default" w:ascii="Times New Roman" w:hAnsi="Times New Roman" w:eastAsia="宋体" w:cs="Times New Roman"/>
                <w:color w:val="auto"/>
                <w:kern w:val="0"/>
                <w:sz w:val="24"/>
                <w:vertAlign w:val="subscript"/>
                <w:lang w:bidi="ar"/>
              </w:rPr>
              <w:t>Aj</w:t>
            </w:r>
            <w:r>
              <w:rPr>
                <w:rFonts w:hint="default" w:ascii="Times New Roman" w:hAnsi="Times New Roman" w:eastAsia="宋体" w:cs="Times New Roman"/>
                <w:color w:val="auto"/>
                <w:kern w:val="0"/>
                <w:sz w:val="24"/>
                <w:lang w:bidi="ar"/>
              </w:rPr>
              <w:t>，在T时间内该声源工作时间为t</w:t>
            </w:r>
            <w:r>
              <w:rPr>
                <w:rFonts w:hint="default" w:ascii="Times New Roman" w:hAnsi="Times New Roman" w:eastAsia="宋体" w:cs="Times New Roman"/>
                <w:color w:val="auto"/>
                <w:kern w:val="0"/>
                <w:sz w:val="24"/>
                <w:vertAlign w:val="subscript"/>
                <w:lang w:bidi="ar"/>
              </w:rPr>
              <w:t>j</w:t>
            </w:r>
            <w:r>
              <w:rPr>
                <w:rFonts w:hint="default" w:ascii="Times New Roman" w:hAnsi="Times New Roman" w:eastAsia="宋体" w:cs="Times New Roman"/>
                <w:color w:val="auto"/>
                <w:kern w:val="0"/>
                <w:sz w:val="24"/>
                <w:lang w:bidi="ar"/>
              </w:rPr>
              <w:t>，则拟建工程声源对预测点产生的贡献值（L</w:t>
            </w:r>
            <w:r>
              <w:rPr>
                <w:rFonts w:hint="default" w:ascii="Times New Roman" w:hAnsi="Times New Roman" w:eastAsia="宋体" w:cs="Times New Roman"/>
                <w:color w:val="auto"/>
                <w:kern w:val="0"/>
                <w:sz w:val="24"/>
                <w:vertAlign w:val="subscript"/>
                <w:lang w:bidi="ar"/>
              </w:rPr>
              <w:t>eqg</w:t>
            </w:r>
            <w:r>
              <w:rPr>
                <w:rFonts w:hint="default" w:ascii="Times New Roman" w:hAnsi="Times New Roman" w:eastAsia="宋体" w:cs="Times New Roman"/>
                <w:color w:val="auto"/>
                <w:kern w:val="0"/>
                <w:sz w:val="24"/>
                <w:lang w:bidi="ar"/>
              </w:rPr>
              <w:t>）为：</w:t>
            </w:r>
          </w:p>
          <w:p w14:paraId="6ACA5338">
            <w:pPr>
              <w:keepNext w:val="0"/>
              <w:keepLines w:val="0"/>
              <w:pageBreakBefore w:val="0"/>
              <w:widowControl/>
              <w:suppressLineNumbers w:val="0"/>
              <w:kinsoku/>
              <w:wordWrap/>
              <w:overflowPunct/>
              <w:topLinePunct w:val="0"/>
              <w:autoSpaceDE/>
              <w:autoSpaceDN w:val="0"/>
              <w:bidi w:val="0"/>
              <w:adjustRightInd w:val="0"/>
              <w:snapToGrid w:val="0"/>
              <w:spacing w:before="0" w:beforeAutospacing="0" w:after="120" w:afterLines="50" w:afterAutospacing="0" w:line="360" w:lineRule="auto"/>
              <w:ind w:left="0" w:right="0"/>
              <w:jc w:val="center"/>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kern w:val="0"/>
                <w:position w:val="-30"/>
                <w:sz w:val="24"/>
                <w:lang w:bidi="ar"/>
              </w:rPr>
              <w:object>
                <v:shape id="_x0000_i1031" o:spt="75" type="#_x0000_t75" style="height:29.95pt;width:215.15pt;" o:ole="t" filled="f" o:preferrelative="t" stroked="f" coordsize="21600,21600">
                  <v:path/>
                  <v:fill on="f" focussize="0,0"/>
                  <v:stroke on="f"/>
                  <v:imagedata r:id="rId24" o:title=""/>
                  <o:lock v:ext="edit" aspectratio="t"/>
                  <w10:wrap type="none"/>
                  <w10:anchorlock/>
                </v:shape>
                <o:OLEObject Type="Embed" ProgID="Equation.3" ShapeID="_x0000_i1031" DrawAspect="Content" ObjectID="_1468075733" r:id="rId23">
                  <o:LockedField>false</o:LockedField>
                </o:OLEObject>
              </w:object>
            </w:r>
            <w:r>
              <w:rPr>
                <w:rFonts w:hint="default" w:ascii="Times New Roman" w:hAnsi="Times New Roman" w:eastAsia="宋体" w:cs="Times New Roman"/>
                <w:color w:val="auto"/>
                <w:kern w:val="0"/>
                <w:sz w:val="24"/>
                <w:lang w:val="en-US" w:eastAsia="zh-CN" w:bidi="ar"/>
              </w:rPr>
              <w:t>⑥</w:t>
            </w:r>
          </w:p>
          <w:p w14:paraId="67C980D2">
            <w:pPr>
              <w:keepNext w:val="0"/>
              <w:keepLines w:val="0"/>
              <w:pageBreakBefore w:val="0"/>
              <w:widowControl/>
              <w:suppressLineNumbers w:val="0"/>
              <w:kinsoku/>
              <w:wordWrap/>
              <w:overflowPunct/>
              <w:topLinePunct w:val="0"/>
              <w:autoSpaceDE/>
              <w:autoSpaceDN w:val="0"/>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lang w:bidi="ar"/>
              </w:rPr>
              <w:t>式中：L</w:t>
            </w:r>
            <w:r>
              <w:rPr>
                <w:rFonts w:hint="default" w:ascii="Times New Roman" w:hAnsi="Times New Roman" w:eastAsia="宋体" w:cs="Times New Roman"/>
                <w:color w:val="auto"/>
                <w:kern w:val="0"/>
                <w:sz w:val="24"/>
                <w:vertAlign w:val="subscript"/>
                <w:lang w:bidi="ar"/>
              </w:rPr>
              <w:t>eqg</w:t>
            </w:r>
            <w:r>
              <w:rPr>
                <w:rFonts w:hint="default" w:ascii="Times New Roman" w:hAnsi="Times New Roman" w:eastAsia="宋体" w:cs="Times New Roman"/>
                <w:color w:val="auto"/>
                <w:kern w:val="0"/>
                <w:sz w:val="24"/>
                <w:lang w:bidi="ar"/>
              </w:rPr>
              <w:t>—建设项目声源在预测点产生的噪声贡献值，dB；</w:t>
            </w:r>
          </w:p>
          <w:p w14:paraId="64CBA026">
            <w:pPr>
              <w:pStyle w:val="8"/>
              <w:keepNext w:val="0"/>
              <w:keepLines w:val="0"/>
              <w:pageBreakBefore w:val="0"/>
              <w:suppressLineNumbers w:val="0"/>
              <w:kinsoku/>
              <w:wordWrap/>
              <w:overflowPunct/>
              <w:topLinePunct w:val="0"/>
              <w:bidi w:val="0"/>
              <w:spacing w:before="0" w:beforeAutospacing="0" w:afterAutospacing="0" w:line="360" w:lineRule="auto"/>
              <w:ind w:left="0" w:leftChars="0" w:right="0" w:rightChars="0" w:firstLine="1200" w:firstLineChars="500"/>
              <w:textAlignment w:val="auto"/>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lang w:bidi="ar"/>
              </w:rPr>
              <w:t>T—用于计算等效声级的时间，s；N—室外声源个数；</w:t>
            </w:r>
          </w:p>
          <w:p w14:paraId="0D1859B2">
            <w:pPr>
              <w:pStyle w:val="8"/>
              <w:keepNext w:val="0"/>
              <w:keepLines w:val="0"/>
              <w:pageBreakBefore w:val="0"/>
              <w:suppressLineNumbers w:val="0"/>
              <w:kinsoku/>
              <w:wordWrap/>
              <w:overflowPunct/>
              <w:topLinePunct w:val="0"/>
              <w:bidi w:val="0"/>
              <w:spacing w:before="0" w:beforeAutospacing="0" w:afterAutospacing="0" w:line="360" w:lineRule="auto"/>
              <w:ind w:left="0" w:leftChars="0" w:right="0" w:rightChars="0" w:firstLine="1200" w:firstLineChars="500"/>
              <w:textAlignment w:val="auto"/>
              <w:rPr>
                <w:rFonts w:hint="default" w:ascii="Times New Roman" w:hAnsi="Times New Roman" w:eastAsia="宋体" w:cs="Times New Roman"/>
                <w:color w:val="auto"/>
                <w:sz w:val="24"/>
                <w:lang w:bidi="ar"/>
              </w:rPr>
            </w:pPr>
            <w:r>
              <w:rPr>
                <w:rFonts w:hint="default" w:ascii="Times New Roman" w:hAnsi="Times New Roman" w:eastAsia="宋体" w:cs="Times New Roman"/>
                <w:color w:val="auto"/>
                <w:sz w:val="24"/>
                <w:lang w:bidi="ar"/>
              </w:rPr>
              <w:t>t</w:t>
            </w:r>
            <w:r>
              <w:rPr>
                <w:rFonts w:hint="default" w:ascii="Times New Roman" w:hAnsi="Times New Roman" w:eastAsia="宋体" w:cs="Times New Roman"/>
                <w:color w:val="auto"/>
                <w:sz w:val="24"/>
                <w:vertAlign w:val="subscript"/>
                <w:lang w:bidi="ar"/>
              </w:rPr>
              <w:t>i</w:t>
            </w:r>
            <w:r>
              <w:rPr>
                <w:rFonts w:hint="default" w:ascii="Times New Roman" w:hAnsi="Times New Roman" w:eastAsia="宋体" w:cs="Times New Roman"/>
                <w:color w:val="auto"/>
                <w:sz w:val="24"/>
                <w:lang w:bidi="ar"/>
              </w:rPr>
              <w:t>—在T时间内i声源工作时间，s；M—等效室外声源个数；</w:t>
            </w:r>
          </w:p>
          <w:p w14:paraId="20859C48">
            <w:pPr>
              <w:pStyle w:val="8"/>
              <w:keepNext w:val="0"/>
              <w:keepLines w:val="0"/>
              <w:pageBreakBefore w:val="0"/>
              <w:suppressLineNumbers w:val="0"/>
              <w:kinsoku/>
              <w:wordWrap/>
              <w:overflowPunct/>
              <w:topLinePunct w:val="0"/>
              <w:bidi w:val="0"/>
              <w:spacing w:before="0" w:beforeAutospacing="0" w:afterAutospacing="0" w:line="360" w:lineRule="auto"/>
              <w:ind w:left="0" w:leftChars="0" w:right="0" w:rightChars="0" w:firstLine="1200" w:firstLineChars="5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szCs w:val="24"/>
                <w:lang w:val="en-US" w:eastAsia="zh-CN" w:bidi="ar"/>
              </w:rPr>
              <w:t>t</w:t>
            </w:r>
            <w:r>
              <w:rPr>
                <w:rFonts w:hint="default" w:ascii="Times New Roman" w:hAnsi="Times New Roman" w:eastAsia="宋体" w:cs="Times New Roman"/>
                <w:color w:val="auto"/>
                <w:kern w:val="0"/>
                <w:sz w:val="24"/>
                <w:szCs w:val="24"/>
                <w:vertAlign w:val="subscript"/>
                <w:lang w:val="en-US" w:eastAsia="zh-CN" w:bidi="ar"/>
              </w:rPr>
              <w:t>j</w:t>
            </w:r>
            <w:r>
              <w:rPr>
                <w:rFonts w:hint="default" w:ascii="Times New Roman" w:hAnsi="Times New Roman" w:eastAsia="宋体" w:cs="Times New Roman"/>
                <w:color w:val="auto"/>
                <w:kern w:val="0"/>
                <w:sz w:val="24"/>
                <w:szCs w:val="24"/>
                <w:lang w:val="en-US" w:eastAsia="zh-CN" w:bidi="ar"/>
              </w:rPr>
              <w:t>—在T时间内j声源工作时间，s。</w:t>
            </w:r>
          </w:p>
          <w:p w14:paraId="02A4258D">
            <w:pPr>
              <w:pStyle w:val="16"/>
              <w:keepNext w:val="0"/>
              <w:keepLines w:val="0"/>
              <w:pageBreakBefore w:val="0"/>
              <w:numPr>
                <w:ilvl w:val="0"/>
                <w:numId w:val="0"/>
              </w:numPr>
              <w:kinsoku/>
              <w:wordWrap/>
              <w:overflowPunct/>
              <w:topLinePunct w:val="0"/>
              <w:bidi w:val="0"/>
              <w:spacing w:line="360" w:lineRule="auto"/>
              <w:ind w:leftChars="200"/>
              <w:textAlignment w:val="auto"/>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③预测点预测值计算</w:t>
            </w:r>
          </w:p>
          <w:p w14:paraId="7A76869B">
            <w:pPr>
              <w:pStyle w:val="17"/>
              <w:keepNext w:val="0"/>
              <w:keepLines w:val="0"/>
              <w:pageBreakBefore w:val="0"/>
              <w:numPr>
                <w:ilvl w:val="0"/>
                <w:numId w:val="0"/>
              </w:numPr>
              <w:kinsoku/>
              <w:wordWrap/>
              <w:overflowPunct/>
              <w:topLinePunct w:val="0"/>
              <w:bidi w:val="0"/>
              <w:spacing w:line="36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kern w:val="0"/>
                <w:position w:val="-14"/>
                <w:sz w:val="24"/>
                <w:lang w:bidi="ar"/>
              </w:rPr>
              <w:object>
                <v:shape id="_x0000_i1032" o:spt="75" type="#_x0000_t75" style="height:25.35pt;width:118.2pt;" o:ole="t" filled="f" o:preferrelative="t" stroked="f" coordsize="21600,21600">
                  <v:path/>
                  <v:fill on="f" focussize="0,0"/>
                  <v:stroke on="f"/>
                  <v:imagedata r:id="rId26" o:title=""/>
                  <o:lock v:ext="edit" aspectratio="t"/>
                  <w10:wrap type="none"/>
                  <w10:anchorlock/>
                </v:shape>
                <o:OLEObject Type="Embed" ProgID="Equation.3" ShapeID="_x0000_i1032" DrawAspect="Content" ObjectID="_1468075734" r:id="rId25">
                  <o:LockedField>false</o:LockedField>
                </o:OLEObject>
              </w:object>
            </w:r>
            <w:r>
              <w:rPr>
                <w:rFonts w:hint="default" w:ascii="Times New Roman" w:hAnsi="Times New Roman" w:cs="Times New Roman"/>
                <w:b w:val="0"/>
                <w:bCs/>
                <w:color w:val="auto"/>
                <w:kern w:val="0"/>
                <w:sz w:val="24"/>
                <w:lang w:val="en-US" w:eastAsia="zh-CN" w:bidi="ar"/>
              </w:rPr>
              <w:t>⑦</w:t>
            </w:r>
          </w:p>
          <w:p w14:paraId="0695E968">
            <w:pPr>
              <w:keepNext w:val="0"/>
              <w:keepLines w:val="0"/>
              <w:pageBreakBefore w:val="0"/>
              <w:widowControl/>
              <w:suppressLineNumbers w:val="0"/>
              <w:kinsoku/>
              <w:wordWrap/>
              <w:overflowPunct/>
              <w:topLinePunct w:val="0"/>
              <w:autoSpaceDE/>
              <w:autoSpaceDN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式中：L</w:t>
            </w:r>
            <w:r>
              <w:rPr>
                <w:rFonts w:hint="default" w:ascii="Times New Roman" w:hAnsi="Times New Roman" w:cs="Times New Roman"/>
                <w:color w:val="auto"/>
                <w:kern w:val="0"/>
                <w:sz w:val="24"/>
                <w:vertAlign w:val="subscript"/>
                <w:lang w:bidi="ar"/>
              </w:rPr>
              <w:t>eqg</w:t>
            </w:r>
            <w:r>
              <w:rPr>
                <w:rFonts w:hint="default" w:ascii="Times New Roman" w:hAnsi="Times New Roman" w:cs="Times New Roman"/>
                <w:color w:val="auto"/>
                <w:kern w:val="0"/>
                <w:sz w:val="24"/>
                <w:lang w:bidi="ar"/>
              </w:rPr>
              <w:t>—建设项目声源在预测点的等效声级贡献值，dB(A</w:t>
            </w:r>
            <w:r>
              <w:rPr>
                <w:rFonts w:hint="eastAsia" w:cs="Times New Roman"/>
                <w:color w:val="auto"/>
                <w:kern w:val="0"/>
                <w:sz w:val="24"/>
                <w:lang w:eastAsia="zh-CN" w:bidi="ar"/>
              </w:rPr>
              <w:t>）</w:t>
            </w:r>
            <w:r>
              <w:rPr>
                <w:rFonts w:hint="default" w:ascii="Times New Roman" w:hAnsi="Times New Roman" w:cs="Times New Roman"/>
                <w:color w:val="auto"/>
                <w:kern w:val="0"/>
                <w:sz w:val="24"/>
                <w:lang w:bidi="ar"/>
              </w:rPr>
              <w:t>；</w:t>
            </w:r>
          </w:p>
          <w:p w14:paraId="286159AA">
            <w:pPr>
              <w:keepNext w:val="0"/>
              <w:keepLines w:val="0"/>
              <w:pageBreakBefore w:val="0"/>
              <w:widowControl/>
              <w:suppressLineNumbers w:val="0"/>
              <w:kinsoku/>
              <w:wordWrap/>
              <w:overflowPunct/>
              <w:topLinePunct w:val="0"/>
              <w:autoSpaceDE/>
              <w:autoSpaceDN w:val="0"/>
              <w:bidi w:val="0"/>
              <w:adjustRightInd/>
              <w:snapToGrid/>
              <w:spacing w:before="0" w:beforeAutospacing="0" w:after="0" w:afterAutospacing="0" w:line="360" w:lineRule="auto"/>
              <w:ind w:left="0" w:right="0" w:firstLine="1200" w:firstLineChars="500"/>
              <w:textAlignment w:val="auto"/>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L</w:t>
            </w:r>
            <w:r>
              <w:rPr>
                <w:rFonts w:hint="default" w:ascii="Times New Roman" w:hAnsi="Times New Roman" w:cs="Times New Roman"/>
                <w:color w:val="auto"/>
                <w:kern w:val="0"/>
                <w:sz w:val="24"/>
                <w:vertAlign w:val="subscript"/>
                <w:lang w:bidi="ar"/>
              </w:rPr>
              <w:t>eqb</w:t>
            </w:r>
            <w:r>
              <w:rPr>
                <w:rFonts w:hint="default" w:ascii="Times New Roman" w:hAnsi="Times New Roman" w:cs="Times New Roman"/>
                <w:color w:val="auto"/>
                <w:kern w:val="0"/>
                <w:sz w:val="24"/>
                <w:lang w:bidi="ar"/>
              </w:rPr>
              <w:t>—预测点的背景值，dB(A</w:t>
            </w:r>
            <w:r>
              <w:rPr>
                <w:rFonts w:hint="eastAsia" w:cs="Times New Roman"/>
                <w:color w:val="auto"/>
                <w:kern w:val="0"/>
                <w:sz w:val="24"/>
                <w:lang w:eastAsia="zh-CN" w:bidi="ar"/>
              </w:rPr>
              <w:t>）</w:t>
            </w:r>
            <w:r>
              <w:rPr>
                <w:rFonts w:hint="default" w:ascii="Times New Roman" w:hAnsi="Times New Roman" w:cs="Times New Roman"/>
                <w:color w:val="auto"/>
                <w:kern w:val="0"/>
                <w:sz w:val="24"/>
                <w:lang w:bidi="ar"/>
              </w:rPr>
              <w:t>。</w:t>
            </w:r>
          </w:p>
          <w:p w14:paraId="122877E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根据项目建设内容及《环境影响评价技术导则—声环境》（HJ2.4-2021）</w:t>
            </w:r>
          </w:p>
          <w:p w14:paraId="5AFFD22F">
            <w:pPr>
              <w:pStyle w:val="16"/>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的要求，项目采用的模型为《环境影响评价技术导则声环境》</w:t>
            </w:r>
            <w:r>
              <w:rPr>
                <w:rFonts w:hint="eastAsia"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HJ2.4.2021</w:t>
            </w:r>
            <w:r>
              <w:rPr>
                <w:rFonts w:hint="eastAsia"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附录A（规范性附录）户外声传播的衰减和附录B（规范性附录）中“B.1工业噪声预测计算模型”</w:t>
            </w:r>
            <w:r>
              <w:rPr>
                <w:rFonts w:hint="default" w:ascii="Times New Roman" w:hAnsi="Times New Roman" w:eastAsia="宋体" w:cs="Times New Roman"/>
                <w:color w:val="auto"/>
                <w:sz w:val="24"/>
                <w:szCs w:val="24"/>
              </w:rPr>
              <w:t>。</w:t>
            </w:r>
          </w:p>
          <w:p w14:paraId="0C46CF99">
            <w:pPr>
              <w:pStyle w:val="16"/>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snapToGrid w:val="0"/>
                <w:color w:val="auto"/>
                <w:sz w:val="24"/>
              </w:rPr>
              <w:t>根据《环境影响评价技术导则声环境》（HJ2.4-2021），</w:t>
            </w:r>
            <w:r>
              <w:rPr>
                <w:rFonts w:hint="default" w:ascii="Times New Roman" w:hAnsi="Times New Roman" w:cs="Times New Roman"/>
                <w:snapToGrid w:val="0"/>
                <w:color w:val="auto"/>
                <w:sz w:val="24"/>
                <w:lang w:val="en-US" w:eastAsia="zh-CN"/>
              </w:rPr>
              <w:t>本</w:t>
            </w:r>
            <w:r>
              <w:rPr>
                <w:rFonts w:hint="default" w:ascii="Times New Roman" w:hAnsi="Times New Roman" w:eastAsia="宋体" w:cs="Times New Roman"/>
                <w:snapToGrid w:val="0"/>
                <w:color w:val="auto"/>
                <w:sz w:val="24"/>
                <w:lang w:eastAsia="zh-CN"/>
              </w:rPr>
              <w:t>项目</w:t>
            </w:r>
            <w:r>
              <w:rPr>
                <w:rFonts w:hint="default" w:ascii="Times New Roman" w:hAnsi="Times New Roman" w:eastAsia="宋体" w:cs="Times New Roman"/>
                <w:snapToGrid w:val="0"/>
                <w:color w:val="auto"/>
                <w:sz w:val="24"/>
              </w:rPr>
              <w:t>对厂界噪声影响预测结果见</w:t>
            </w:r>
            <w:r>
              <w:rPr>
                <w:rFonts w:hint="default" w:ascii="Times New Roman" w:hAnsi="Times New Roman" w:eastAsia="宋体" w:cs="Times New Roman"/>
                <w:snapToGrid w:val="0"/>
                <w:color w:val="auto"/>
                <w:sz w:val="24"/>
                <w:lang w:val="en-US" w:eastAsia="zh-CN"/>
              </w:rPr>
              <w:t>下表</w:t>
            </w:r>
            <w:r>
              <w:rPr>
                <w:rFonts w:hint="default" w:ascii="Times New Roman" w:hAnsi="Times New Roman" w:eastAsia="宋体" w:cs="Times New Roman"/>
                <w:snapToGrid w:val="0"/>
                <w:color w:val="auto"/>
                <w:sz w:val="24"/>
              </w:rPr>
              <w:t>。</w:t>
            </w:r>
          </w:p>
          <w:p w14:paraId="747E97D6">
            <w:pPr>
              <w:keepNext w:val="0"/>
              <w:keepLines w:val="0"/>
              <w:pageBreakBefore w:val="0"/>
              <w:widowControl/>
              <w:kinsoku/>
              <w:wordWrap/>
              <w:overflowPunct/>
              <w:topLinePunct w:val="0"/>
              <w:autoSpaceDE/>
              <w:autoSpaceDN w:val="0"/>
              <w:bidi w:val="0"/>
              <w:adjustRightInd/>
              <w:snapToGrid/>
              <w:spacing w:line="240" w:lineRule="auto"/>
              <w:ind w:firstLine="0" w:firstLineChars="0"/>
              <w:jc w:val="center"/>
              <w:textAlignment w:val="auto"/>
              <w:rPr>
                <w:b/>
                <w:bCs/>
                <w:color w:val="auto"/>
                <w:sz w:val="21"/>
                <w:szCs w:val="21"/>
              </w:rPr>
            </w:pPr>
            <w:r>
              <w:rPr>
                <w:rFonts w:hint="eastAsia"/>
                <w:b/>
                <w:bCs/>
                <w:color w:val="auto"/>
                <w:sz w:val="21"/>
                <w:szCs w:val="21"/>
              </w:rPr>
              <w:t>表4-</w:t>
            </w:r>
            <w:r>
              <w:rPr>
                <w:rFonts w:hint="eastAsia"/>
                <w:b/>
                <w:bCs/>
                <w:color w:val="auto"/>
                <w:sz w:val="21"/>
                <w:szCs w:val="21"/>
                <w:lang w:val="en-US" w:eastAsia="zh-CN"/>
              </w:rPr>
              <w:t xml:space="preserve">21  </w:t>
            </w:r>
            <w:r>
              <w:rPr>
                <w:rFonts w:hint="eastAsia"/>
                <w:b/>
                <w:bCs/>
                <w:color w:val="auto"/>
                <w:sz w:val="21"/>
                <w:szCs w:val="21"/>
              </w:rPr>
              <w:t>厂界噪声预测结果与达标分析单位：dB（A）</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86"/>
              <w:gridCol w:w="717"/>
              <w:gridCol w:w="868"/>
              <w:gridCol w:w="996"/>
              <w:gridCol w:w="941"/>
              <w:gridCol w:w="1149"/>
              <w:gridCol w:w="1124"/>
              <w:gridCol w:w="1262"/>
            </w:tblGrid>
            <w:tr w14:paraId="1234F41E">
              <w:trPr>
                <w:trHeight w:val="397" w:hRule="atLeast"/>
                <w:jc w:val="center"/>
              </w:trPr>
              <w:tc>
                <w:tcPr>
                  <w:tcW w:w="558" w:type="pct"/>
                  <w:vMerge w:val="restart"/>
                  <w:tcBorders>
                    <w:tl2br w:val="nil"/>
                    <w:tr2bl w:val="nil"/>
                  </w:tcBorders>
                  <w:noWrap w:val="0"/>
                  <w:vAlign w:val="center"/>
                </w:tcPr>
                <w:p w14:paraId="7E9EE050">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测点序号</w:t>
                  </w:r>
                </w:p>
              </w:tc>
              <w:tc>
                <w:tcPr>
                  <w:tcW w:w="1624" w:type="pct"/>
                  <w:gridSpan w:val="3"/>
                  <w:tcBorders>
                    <w:tl2br w:val="nil"/>
                    <w:tr2bl w:val="nil"/>
                  </w:tcBorders>
                  <w:noWrap w:val="0"/>
                  <w:vAlign w:val="center"/>
                </w:tcPr>
                <w:p w14:paraId="409E1E79">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空间相对位置</w:t>
                  </w:r>
                </w:p>
              </w:tc>
              <w:tc>
                <w:tcPr>
                  <w:tcW w:w="592" w:type="pct"/>
                  <w:vMerge w:val="restart"/>
                  <w:tcBorders>
                    <w:tl2br w:val="nil"/>
                    <w:tr2bl w:val="nil"/>
                  </w:tcBorders>
                  <w:noWrap w:val="0"/>
                  <w:vAlign w:val="center"/>
                </w:tcPr>
                <w:p w14:paraId="2816FBB8">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时段</w:t>
                  </w:r>
                </w:p>
              </w:tc>
              <w:tc>
                <w:tcPr>
                  <w:tcW w:w="723" w:type="pct"/>
                  <w:vMerge w:val="restart"/>
                  <w:tcBorders>
                    <w:tl2br w:val="nil"/>
                    <w:tr2bl w:val="nil"/>
                  </w:tcBorders>
                  <w:noWrap w:val="0"/>
                  <w:vAlign w:val="center"/>
                </w:tcPr>
                <w:p w14:paraId="4D74D288">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贡献</w:t>
                  </w:r>
                  <w:r>
                    <w:rPr>
                      <w:rFonts w:hint="default" w:ascii="Times New Roman" w:hAnsi="Times New Roman" w:eastAsia="宋体" w:cs="Times New Roman"/>
                      <w:color w:val="auto"/>
                      <w:kern w:val="0"/>
                      <w:sz w:val="21"/>
                      <w:szCs w:val="21"/>
                      <w:lang w:val="en-US" w:eastAsia="zh-CN"/>
                    </w:rPr>
                    <w:t>值</w:t>
                  </w:r>
                </w:p>
                <w:p w14:paraId="622B6D19">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dB</w:t>
                  </w:r>
                  <w:r>
                    <w:rPr>
                      <w:rFonts w:hint="eastAsia" w:cs="Times New Roman"/>
                      <w:color w:val="auto"/>
                      <w:kern w:val="0"/>
                      <w:sz w:val="21"/>
                      <w:szCs w:val="21"/>
                      <w:lang w:val="en-US" w:eastAsia="zh-CN"/>
                    </w:rPr>
                    <w:t>(</w:t>
                  </w:r>
                  <w:r>
                    <w:rPr>
                      <w:rFonts w:hint="eastAsia" w:ascii="Times New Roman" w:hAnsi="Times New Roman" w:eastAsia="宋体" w:cs="Times New Roman"/>
                      <w:color w:val="auto"/>
                      <w:kern w:val="0"/>
                      <w:sz w:val="21"/>
                      <w:szCs w:val="21"/>
                      <w:lang w:val="en-US" w:eastAsia="zh-CN"/>
                    </w:rPr>
                    <w:t>A</w:t>
                  </w:r>
                  <w:r>
                    <w:rPr>
                      <w:rFonts w:hint="eastAsia" w:cs="Times New Roman"/>
                      <w:color w:val="auto"/>
                      <w:kern w:val="0"/>
                      <w:sz w:val="21"/>
                      <w:szCs w:val="21"/>
                      <w:lang w:val="en-US" w:eastAsia="zh-CN"/>
                    </w:rPr>
                    <w:t>)</w:t>
                  </w:r>
                </w:p>
              </w:tc>
              <w:tc>
                <w:tcPr>
                  <w:tcW w:w="707" w:type="pct"/>
                  <w:vMerge w:val="restart"/>
                  <w:tcBorders>
                    <w:tl2br w:val="nil"/>
                    <w:tr2bl w:val="nil"/>
                  </w:tcBorders>
                  <w:noWrap w:val="0"/>
                  <w:vAlign w:val="center"/>
                </w:tcPr>
                <w:p w14:paraId="4FDF7248">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标准限值</w:t>
                  </w:r>
                </w:p>
                <w:p w14:paraId="6BEB8430">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w:t>
                  </w:r>
                  <w:r>
                    <w:rPr>
                      <w:rFonts w:hint="eastAsia" w:ascii="Times New Roman" w:hAnsi="Times New Roman" w:eastAsia="宋体" w:cs="Times New Roman"/>
                      <w:b w:val="0"/>
                      <w:bCs w:val="0"/>
                      <w:color w:val="auto"/>
                      <w:sz w:val="21"/>
                      <w:szCs w:val="21"/>
                    </w:rPr>
                    <w:t>dB（A）</w:t>
                  </w:r>
                  <w:r>
                    <w:rPr>
                      <w:rFonts w:hint="eastAsia" w:ascii="Times New Roman" w:hAnsi="Times New Roman" w:eastAsia="宋体" w:cs="Times New Roman"/>
                      <w:b w:val="0"/>
                      <w:bCs w:val="0"/>
                      <w:color w:val="auto"/>
                      <w:sz w:val="21"/>
                      <w:szCs w:val="21"/>
                      <w:lang w:eastAsia="zh-CN"/>
                    </w:rPr>
                    <w:t>）</w:t>
                  </w:r>
                </w:p>
              </w:tc>
              <w:tc>
                <w:tcPr>
                  <w:tcW w:w="794" w:type="pct"/>
                  <w:vMerge w:val="restart"/>
                  <w:tcBorders>
                    <w:tl2br w:val="nil"/>
                    <w:tr2bl w:val="nil"/>
                  </w:tcBorders>
                  <w:noWrap w:val="0"/>
                  <w:vAlign w:val="center"/>
                </w:tcPr>
                <w:p w14:paraId="7536452E">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评价结果</w:t>
                  </w:r>
                </w:p>
              </w:tc>
            </w:tr>
            <w:tr w14:paraId="79A8B8A1">
              <w:trPr>
                <w:trHeight w:val="397" w:hRule="atLeast"/>
                <w:jc w:val="center"/>
              </w:trPr>
              <w:tc>
                <w:tcPr>
                  <w:tcW w:w="558" w:type="pct"/>
                  <w:vMerge w:val="continue"/>
                  <w:tcBorders>
                    <w:tl2br w:val="nil"/>
                    <w:tr2bl w:val="nil"/>
                  </w:tcBorders>
                  <w:noWrap w:val="0"/>
                  <w:vAlign w:val="center"/>
                </w:tcPr>
                <w:p w14:paraId="30A979BC">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p>
              </w:tc>
              <w:tc>
                <w:tcPr>
                  <w:tcW w:w="451" w:type="pct"/>
                  <w:tcBorders>
                    <w:tl2br w:val="nil"/>
                    <w:tr2bl w:val="nil"/>
                  </w:tcBorders>
                  <w:noWrap w:val="0"/>
                  <w:vAlign w:val="center"/>
                </w:tcPr>
                <w:p w14:paraId="6048EC9F">
                  <w:pPr>
                    <w:keepNext w:val="0"/>
                    <w:keepLines w:val="0"/>
                    <w:widowControl/>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X</w:t>
                  </w:r>
                </w:p>
              </w:tc>
              <w:tc>
                <w:tcPr>
                  <w:tcW w:w="546" w:type="pct"/>
                  <w:tcBorders>
                    <w:tl2br w:val="nil"/>
                    <w:tr2bl w:val="nil"/>
                  </w:tcBorders>
                  <w:noWrap w:val="0"/>
                  <w:vAlign w:val="center"/>
                </w:tcPr>
                <w:p w14:paraId="24933B66">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Y</w:t>
                  </w:r>
                </w:p>
              </w:tc>
              <w:tc>
                <w:tcPr>
                  <w:tcW w:w="626" w:type="pct"/>
                  <w:tcBorders>
                    <w:tl2br w:val="nil"/>
                    <w:tr2bl w:val="nil"/>
                  </w:tcBorders>
                  <w:noWrap w:val="0"/>
                  <w:vAlign w:val="center"/>
                </w:tcPr>
                <w:p w14:paraId="0AF66194">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Z</w:t>
                  </w:r>
                </w:p>
              </w:tc>
              <w:tc>
                <w:tcPr>
                  <w:tcW w:w="592" w:type="pct"/>
                  <w:vMerge w:val="continue"/>
                  <w:tcBorders>
                    <w:tl2br w:val="nil"/>
                    <w:tr2bl w:val="nil"/>
                  </w:tcBorders>
                  <w:noWrap w:val="0"/>
                  <w:vAlign w:val="center"/>
                </w:tcPr>
                <w:p w14:paraId="53D3A30C">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p>
              </w:tc>
              <w:tc>
                <w:tcPr>
                  <w:tcW w:w="723" w:type="pct"/>
                  <w:vMerge w:val="continue"/>
                  <w:tcBorders>
                    <w:tl2br w:val="nil"/>
                    <w:tr2bl w:val="nil"/>
                  </w:tcBorders>
                  <w:noWrap w:val="0"/>
                  <w:vAlign w:val="center"/>
                </w:tcPr>
                <w:p w14:paraId="21309819">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p>
              </w:tc>
              <w:tc>
                <w:tcPr>
                  <w:tcW w:w="707" w:type="pct"/>
                  <w:vMerge w:val="continue"/>
                  <w:tcBorders>
                    <w:tl2br w:val="nil"/>
                    <w:tr2bl w:val="nil"/>
                  </w:tcBorders>
                  <w:noWrap w:val="0"/>
                  <w:vAlign w:val="center"/>
                </w:tcPr>
                <w:p w14:paraId="47AEC23C">
                  <w:pPr>
                    <w:keepNext w:val="0"/>
                    <w:keepLines w:val="0"/>
                    <w:widowControl/>
                    <w:suppressLineNumbers w:val="0"/>
                    <w:adjustRightInd w:val="0"/>
                    <w:snapToGrid w:val="0"/>
                    <w:spacing w:before="0" w:beforeAutospacing="0" w:after="0" w:afterAutospacing="0"/>
                    <w:ind w:left="0" w:leftChars="0" w:right="0" w:rightChars="0"/>
                    <w:jc w:val="center"/>
                    <w:rPr>
                      <w:rFonts w:hint="eastAsia" w:cs="Times New Roman"/>
                      <w:b w:val="0"/>
                      <w:bCs w:val="0"/>
                      <w:color w:val="auto"/>
                      <w:kern w:val="0"/>
                      <w:sz w:val="21"/>
                      <w:szCs w:val="21"/>
                      <w:lang w:val="en-US" w:eastAsia="zh-CN"/>
                    </w:rPr>
                  </w:pPr>
                </w:p>
              </w:tc>
              <w:tc>
                <w:tcPr>
                  <w:tcW w:w="794" w:type="pct"/>
                  <w:vMerge w:val="continue"/>
                  <w:tcBorders>
                    <w:tl2br w:val="nil"/>
                    <w:tr2bl w:val="nil"/>
                  </w:tcBorders>
                  <w:noWrap w:val="0"/>
                  <w:vAlign w:val="center"/>
                </w:tcPr>
                <w:p w14:paraId="62CAB6BA">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lang w:val="en-US" w:eastAsia="zh-CN" w:bidi="ar-SA"/>
                    </w:rPr>
                  </w:pPr>
                </w:p>
              </w:tc>
            </w:tr>
            <w:tr w14:paraId="72552226">
              <w:trPr>
                <w:trHeight w:val="397" w:hRule="atLeast"/>
                <w:jc w:val="center"/>
              </w:trPr>
              <w:tc>
                <w:tcPr>
                  <w:tcW w:w="558" w:type="pct"/>
                  <w:tcBorders>
                    <w:tl2br w:val="nil"/>
                    <w:tr2bl w:val="nil"/>
                  </w:tcBorders>
                  <w:noWrap w:val="0"/>
                  <w:vAlign w:val="center"/>
                </w:tcPr>
                <w:p w14:paraId="0355EAF1">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东厂界</w:t>
                  </w:r>
                </w:p>
              </w:tc>
              <w:tc>
                <w:tcPr>
                  <w:tcW w:w="717" w:type="dxa"/>
                  <w:tcBorders>
                    <w:tl2br w:val="nil"/>
                    <w:tr2bl w:val="nil"/>
                  </w:tcBorders>
                  <w:noWrap w:val="0"/>
                  <w:vAlign w:val="center"/>
                </w:tcPr>
                <w:p w14:paraId="6FDBF4DF">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cs="Arial"/>
                      <w:color w:val="auto"/>
                      <w:sz w:val="20"/>
                      <w:lang w:val="en-US" w:eastAsia="zh-CN"/>
                    </w:rPr>
                    <w:t>112.2</w:t>
                  </w:r>
                </w:p>
              </w:tc>
              <w:tc>
                <w:tcPr>
                  <w:tcW w:w="868" w:type="dxa"/>
                  <w:tcBorders>
                    <w:tl2br w:val="nil"/>
                    <w:tr2bl w:val="nil"/>
                  </w:tcBorders>
                  <w:noWrap w:val="0"/>
                  <w:vAlign w:val="center"/>
                </w:tcPr>
                <w:p w14:paraId="799BAB9F">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cs="Arial"/>
                      <w:color w:val="auto"/>
                      <w:sz w:val="20"/>
                      <w:lang w:val="en-US" w:eastAsia="zh-CN"/>
                    </w:rPr>
                    <w:t>41.2</w:t>
                  </w:r>
                </w:p>
              </w:tc>
              <w:tc>
                <w:tcPr>
                  <w:tcW w:w="995" w:type="dxa"/>
                  <w:tcBorders>
                    <w:tl2br w:val="nil"/>
                    <w:tr2bl w:val="nil"/>
                  </w:tcBorders>
                  <w:noWrap w:val="0"/>
                  <w:vAlign w:val="center"/>
                </w:tcPr>
                <w:p w14:paraId="6DA06C96">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kern w:val="0"/>
                      <w:sz w:val="21"/>
                      <w:szCs w:val="21"/>
                      <w:lang w:val="en-US" w:eastAsia="zh-CN"/>
                    </w:rPr>
                  </w:pPr>
                  <w:r>
                    <w:rPr>
                      <w:rFonts w:ascii="Times New Roman" w:hAnsi="Times New Roman" w:eastAsia="宋体" w:cs="Arial"/>
                      <w:color w:val="auto"/>
                      <w:sz w:val="20"/>
                    </w:rPr>
                    <w:t>1.2</w:t>
                  </w:r>
                </w:p>
              </w:tc>
              <w:tc>
                <w:tcPr>
                  <w:tcW w:w="592" w:type="pct"/>
                  <w:vMerge w:val="restart"/>
                  <w:tcBorders>
                    <w:tl2br w:val="nil"/>
                    <w:tr2bl w:val="nil"/>
                  </w:tcBorders>
                  <w:noWrap w:val="0"/>
                  <w:vAlign w:val="center"/>
                </w:tcPr>
                <w:p w14:paraId="3D8FAB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昼间</w:t>
                  </w:r>
                </w:p>
                <w:p w14:paraId="28CA94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（夜间）</w:t>
                  </w:r>
                </w:p>
              </w:tc>
              <w:tc>
                <w:tcPr>
                  <w:tcW w:w="1149" w:type="dxa"/>
                  <w:tcBorders>
                    <w:tl2br w:val="nil"/>
                    <w:tr2bl w:val="nil"/>
                  </w:tcBorders>
                  <w:noWrap w:val="0"/>
                  <w:vAlign w:val="center"/>
                </w:tcPr>
                <w:p w14:paraId="2B426728">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cs="Arial"/>
                      <w:color w:val="auto"/>
                      <w:sz w:val="20"/>
                      <w:lang w:val="en-US" w:eastAsia="zh-CN"/>
                    </w:rPr>
                    <w:t>41.56</w:t>
                  </w:r>
                </w:p>
              </w:tc>
              <w:tc>
                <w:tcPr>
                  <w:tcW w:w="707" w:type="pct"/>
                  <w:vMerge w:val="restart"/>
                  <w:tcBorders>
                    <w:tl2br w:val="nil"/>
                    <w:tr2bl w:val="nil"/>
                  </w:tcBorders>
                  <w:noWrap w:val="0"/>
                  <w:vAlign w:val="center"/>
                </w:tcPr>
                <w:p w14:paraId="6B6AD29F">
                  <w:pPr>
                    <w:keepNext w:val="0"/>
                    <w:keepLines w:val="0"/>
                    <w:widowControl/>
                    <w:suppressLineNumbers w:val="0"/>
                    <w:adjustRightInd w:val="0"/>
                    <w:snapToGrid w:val="0"/>
                    <w:spacing w:before="0" w:beforeAutospacing="0" w:after="0" w:afterAutospacing="0"/>
                    <w:ind w:left="0" w:leftChars="0" w:right="0" w:rightChars="0"/>
                    <w:jc w:val="center"/>
                    <w:rPr>
                      <w:rFonts w:hint="eastAsia" w:cs="Times New Roman"/>
                      <w:color w:val="auto"/>
                      <w:kern w:val="0"/>
                      <w:sz w:val="21"/>
                      <w:szCs w:val="21"/>
                      <w:lang w:val="en-US" w:eastAsia="zh-CN"/>
                    </w:rPr>
                  </w:pPr>
                  <w:r>
                    <w:rPr>
                      <w:rFonts w:hint="eastAsia" w:cs="Times New Roman"/>
                      <w:color w:val="auto"/>
                      <w:kern w:val="0"/>
                      <w:sz w:val="21"/>
                      <w:szCs w:val="21"/>
                      <w:lang w:val="en-US" w:eastAsia="zh-CN"/>
                    </w:rPr>
                    <w:t>65</w:t>
                  </w:r>
                </w:p>
                <w:p w14:paraId="129B4D6F">
                  <w:pPr>
                    <w:keepNext w:val="0"/>
                    <w:keepLines w:val="0"/>
                    <w:widowControl/>
                    <w:suppressLineNumbers w:val="0"/>
                    <w:adjustRightInd w:val="0"/>
                    <w:snapToGrid w:val="0"/>
                    <w:spacing w:before="0" w:beforeAutospacing="0" w:after="0" w:afterAutospacing="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(55)</w:t>
                  </w:r>
                </w:p>
              </w:tc>
              <w:tc>
                <w:tcPr>
                  <w:tcW w:w="794" w:type="pct"/>
                  <w:tcBorders>
                    <w:tl2br w:val="nil"/>
                    <w:tr2bl w:val="nil"/>
                  </w:tcBorders>
                  <w:noWrap w:val="0"/>
                  <w:vAlign w:val="center"/>
                </w:tcPr>
                <w:p w14:paraId="00262E10">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达标</w:t>
                  </w:r>
                </w:p>
              </w:tc>
            </w:tr>
            <w:tr w14:paraId="29C299ED">
              <w:trPr>
                <w:trHeight w:val="397" w:hRule="atLeast"/>
                <w:jc w:val="center"/>
              </w:trPr>
              <w:tc>
                <w:tcPr>
                  <w:tcW w:w="558" w:type="pct"/>
                  <w:tcBorders>
                    <w:tl2br w:val="nil"/>
                    <w:tr2bl w:val="nil"/>
                  </w:tcBorders>
                  <w:noWrap w:val="0"/>
                  <w:vAlign w:val="center"/>
                </w:tcPr>
                <w:p w14:paraId="22787EC5">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南厂界</w:t>
                  </w:r>
                </w:p>
              </w:tc>
              <w:tc>
                <w:tcPr>
                  <w:tcW w:w="717" w:type="dxa"/>
                  <w:tcBorders>
                    <w:tl2br w:val="nil"/>
                    <w:tr2bl w:val="nil"/>
                  </w:tcBorders>
                  <w:noWrap w:val="0"/>
                  <w:vAlign w:val="center"/>
                </w:tcPr>
                <w:p w14:paraId="5CF1036B">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cs="Arial"/>
                      <w:color w:val="auto"/>
                      <w:sz w:val="20"/>
                      <w:lang w:val="en-US" w:eastAsia="zh-CN"/>
                    </w:rPr>
                    <w:t>55.4</w:t>
                  </w:r>
                </w:p>
              </w:tc>
              <w:tc>
                <w:tcPr>
                  <w:tcW w:w="868" w:type="dxa"/>
                  <w:tcBorders>
                    <w:tl2br w:val="nil"/>
                    <w:tr2bl w:val="nil"/>
                  </w:tcBorders>
                  <w:noWrap w:val="0"/>
                  <w:vAlign w:val="center"/>
                </w:tcPr>
                <w:p w14:paraId="5069CB7D">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kern w:val="0"/>
                      <w:sz w:val="21"/>
                      <w:szCs w:val="21"/>
                      <w:lang w:val="en-US" w:eastAsia="zh-CN"/>
                    </w:rPr>
                  </w:pPr>
                  <w:r>
                    <w:rPr>
                      <w:rFonts w:ascii="Times New Roman" w:hAnsi="Times New Roman" w:eastAsia="宋体" w:cs="Arial"/>
                      <w:color w:val="auto"/>
                      <w:sz w:val="20"/>
                    </w:rPr>
                    <w:t>-1.4</w:t>
                  </w:r>
                </w:p>
              </w:tc>
              <w:tc>
                <w:tcPr>
                  <w:tcW w:w="995" w:type="dxa"/>
                  <w:tcBorders>
                    <w:tl2br w:val="nil"/>
                    <w:tr2bl w:val="nil"/>
                  </w:tcBorders>
                  <w:noWrap w:val="0"/>
                  <w:vAlign w:val="center"/>
                </w:tcPr>
                <w:p w14:paraId="0FF0CB3C">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kern w:val="0"/>
                      <w:sz w:val="21"/>
                      <w:szCs w:val="21"/>
                      <w:lang w:val="en-US" w:eastAsia="zh-CN"/>
                    </w:rPr>
                  </w:pPr>
                  <w:r>
                    <w:rPr>
                      <w:rFonts w:ascii="Times New Roman" w:hAnsi="Times New Roman" w:eastAsia="宋体" w:cs="Arial"/>
                      <w:color w:val="auto"/>
                      <w:sz w:val="20"/>
                    </w:rPr>
                    <w:t>1.2</w:t>
                  </w:r>
                </w:p>
              </w:tc>
              <w:tc>
                <w:tcPr>
                  <w:tcW w:w="592" w:type="pct"/>
                  <w:vMerge w:val="continue"/>
                  <w:tcBorders>
                    <w:tl2br w:val="nil"/>
                    <w:tr2bl w:val="nil"/>
                  </w:tcBorders>
                  <w:noWrap w:val="0"/>
                  <w:vAlign w:val="center"/>
                </w:tcPr>
                <w:p w14:paraId="6697B3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p>
              </w:tc>
              <w:tc>
                <w:tcPr>
                  <w:tcW w:w="1149" w:type="dxa"/>
                  <w:tcBorders>
                    <w:tl2br w:val="nil"/>
                    <w:tr2bl w:val="nil"/>
                  </w:tcBorders>
                  <w:noWrap w:val="0"/>
                  <w:vAlign w:val="center"/>
                </w:tcPr>
                <w:p w14:paraId="7DCB48FA">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cs="Arial"/>
                      <w:color w:val="auto"/>
                      <w:sz w:val="20"/>
                      <w:lang w:val="en-US" w:eastAsia="zh-CN"/>
                    </w:rPr>
                    <w:t>46.14</w:t>
                  </w:r>
                </w:p>
              </w:tc>
              <w:tc>
                <w:tcPr>
                  <w:tcW w:w="707" w:type="pct"/>
                  <w:vMerge w:val="continue"/>
                  <w:tcBorders>
                    <w:tl2br w:val="nil"/>
                    <w:tr2bl w:val="nil"/>
                  </w:tcBorders>
                  <w:noWrap w:val="0"/>
                  <w:vAlign w:val="center"/>
                </w:tcPr>
                <w:p w14:paraId="3008F433">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p>
              </w:tc>
              <w:tc>
                <w:tcPr>
                  <w:tcW w:w="794" w:type="pct"/>
                  <w:tcBorders>
                    <w:tl2br w:val="nil"/>
                    <w:tr2bl w:val="nil"/>
                  </w:tcBorders>
                  <w:noWrap w:val="0"/>
                  <w:vAlign w:val="center"/>
                </w:tcPr>
                <w:p w14:paraId="052E002D">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达标</w:t>
                  </w:r>
                </w:p>
              </w:tc>
            </w:tr>
            <w:tr w14:paraId="05F22BAF">
              <w:trPr>
                <w:trHeight w:val="397" w:hRule="atLeast"/>
                <w:jc w:val="center"/>
              </w:trPr>
              <w:tc>
                <w:tcPr>
                  <w:tcW w:w="558" w:type="pct"/>
                  <w:tcBorders>
                    <w:tl2br w:val="nil"/>
                    <w:tr2bl w:val="nil"/>
                  </w:tcBorders>
                  <w:noWrap w:val="0"/>
                  <w:vAlign w:val="center"/>
                </w:tcPr>
                <w:p w14:paraId="4DBD8766">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西厂界</w:t>
                  </w:r>
                </w:p>
              </w:tc>
              <w:tc>
                <w:tcPr>
                  <w:tcW w:w="717" w:type="dxa"/>
                  <w:tcBorders>
                    <w:tl2br w:val="nil"/>
                    <w:tr2bl w:val="nil"/>
                  </w:tcBorders>
                  <w:noWrap w:val="0"/>
                  <w:vAlign w:val="center"/>
                </w:tcPr>
                <w:p w14:paraId="782216EF">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kern w:val="0"/>
                      <w:sz w:val="21"/>
                      <w:szCs w:val="21"/>
                      <w:lang w:val="en-US" w:eastAsia="zh-CN"/>
                    </w:rPr>
                  </w:pPr>
                  <w:r>
                    <w:rPr>
                      <w:rFonts w:ascii="Times New Roman" w:hAnsi="Times New Roman" w:eastAsia="宋体" w:cs="Arial"/>
                      <w:color w:val="auto"/>
                      <w:sz w:val="20"/>
                    </w:rPr>
                    <w:t>-</w:t>
                  </w:r>
                  <w:r>
                    <w:rPr>
                      <w:rFonts w:hint="eastAsia" w:ascii="Times New Roman" w:hAnsi="Times New Roman" w:cs="Arial"/>
                      <w:color w:val="auto"/>
                      <w:sz w:val="20"/>
                      <w:lang w:val="en-US" w:eastAsia="zh-CN"/>
                    </w:rPr>
                    <w:t>1.6</w:t>
                  </w:r>
                </w:p>
              </w:tc>
              <w:tc>
                <w:tcPr>
                  <w:tcW w:w="868" w:type="dxa"/>
                  <w:tcBorders>
                    <w:tl2br w:val="nil"/>
                    <w:tr2bl w:val="nil"/>
                  </w:tcBorders>
                  <w:noWrap w:val="0"/>
                  <w:vAlign w:val="center"/>
                </w:tcPr>
                <w:p w14:paraId="2B49ADBE">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cs="Arial"/>
                      <w:color w:val="auto"/>
                      <w:sz w:val="20"/>
                      <w:lang w:val="en-US" w:eastAsia="zh-CN"/>
                    </w:rPr>
                    <w:t>41.5</w:t>
                  </w:r>
                </w:p>
              </w:tc>
              <w:tc>
                <w:tcPr>
                  <w:tcW w:w="995" w:type="dxa"/>
                  <w:tcBorders>
                    <w:tl2br w:val="nil"/>
                    <w:tr2bl w:val="nil"/>
                  </w:tcBorders>
                  <w:noWrap w:val="0"/>
                  <w:vAlign w:val="center"/>
                </w:tcPr>
                <w:p w14:paraId="2CC1C8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1.2</w:t>
                  </w:r>
                </w:p>
              </w:tc>
              <w:tc>
                <w:tcPr>
                  <w:tcW w:w="592" w:type="pct"/>
                  <w:vMerge w:val="continue"/>
                  <w:tcBorders>
                    <w:tl2br w:val="nil"/>
                    <w:tr2bl w:val="nil"/>
                  </w:tcBorders>
                  <w:noWrap w:val="0"/>
                  <w:vAlign w:val="center"/>
                </w:tcPr>
                <w:p w14:paraId="2859DF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p>
              </w:tc>
              <w:tc>
                <w:tcPr>
                  <w:tcW w:w="1149" w:type="dxa"/>
                  <w:tcBorders>
                    <w:tl2br w:val="nil"/>
                    <w:tr2bl w:val="nil"/>
                  </w:tcBorders>
                  <w:noWrap w:val="0"/>
                  <w:vAlign w:val="center"/>
                </w:tcPr>
                <w:p w14:paraId="7883C24B">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cs="Arial"/>
                      <w:color w:val="auto"/>
                      <w:sz w:val="20"/>
                      <w:lang w:val="en-US" w:eastAsia="zh-CN"/>
                    </w:rPr>
                    <w:t>45.27</w:t>
                  </w:r>
                </w:p>
              </w:tc>
              <w:tc>
                <w:tcPr>
                  <w:tcW w:w="707" w:type="pct"/>
                  <w:vMerge w:val="continue"/>
                  <w:tcBorders>
                    <w:tl2br w:val="nil"/>
                    <w:tr2bl w:val="nil"/>
                  </w:tcBorders>
                  <w:noWrap w:val="0"/>
                  <w:vAlign w:val="center"/>
                </w:tcPr>
                <w:p w14:paraId="5E1C35D1">
                  <w:pPr>
                    <w:keepNext w:val="0"/>
                    <w:keepLines w:val="0"/>
                    <w:widowControl/>
                    <w:suppressLineNumbers w:val="0"/>
                    <w:adjustRightInd w:val="0"/>
                    <w:snapToGrid w:val="0"/>
                    <w:spacing w:before="0" w:beforeAutospacing="0" w:after="0" w:afterAutospacing="0"/>
                    <w:ind w:left="0" w:leftChars="0" w:right="0" w:rightChars="0"/>
                    <w:jc w:val="center"/>
                    <w:rPr>
                      <w:rFonts w:hint="default" w:cs="Times New Roman"/>
                      <w:color w:val="auto"/>
                      <w:kern w:val="0"/>
                      <w:sz w:val="21"/>
                      <w:szCs w:val="21"/>
                      <w:lang w:val="en-US" w:eastAsia="zh-CN"/>
                    </w:rPr>
                  </w:pPr>
                </w:p>
              </w:tc>
              <w:tc>
                <w:tcPr>
                  <w:tcW w:w="794" w:type="pct"/>
                  <w:tcBorders>
                    <w:tl2br w:val="nil"/>
                    <w:tr2bl w:val="nil"/>
                  </w:tcBorders>
                  <w:noWrap w:val="0"/>
                  <w:vAlign w:val="center"/>
                </w:tcPr>
                <w:p w14:paraId="690A8764">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达标</w:t>
                  </w:r>
                </w:p>
              </w:tc>
            </w:tr>
            <w:tr w14:paraId="219927D7">
              <w:trPr>
                <w:trHeight w:val="397" w:hRule="atLeast"/>
                <w:jc w:val="center"/>
              </w:trPr>
              <w:tc>
                <w:tcPr>
                  <w:tcW w:w="558" w:type="pct"/>
                  <w:tcBorders>
                    <w:tl2br w:val="nil"/>
                    <w:tr2bl w:val="nil"/>
                  </w:tcBorders>
                  <w:noWrap w:val="0"/>
                  <w:vAlign w:val="center"/>
                </w:tcPr>
                <w:p w14:paraId="65DF780A">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北</w:t>
                  </w:r>
                  <w:r>
                    <w:rPr>
                      <w:rFonts w:hint="default" w:ascii="Times New Roman" w:hAnsi="Times New Roman" w:eastAsia="宋体" w:cs="Times New Roman"/>
                      <w:color w:val="auto"/>
                      <w:kern w:val="0"/>
                      <w:sz w:val="21"/>
                      <w:szCs w:val="21"/>
                      <w:lang w:val="en-US" w:eastAsia="zh-CN"/>
                    </w:rPr>
                    <w:t>厂界</w:t>
                  </w:r>
                </w:p>
              </w:tc>
              <w:tc>
                <w:tcPr>
                  <w:tcW w:w="717" w:type="dxa"/>
                  <w:tcBorders>
                    <w:tl2br w:val="nil"/>
                    <w:tr2bl w:val="nil"/>
                  </w:tcBorders>
                  <w:noWrap w:val="0"/>
                  <w:vAlign w:val="center"/>
                </w:tcPr>
                <w:p w14:paraId="08727F40">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cs="Arial"/>
                      <w:color w:val="auto"/>
                      <w:sz w:val="20"/>
                      <w:lang w:val="en-US" w:eastAsia="zh-CN"/>
                    </w:rPr>
                    <w:t>55.3</w:t>
                  </w:r>
                </w:p>
              </w:tc>
              <w:tc>
                <w:tcPr>
                  <w:tcW w:w="868" w:type="dxa"/>
                  <w:tcBorders>
                    <w:tl2br w:val="nil"/>
                    <w:tr2bl w:val="nil"/>
                  </w:tcBorders>
                  <w:noWrap w:val="0"/>
                  <w:vAlign w:val="center"/>
                </w:tcPr>
                <w:p w14:paraId="6F9DAB29">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cs="Arial"/>
                      <w:color w:val="auto"/>
                      <w:sz w:val="20"/>
                      <w:lang w:val="en-US" w:eastAsia="zh-CN"/>
                    </w:rPr>
                    <w:t>112.3</w:t>
                  </w:r>
                </w:p>
              </w:tc>
              <w:tc>
                <w:tcPr>
                  <w:tcW w:w="995" w:type="dxa"/>
                  <w:tcBorders>
                    <w:tl2br w:val="nil"/>
                    <w:tr2bl w:val="nil"/>
                  </w:tcBorders>
                  <w:noWrap w:val="0"/>
                  <w:vAlign w:val="center"/>
                </w:tcPr>
                <w:p w14:paraId="54D388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1.2</w:t>
                  </w:r>
                </w:p>
              </w:tc>
              <w:tc>
                <w:tcPr>
                  <w:tcW w:w="592" w:type="pct"/>
                  <w:vMerge w:val="continue"/>
                  <w:tcBorders>
                    <w:tl2br w:val="nil"/>
                    <w:tr2bl w:val="nil"/>
                  </w:tcBorders>
                  <w:noWrap w:val="0"/>
                  <w:vAlign w:val="center"/>
                </w:tcPr>
                <w:p w14:paraId="1DF248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p>
              </w:tc>
              <w:tc>
                <w:tcPr>
                  <w:tcW w:w="1149" w:type="dxa"/>
                  <w:tcBorders>
                    <w:tl2br w:val="nil"/>
                    <w:tr2bl w:val="nil"/>
                  </w:tcBorders>
                  <w:noWrap w:val="0"/>
                  <w:vAlign w:val="center"/>
                </w:tcPr>
                <w:p w14:paraId="00D1128F">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cs="Arial"/>
                      <w:color w:val="auto"/>
                      <w:sz w:val="20"/>
                      <w:lang w:val="en-US" w:eastAsia="zh-CN"/>
                    </w:rPr>
                    <w:t>43.08</w:t>
                  </w:r>
                </w:p>
              </w:tc>
              <w:tc>
                <w:tcPr>
                  <w:tcW w:w="707" w:type="pct"/>
                  <w:vMerge w:val="continue"/>
                  <w:tcBorders>
                    <w:tl2br w:val="nil"/>
                    <w:tr2bl w:val="nil"/>
                  </w:tcBorders>
                  <w:noWrap w:val="0"/>
                  <w:vAlign w:val="center"/>
                </w:tcPr>
                <w:p w14:paraId="5E826017">
                  <w:pPr>
                    <w:keepNext w:val="0"/>
                    <w:keepLines w:val="0"/>
                    <w:widowControl/>
                    <w:suppressLineNumbers w:val="0"/>
                    <w:adjustRightInd w:val="0"/>
                    <w:snapToGrid w:val="0"/>
                    <w:spacing w:before="0" w:beforeAutospacing="0" w:after="0" w:afterAutospacing="0"/>
                    <w:ind w:left="0" w:leftChars="0" w:right="0" w:rightChars="0"/>
                    <w:jc w:val="center"/>
                    <w:rPr>
                      <w:rFonts w:hint="default" w:cs="Times New Roman"/>
                      <w:color w:val="auto"/>
                      <w:kern w:val="0"/>
                      <w:sz w:val="21"/>
                      <w:szCs w:val="21"/>
                      <w:lang w:val="en-US" w:eastAsia="zh-CN"/>
                    </w:rPr>
                  </w:pPr>
                </w:p>
              </w:tc>
              <w:tc>
                <w:tcPr>
                  <w:tcW w:w="794" w:type="pct"/>
                  <w:tcBorders>
                    <w:tl2br w:val="nil"/>
                    <w:tr2bl w:val="nil"/>
                  </w:tcBorders>
                  <w:noWrap w:val="0"/>
                  <w:vAlign w:val="center"/>
                </w:tcPr>
                <w:p w14:paraId="32274560">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达标</w:t>
                  </w:r>
                </w:p>
              </w:tc>
            </w:tr>
          </w:tbl>
          <w:p w14:paraId="678CF0B5">
            <w:pPr>
              <w:keepNext w:val="0"/>
              <w:keepLines w:val="0"/>
              <w:pageBreakBefore w:val="0"/>
              <w:widowControl w:val="0"/>
              <w:kinsoku/>
              <w:wordWrap/>
              <w:overflowPunct/>
              <w:topLinePunct w:val="0"/>
              <w:bidi w:val="0"/>
              <w:snapToGrid/>
              <w:spacing w:line="360" w:lineRule="auto"/>
              <w:ind w:firstLine="480" w:firstLineChars="200"/>
              <w:textAlignment w:val="auto"/>
              <w:rPr>
                <w:snapToGrid w:val="0"/>
                <w:color w:val="auto"/>
                <w:sz w:val="24"/>
              </w:rPr>
            </w:pPr>
            <w:r>
              <w:rPr>
                <w:rFonts w:hint="eastAsia"/>
                <w:snapToGrid w:val="0"/>
                <w:color w:val="auto"/>
                <w:sz w:val="24"/>
              </w:rPr>
              <w:t>由</w:t>
            </w:r>
            <w:r>
              <w:rPr>
                <w:snapToGrid w:val="0"/>
                <w:color w:val="auto"/>
                <w:sz w:val="24"/>
              </w:rPr>
              <w:t>上表预测结果</w:t>
            </w:r>
            <w:r>
              <w:rPr>
                <w:rFonts w:hint="eastAsia"/>
                <w:snapToGrid w:val="0"/>
                <w:color w:val="auto"/>
                <w:sz w:val="24"/>
              </w:rPr>
              <w:t>可知，本</w:t>
            </w:r>
            <w:r>
              <w:rPr>
                <w:snapToGrid w:val="0"/>
                <w:color w:val="auto"/>
                <w:sz w:val="24"/>
              </w:rPr>
              <w:t>项目厂界四周</w:t>
            </w:r>
            <w:r>
              <w:rPr>
                <w:rFonts w:hint="eastAsia"/>
                <w:snapToGrid w:val="0"/>
                <w:color w:val="auto"/>
                <w:sz w:val="24"/>
              </w:rPr>
              <w:t>昼</w:t>
            </w:r>
            <w:r>
              <w:rPr>
                <w:rFonts w:hint="eastAsia"/>
                <w:snapToGrid w:val="0"/>
                <w:color w:val="auto"/>
                <w:sz w:val="24"/>
                <w:lang w:val="en-US" w:eastAsia="zh-CN"/>
              </w:rPr>
              <w:t>夜</w:t>
            </w:r>
            <w:r>
              <w:rPr>
                <w:rFonts w:hint="eastAsia"/>
                <w:snapToGrid w:val="0"/>
                <w:color w:val="auto"/>
                <w:sz w:val="24"/>
              </w:rPr>
              <w:t>间噪声</w:t>
            </w:r>
            <w:r>
              <w:rPr>
                <w:snapToGrid w:val="0"/>
                <w:color w:val="auto"/>
                <w:sz w:val="24"/>
              </w:rPr>
              <w:t>能够满足</w:t>
            </w:r>
            <w:r>
              <w:rPr>
                <w:rFonts w:hint="eastAsia"/>
                <w:color w:val="auto"/>
                <w:sz w:val="24"/>
              </w:rPr>
              <w:t>《工业企业厂界环境噪声排放标准》（GB12348-2008）中的</w:t>
            </w:r>
            <w:r>
              <w:rPr>
                <w:rFonts w:hint="eastAsia"/>
                <w:color w:val="auto"/>
                <w:sz w:val="24"/>
                <w:lang w:val="en-US" w:eastAsia="zh-CN"/>
              </w:rPr>
              <w:t>3类</w:t>
            </w:r>
            <w:r>
              <w:rPr>
                <w:rFonts w:hint="eastAsia"/>
                <w:color w:val="auto"/>
                <w:sz w:val="24"/>
              </w:rPr>
              <w:t>标准</w:t>
            </w:r>
            <w:r>
              <w:rPr>
                <w:snapToGrid w:val="0"/>
                <w:color w:val="auto"/>
                <w:sz w:val="24"/>
              </w:rPr>
              <w:t>要求</w:t>
            </w:r>
            <w:r>
              <w:rPr>
                <w:rFonts w:hint="eastAsia"/>
                <w:snapToGrid w:val="0"/>
                <w:color w:val="auto"/>
                <w:sz w:val="24"/>
              </w:rPr>
              <w:t>，</w:t>
            </w:r>
            <w:r>
              <w:rPr>
                <w:snapToGrid w:val="0"/>
                <w:color w:val="auto"/>
                <w:sz w:val="24"/>
              </w:rPr>
              <w:t>因此</w:t>
            </w:r>
            <w:r>
              <w:rPr>
                <w:rFonts w:hint="eastAsia"/>
                <w:snapToGrid w:val="0"/>
                <w:color w:val="auto"/>
                <w:sz w:val="24"/>
              </w:rPr>
              <w:t>，</w:t>
            </w:r>
            <w:r>
              <w:rPr>
                <w:snapToGrid w:val="0"/>
                <w:color w:val="auto"/>
                <w:sz w:val="24"/>
              </w:rPr>
              <w:t>本项目对周围声环境影响不大。</w:t>
            </w:r>
          </w:p>
          <w:p w14:paraId="37610A6A">
            <w:pPr>
              <w:pStyle w:val="17"/>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ascii="Times New Roman" w:hAnsi="Times New Roman" w:cs="Times New Roman"/>
                <w:b w:val="0"/>
                <w:color w:val="auto"/>
              </w:rPr>
            </w:pPr>
            <w:r>
              <w:rPr>
                <w:rFonts w:hint="eastAsia" w:ascii="Times New Roman" w:hAnsi="Times New Roman" w:cs="Times New Roman"/>
                <w:b w:val="0"/>
                <w:color w:val="auto"/>
                <w:lang w:val="en-US" w:eastAsia="zh-CN"/>
              </w:rPr>
              <w:t>3.</w:t>
            </w:r>
            <w:r>
              <w:rPr>
                <w:rFonts w:hint="eastAsia" w:ascii="Times New Roman" w:hAnsi="Times New Roman" w:cs="Times New Roman"/>
                <w:b w:val="0"/>
                <w:color w:val="auto"/>
              </w:rPr>
              <w:t>噪声</w:t>
            </w:r>
            <w:r>
              <w:rPr>
                <w:rFonts w:ascii="Times New Roman" w:hAnsi="Times New Roman" w:cs="Times New Roman"/>
                <w:b w:val="0"/>
                <w:color w:val="auto"/>
              </w:rPr>
              <w:t>监测要求</w:t>
            </w:r>
          </w:p>
          <w:p w14:paraId="00BDD2B3">
            <w:pPr>
              <w:pStyle w:val="17"/>
              <w:keepNext w:val="0"/>
              <w:keepLines w:val="0"/>
              <w:pageBreakBefore w:val="0"/>
              <w:widowControl w:val="0"/>
              <w:kinsoku/>
              <w:wordWrap/>
              <w:overflowPunct/>
              <w:topLinePunct w:val="0"/>
              <w:autoSpaceDE w:val="0"/>
              <w:autoSpaceDN w:val="0"/>
              <w:bidi w:val="0"/>
              <w:adjustRightInd w:val="0"/>
              <w:spacing w:line="360" w:lineRule="auto"/>
              <w:ind w:firstLine="480"/>
              <w:textAlignment w:val="auto"/>
              <w:rPr>
                <w:rFonts w:ascii="Times New Roman" w:hAnsi="Times New Roman" w:cs="Times New Roman"/>
                <w:b w:val="0"/>
                <w:bCs/>
                <w:color w:val="auto"/>
              </w:rPr>
            </w:pPr>
            <w:r>
              <w:rPr>
                <w:rFonts w:hint="eastAsia" w:ascii="Times New Roman" w:hAnsi="Times New Roman"/>
                <w:b w:val="0"/>
                <w:bCs/>
                <w:color w:val="auto"/>
              </w:rPr>
              <w:t>根据《排污单位自行监测技术指南总则》</w:t>
            </w:r>
            <w:r>
              <w:rPr>
                <w:rFonts w:hint="default" w:ascii="Times New Roman" w:hAnsi="Times New Roman" w:cs="Times New Roman"/>
                <w:b w:val="0"/>
                <w:bCs w:val="0"/>
                <w:color w:val="auto"/>
                <w:lang w:eastAsia="zh-CN"/>
              </w:rPr>
              <w:t>（HJ819-2017）</w:t>
            </w:r>
            <w:r>
              <w:rPr>
                <w:rFonts w:ascii="Times New Roman" w:hAnsi="Times New Roman" w:cs="Times New Roman"/>
                <w:b w:val="0"/>
                <w:bCs/>
                <w:color w:val="auto"/>
              </w:rPr>
              <w:t>中相</w:t>
            </w:r>
            <w:r>
              <w:rPr>
                <w:rFonts w:hint="eastAsia" w:ascii="Times New Roman" w:hAnsi="Times New Roman"/>
                <w:b w:val="0"/>
                <w:bCs/>
                <w:color w:val="auto"/>
              </w:rPr>
              <w:t>关规定，</w:t>
            </w:r>
            <w:r>
              <w:rPr>
                <w:rFonts w:hint="eastAsia" w:ascii="Times New Roman" w:hAnsi="Times New Roman"/>
                <w:b w:val="0"/>
                <w:bCs/>
                <w:color w:val="auto"/>
                <w:lang w:eastAsia="zh-CN"/>
              </w:rPr>
              <w:t>项目</w:t>
            </w:r>
            <w:r>
              <w:rPr>
                <w:rFonts w:hint="eastAsia" w:ascii="Times New Roman" w:hAnsi="Times New Roman"/>
                <w:b w:val="0"/>
                <w:bCs/>
                <w:color w:val="auto"/>
              </w:rPr>
              <w:t>营运期噪声应进行常规自行监测，噪声监测要求如</w:t>
            </w:r>
            <w:r>
              <w:rPr>
                <w:rFonts w:ascii="Times New Roman" w:hAnsi="Times New Roman" w:cs="Times New Roman"/>
                <w:b w:val="0"/>
                <w:bCs/>
                <w:color w:val="auto"/>
              </w:rPr>
              <w:t>下表。</w:t>
            </w:r>
          </w:p>
          <w:p w14:paraId="2926B56E">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b/>
                <w:bCs/>
                <w:color w:val="auto"/>
                <w:sz w:val="21"/>
                <w:szCs w:val="21"/>
              </w:rPr>
            </w:pPr>
            <w:r>
              <w:rPr>
                <w:rFonts w:hint="eastAsia"/>
                <w:b/>
                <w:bCs/>
                <w:color w:val="auto"/>
                <w:sz w:val="21"/>
                <w:szCs w:val="21"/>
              </w:rPr>
              <w:t>表4-</w:t>
            </w:r>
            <w:r>
              <w:rPr>
                <w:rFonts w:hint="eastAsia"/>
                <w:b/>
                <w:bCs/>
                <w:color w:val="auto"/>
                <w:sz w:val="21"/>
                <w:szCs w:val="21"/>
                <w:lang w:val="en-US" w:eastAsia="zh-CN"/>
              </w:rPr>
              <w:t xml:space="preserve">22  </w:t>
            </w:r>
            <w:r>
              <w:rPr>
                <w:rFonts w:hint="eastAsia"/>
                <w:b/>
                <w:bCs/>
                <w:color w:val="auto"/>
                <w:sz w:val="21"/>
                <w:szCs w:val="21"/>
              </w:rPr>
              <w:t>项目噪声监测要求一览表</w:t>
            </w:r>
          </w:p>
          <w:tbl>
            <w:tblPr>
              <w:tblStyle w:val="2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1365"/>
              <w:gridCol w:w="1828"/>
              <w:gridCol w:w="1680"/>
              <w:gridCol w:w="2339"/>
            </w:tblGrid>
            <w:tr w14:paraId="547B16FE">
              <w:trPr>
                <w:trHeight w:val="397" w:hRule="exact"/>
                <w:jc w:val="center"/>
              </w:trPr>
              <w:tc>
                <w:tcPr>
                  <w:tcW w:w="738" w:type="dxa"/>
                  <w:noWrap w:val="0"/>
                  <w:vAlign w:val="center"/>
                </w:tcPr>
                <w:p w14:paraId="2340401E">
                  <w:pPr>
                    <w:pStyle w:val="16"/>
                    <w:spacing w:after="0"/>
                    <w:ind w:left="0" w:leftChars="0" w:firstLine="0" w:firstLineChars="0"/>
                    <w:jc w:val="center"/>
                    <w:rPr>
                      <w:color w:val="auto"/>
                      <w:sz w:val="21"/>
                      <w:szCs w:val="21"/>
                    </w:rPr>
                  </w:pPr>
                  <w:r>
                    <w:rPr>
                      <w:rFonts w:hint="eastAsia"/>
                      <w:color w:val="auto"/>
                      <w:sz w:val="21"/>
                      <w:szCs w:val="21"/>
                    </w:rPr>
                    <w:t>序号</w:t>
                  </w:r>
                </w:p>
              </w:tc>
              <w:tc>
                <w:tcPr>
                  <w:tcW w:w="1377" w:type="dxa"/>
                  <w:noWrap w:val="0"/>
                  <w:vAlign w:val="center"/>
                </w:tcPr>
                <w:p w14:paraId="798074E2">
                  <w:pPr>
                    <w:pStyle w:val="16"/>
                    <w:spacing w:after="0"/>
                    <w:ind w:left="0" w:leftChars="0" w:firstLine="0" w:firstLineChars="0"/>
                    <w:jc w:val="center"/>
                    <w:rPr>
                      <w:color w:val="auto"/>
                      <w:sz w:val="21"/>
                      <w:szCs w:val="21"/>
                    </w:rPr>
                  </w:pPr>
                  <w:r>
                    <w:rPr>
                      <w:rFonts w:hint="eastAsia"/>
                      <w:color w:val="auto"/>
                      <w:sz w:val="21"/>
                      <w:szCs w:val="21"/>
                    </w:rPr>
                    <w:t>监测点位</w:t>
                  </w:r>
                </w:p>
              </w:tc>
              <w:tc>
                <w:tcPr>
                  <w:tcW w:w="1845" w:type="dxa"/>
                  <w:noWrap w:val="0"/>
                  <w:vAlign w:val="center"/>
                </w:tcPr>
                <w:p w14:paraId="326FF171">
                  <w:pPr>
                    <w:pStyle w:val="16"/>
                    <w:spacing w:after="0"/>
                    <w:ind w:left="0" w:leftChars="0" w:firstLine="0" w:firstLineChars="0"/>
                    <w:jc w:val="center"/>
                    <w:rPr>
                      <w:color w:val="auto"/>
                      <w:sz w:val="21"/>
                      <w:szCs w:val="21"/>
                    </w:rPr>
                  </w:pPr>
                  <w:r>
                    <w:rPr>
                      <w:rFonts w:hint="eastAsia"/>
                      <w:color w:val="auto"/>
                      <w:sz w:val="21"/>
                      <w:szCs w:val="21"/>
                    </w:rPr>
                    <w:t>监测因子</w:t>
                  </w:r>
                </w:p>
              </w:tc>
              <w:tc>
                <w:tcPr>
                  <w:tcW w:w="1695" w:type="dxa"/>
                  <w:noWrap w:val="0"/>
                  <w:vAlign w:val="center"/>
                </w:tcPr>
                <w:p w14:paraId="39C6FFBA">
                  <w:pPr>
                    <w:pStyle w:val="16"/>
                    <w:spacing w:after="0"/>
                    <w:ind w:left="0" w:leftChars="0" w:firstLine="0" w:firstLineChars="0"/>
                    <w:jc w:val="center"/>
                    <w:rPr>
                      <w:color w:val="auto"/>
                      <w:sz w:val="21"/>
                      <w:szCs w:val="21"/>
                    </w:rPr>
                  </w:pPr>
                  <w:r>
                    <w:rPr>
                      <w:rFonts w:hint="eastAsia"/>
                      <w:color w:val="auto"/>
                      <w:sz w:val="21"/>
                      <w:szCs w:val="21"/>
                    </w:rPr>
                    <w:t>监测频次</w:t>
                  </w:r>
                </w:p>
              </w:tc>
              <w:tc>
                <w:tcPr>
                  <w:tcW w:w="2349" w:type="dxa"/>
                  <w:noWrap w:val="0"/>
                  <w:vAlign w:val="center"/>
                </w:tcPr>
                <w:p w14:paraId="477BFD49">
                  <w:pPr>
                    <w:pStyle w:val="16"/>
                    <w:spacing w:after="0"/>
                    <w:ind w:left="0" w:leftChars="0" w:firstLine="0" w:firstLineChars="0"/>
                    <w:jc w:val="center"/>
                    <w:rPr>
                      <w:color w:val="auto"/>
                      <w:sz w:val="21"/>
                      <w:szCs w:val="21"/>
                    </w:rPr>
                  </w:pPr>
                  <w:r>
                    <w:rPr>
                      <w:rFonts w:hint="eastAsia"/>
                      <w:color w:val="auto"/>
                      <w:sz w:val="21"/>
                      <w:szCs w:val="21"/>
                    </w:rPr>
                    <w:t>执行标准</w:t>
                  </w:r>
                </w:p>
              </w:tc>
            </w:tr>
            <w:tr w14:paraId="7769CF97">
              <w:trPr>
                <w:trHeight w:val="397" w:hRule="exact"/>
                <w:jc w:val="center"/>
              </w:trPr>
              <w:tc>
                <w:tcPr>
                  <w:tcW w:w="738" w:type="dxa"/>
                  <w:noWrap w:val="0"/>
                  <w:vAlign w:val="center"/>
                </w:tcPr>
                <w:p w14:paraId="7949D050">
                  <w:pPr>
                    <w:pStyle w:val="16"/>
                    <w:spacing w:after="0"/>
                    <w:ind w:left="0" w:leftChars="0" w:firstLine="0" w:firstLineChars="0"/>
                    <w:jc w:val="center"/>
                    <w:rPr>
                      <w:color w:val="auto"/>
                      <w:sz w:val="21"/>
                      <w:szCs w:val="21"/>
                    </w:rPr>
                  </w:pPr>
                  <w:r>
                    <w:rPr>
                      <w:rFonts w:hint="eastAsia"/>
                      <w:color w:val="auto"/>
                      <w:sz w:val="21"/>
                      <w:szCs w:val="21"/>
                    </w:rPr>
                    <w:t>1</w:t>
                  </w:r>
                </w:p>
              </w:tc>
              <w:tc>
                <w:tcPr>
                  <w:tcW w:w="1377" w:type="dxa"/>
                  <w:noWrap w:val="0"/>
                  <w:vAlign w:val="center"/>
                </w:tcPr>
                <w:p w14:paraId="71083B84">
                  <w:pPr>
                    <w:pStyle w:val="16"/>
                    <w:spacing w:after="0"/>
                    <w:ind w:left="0" w:leftChars="0" w:firstLine="0" w:firstLineChars="0"/>
                    <w:jc w:val="center"/>
                    <w:rPr>
                      <w:color w:val="auto"/>
                      <w:sz w:val="21"/>
                      <w:szCs w:val="21"/>
                    </w:rPr>
                  </w:pPr>
                  <w:r>
                    <w:rPr>
                      <w:rFonts w:hint="eastAsia"/>
                      <w:color w:val="auto"/>
                      <w:sz w:val="21"/>
                      <w:szCs w:val="21"/>
                    </w:rPr>
                    <w:t>四周厂界</w:t>
                  </w:r>
                </w:p>
              </w:tc>
              <w:tc>
                <w:tcPr>
                  <w:tcW w:w="1845" w:type="dxa"/>
                  <w:noWrap w:val="0"/>
                  <w:vAlign w:val="center"/>
                </w:tcPr>
                <w:p w14:paraId="3676C920">
                  <w:pPr>
                    <w:jc w:val="center"/>
                    <w:rPr>
                      <w:color w:val="auto"/>
                      <w:szCs w:val="21"/>
                    </w:rPr>
                  </w:pPr>
                  <w:r>
                    <w:rPr>
                      <w:color w:val="auto"/>
                      <w:szCs w:val="21"/>
                    </w:rPr>
                    <w:t>等效连续A声级</w:t>
                  </w:r>
                </w:p>
              </w:tc>
              <w:tc>
                <w:tcPr>
                  <w:tcW w:w="1695" w:type="dxa"/>
                  <w:noWrap w:val="0"/>
                  <w:vAlign w:val="center"/>
                </w:tcPr>
                <w:p w14:paraId="3BD1D851">
                  <w:pPr>
                    <w:jc w:val="center"/>
                    <w:rPr>
                      <w:color w:val="auto"/>
                      <w:szCs w:val="21"/>
                    </w:rPr>
                  </w:pPr>
                  <w:r>
                    <w:rPr>
                      <w:color w:val="auto"/>
                      <w:szCs w:val="21"/>
                    </w:rPr>
                    <w:t>1次/季度</w:t>
                  </w:r>
                </w:p>
              </w:tc>
              <w:tc>
                <w:tcPr>
                  <w:tcW w:w="2349" w:type="dxa"/>
                  <w:noWrap w:val="0"/>
                  <w:vAlign w:val="center"/>
                </w:tcPr>
                <w:p w14:paraId="14D02E16">
                  <w:pPr>
                    <w:jc w:val="center"/>
                    <w:rPr>
                      <w:color w:val="auto"/>
                      <w:szCs w:val="21"/>
                    </w:rPr>
                  </w:pPr>
                  <w:r>
                    <w:rPr>
                      <w:color w:val="auto"/>
                      <w:szCs w:val="21"/>
                    </w:rPr>
                    <w:t>GB12348-2008</w:t>
                  </w:r>
                </w:p>
              </w:tc>
            </w:tr>
          </w:tbl>
          <w:p w14:paraId="1E5C1FDF">
            <w:pPr>
              <w:pStyle w:val="17"/>
              <w:keepNext w:val="0"/>
              <w:keepLines w:val="0"/>
              <w:pageBreakBefore w:val="0"/>
              <w:kinsoku/>
              <w:wordWrap/>
              <w:overflowPunct/>
              <w:topLinePunct w:val="0"/>
              <w:bidi w:val="0"/>
              <w:spacing w:line="360" w:lineRule="auto"/>
              <w:rPr>
                <w:rFonts w:ascii="Times New Roman" w:hAnsi="Times New Roman" w:eastAsia="宋体"/>
                <w:color w:val="auto"/>
                <w:sz w:val="24"/>
              </w:rPr>
            </w:pPr>
            <w:r>
              <w:rPr>
                <w:rFonts w:hint="eastAsia" w:ascii="Times New Roman" w:hAnsi="Times New Roman" w:eastAsia="宋体"/>
                <w:bCs/>
                <w:color w:val="auto"/>
                <w:spacing w:val="-10"/>
                <w:sz w:val="24"/>
                <w:szCs w:val="21"/>
              </w:rPr>
              <w:t>四、固体废物</w:t>
            </w:r>
          </w:p>
          <w:p w14:paraId="46EC8371">
            <w:pPr>
              <w:pStyle w:val="16"/>
              <w:keepNext w:val="0"/>
              <w:keepLines w:val="0"/>
              <w:pageBreakBefore w:val="0"/>
              <w:kinsoku/>
              <w:wordWrap/>
              <w:overflowPunct/>
              <w:topLinePunct w:val="0"/>
              <w:bidi w:val="0"/>
              <w:spacing w:after="0" w:line="360" w:lineRule="auto"/>
              <w:ind w:left="0" w:leftChars="0" w:firstLine="480"/>
              <w:textAlignment w:val="auto"/>
              <w:rPr>
                <w:rFonts w:hint="eastAsia" w:ascii="Times New Roman" w:hAnsi="Times New Roman" w:eastAsia="宋体"/>
                <w:color w:val="auto"/>
                <w:sz w:val="24"/>
              </w:rPr>
            </w:pPr>
            <w:r>
              <w:rPr>
                <w:rFonts w:hint="eastAsia" w:ascii="Times New Roman" w:hAnsi="Times New Roman" w:eastAsia="宋体"/>
                <w:color w:val="auto"/>
                <w:sz w:val="24"/>
              </w:rPr>
              <w:t>本项目运营期产生的固体废物主要为</w:t>
            </w:r>
            <w:r>
              <w:rPr>
                <w:rFonts w:hint="eastAsia"/>
                <w:color w:val="auto"/>
                <w:sz w:val="24"/>
                <w:lang w:val="en-US" w:eastAsia="zh-CN"/>
              </w:rPr>
              <w:t>一般包装材料</w:t>
            </w:r>
            <w:r>
              <w:rPr>
                <w:rFonts w:hint="eastAsia" w:ascii="Times New Roman" w:hAnsi="Times New Roman" w:eastAsia="宋体"/>
                <w:color w:val="auto"/>
                <w:sz w:val="24"/>
                <w:lang w:val="en-US" w:eastAsia="zh-CN"/>
              </w:rPr>
              <w:t>、</w:t>
            </w:r>
            <w:r>
              <w:rPr>
                <w:rFonts w:hint="eastAsia"/>
                <w:color w:val="auto"/>
                <w:sz w:val="24"/>
                <w:lang w:val="en-US" w:eastAsia="zh-CN"/>
              </w:rPr>
              <w:t>废滤渣、茶叶渣</w:t>
            </w:r>
            <w:r>
              <w:rPr>
                <w:rFonts w:hint="eastAsia" w:ascii="Times New Roman" w:hAnsi="Times New Roman" w:eastAsia="宋体"/>
                <w:color w:val="auto"/>
                <w:sz w:val="24"/>
                <w:lang w:val="en-US" w:eastAsia="zh-CN"/>
              </w:rPr>
              <w:t>、</w:t>
            </w:r>
            <w:r>
              <w:rPr>
                <w:rFonts w:hint="eastAsia" w:ascii="Times New Roman" w:hAnsi="Times New Roman" w:eastAsia="宋体"/>
                <w:color w:val="auto"/>
                <w:sz w:val="24"/>
                <w:lang w:eastAsia="zh-CN"/>
              </w:rPr>
              <w:t>废</w:t>
            </w:r>
            <w:r>
              <w:rPr>
                <w:rFonts w:hint="eastAsia"/>
                <w:color w:val="auto"/>
                <w:sz w:val="24"/>
                <w:lang w:val="en-US" w:eastAsia="zh-CN"/>
              </w:rPr>
              <w:t>石英砂、活性炭和滤膜</w:t>
            </w:r>
            <w:r>
              <w:rPr>
                <w:rFonts w:hint="eastAsia" w:ascii="Times New Roman" w:hAnsi="Times New Roman" w:eastAsia="宋体"/>
                <w:color w:val="auto"/>
                <w:sz w:val="24"/>
                <w:lang w:val="en-US" w:eastAsia="zh-CN"/>
              </w:rPr>
              <w:t>、</w:t>
            </w:r>
            <w:r>
              <w:rPr>
                <w:rFonts w:hint="eastAsia"/>
                <w:color w:val="auto"/>
                <w:sz w:val="24"/>
                <w:lang w:val="en-US" w:eastAsia="zh-CN"/>
              </w:rPr>
              <w:t>污水处理站污泥、</w:t>
            </w:r>
            <w:r>
              <w:rPr>
                <w:rFonts w:hint="eastAsia" w:ascii="Times New Roman" w:hAnsi="Times New Roman" w:eastAsia="宋体"/>
                <w:color w:val="auto"/>
                <w:sz w:val="24"/>
              </w:rPr>
              <w:t>废活性炭、</w:t>
            </w:r>
            <w:r>
              <w:rPr>
                <w:rFonts w:hint="eastAsia" w:ascii="Times New Roman" w:hAnsi="Times New Roman"/>
                <w:color w:val="auto"/>
                <w:sz w:val="24"/>
                <w:lang w:val="en-US" w:eastAsia="zh-CN"/>
              </w:rPr>
              <w:t>废包装桶、</w:t>
            </w:r>
            <w:r>
              <w:rPr>
                <w:rFonts w:hint="eastAsia"/>
                <w:color w:val="auto"/>
                <w:sz w:val="24"/>
                <w:lang w:val="en-US" w:eastAsia="zh-CN"/>
              </w:rPr>
              <w:t>废润滑油、</w:t>
            </w:r>
            <w:r>
              <w:rPr>
                <w:rFonts w:hint="eastAsia" w:ascii="Times New Roman" w:hAnsi="Times New Roman" w:eastAsia="宋体" w:cs="宋体"/>
                <w:b w:val="0"/>
                <w:bCs/>
                <w:color w:val="auto"/>
                <w:sz w:val="24"/>
                <w:lang w:val="en-US" w:eastAsia="zh-CN"/>
              </w:rPr>
              <w:t>废劳保用品</w:t>
            </w:r>
            <w:r>
              <w:rPr>
                <w:rFonts w:hint="eastAsia" w:cs="宋体"/>
                <w:b w:val="0"/>
                <w:bCs/>
                <w:color w:val="auto"/>
                <w:sz w:val="24"/>
                <w:lang w:val="en-US" w:eastAsia="zh-CN"/>
              </w:rPr>
              <w:t>、化学品包装材料</w:t>
            </w:r>
            <w:r>
              <w:rPr>
                <w:rFonts w:hint="eastAsia" w:ascii="Times New Roman" w:hAnsi="Times New Roman" w:eastAsia="宋体"/>
                <w:color w:val="auto"/>
                <w:sz w:val="24"/>
                <w:lang w:val="en-US" w:eastAsia="zh-CN"/>
              </w:rPr>
              <w:t>和员工</w:t>
            </w:r>
            <w:r>
              <w:rPr>
                <w:rFonts w:hint="eastAsia" w:ascii="Times New Roman" w:hAnsi="Times New Roman" w:eastAsia="宋体"/>
                <w:color w:val="auto"/>
                <w:sz w:val="24"/>
              </w:rPr>
              <w:t>生活垃圾。</w:t>
            </w:r>
          </w:p>
          <w:p w14:paraId="3ED218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olor w:val="auto"/>
                <w:sz w:val="24"/>
                <w:lang w:val="en-US" w:eastAsia="zh-CN"/>
              </w:rPr>
            </w:pPr>
            <w:r>
              <w:rPr>
                <w:rFonts w:hint="eastAsia" w:ascii="Times New Roman" w:hAnsi="Times New Roman" w:eastAsia="宋体"/>
                <w:color w:val="auto"/>
                <w:sz w:val="24"/>
              </w:rPr>
              <w:t>（1）</w:t>
            </w:r>
            <w:r>
              <w:rPr>
                <w:rFonts w:hint="eastAsia" w:ascii="Times New Roman" w:hAnsi="Times New Roman" w:eastAsia="宋体"/>
                <w:color w:val="auto"/>
                <w:sz w:val="24"/>
                <w:lang w:val="en-US" w:eastAsia="zh-CN"/>
              </w:rPr>
              <w:t>废包装材料</w:t>
            </w:r>
          </w:p>
          <w:p w14:paraId="566306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olor w:val="auto"/>
                <w:sz w:val="24"/>
                <w:lang w:eastAsia="zh-CN"/>
              </w:rPr>
            </w:pPr>
            <w:r>
              <w:rPr>
                <w:rFonts w:ascii="Times New Roman" w:hAnsi="Times New Roman" w:eastAsia="宋体"/>
                <w:color w:val="auto"/>
                <w:sz w:val="24"/>
              </w:rPr>
              <w:t>项目生产过程中产生的一般包装材料主要为</w:t>
            </w:r>
            <w:r>
              <w:rPr>
                <w:rFonts w:hint="eastAsia" w:ascii="Times New Roman" w:hAnsi="Times New Roman" w:eastAsia="宋体"/>
                <w:color w:val="auto"/>
                <w:sz w:val="24"/>
                <w:lang w:val="en-US" w:eastAsia="zh-CN"/>
              </w:rPr>
              <w:t>原辅料的包装</w:t>
            </w:r>
            <w:r>
              <w:rPr>
                <w:rFonts w:ascii="Times New Roman" w:hAnsi="Times New Roman" w:eastAsia="宋体"/>
                <w:color w:val="auto"/>
                <w:sz w:val="24"/>
              </w:rPr>
              <w:t>等</w:t>
            </w:r>
            <w:r>
              <w:rPr>
                <w:rFonts w:hint="eastAsia" w:ascii="Times New Roman" w:hAnsi="Times New Roman" w:eastAsia="宋体"/>
                <w:color w:val="auto"/>
                <w:sz w:val="24"/>
                <w:lang w:val="en-US" w:eastAsia="zh-CN"/>
              </w:rPr>
              <w:t>，</w:t>
            </w:r>
            <w:r>
              <w:rPr>
                <w:rFonts w:hint="eastAsia" w:ascii="Times New Roman" w:hAnsi="Times New Roman" w:eastAsia="宋体" w:cs="Times New Roman"/>
                <w:color w:val="auto"/>
                <w:kern w:val="0"/>
                <w:sz w:val="24"/>
                <w:szCs w:val="20"/>
                <w:lang w:val="en-US" w:eastAsia="zh-CN" w:bidi="ar-SA"/>
              </w:rPr>
              <w:t>产生废包装材料量</w:t>
            </w:r>
            <w:r>
              <w:rPr>
                <w:rFonts w:hint="eastAsia" w:cs="Times New Roman"/>
                <w:color w:val="auto"/>
                <w:kern w:val="0"/>
                <w:sz w:val="24"/>
                <w:szCs w:val="20"/>
                <w:lang w:val="en-US" w:eastAsia="zh-CN" w:bidi="ar-SA"/>
              </w:rPr>
              <w:t>约</w:t>
            </w:r>
            <w:r>
              <w:rPr>
                <w:rFonts w:hint="eastAsia" w:ascii="Times New Roman" w:hAnsi="Times New Roman" w:eastAsia="宋体" w:cs="Times New Roman"/>
                <w:color w:val="auto"/>
                <w:kern w:val="0"/>
                <w:sz w:val="24"/>
                <w:szCs w:val="20"/>
                <w:lang w:val="en-US" w:eastAsia="zh-CN" w:bidi="ar-SA"/>
              </w:rPr>
              <w:t>为</w:t>
            </w:r>
            <w:r>
              <w:rPr>
                <w:rFonts w:hint="eastAsia" w:cs="Times New Roman"/>
                <w:color w:val="auto"/>
                <w:kern w:val="0"/>
                <w:sz w:val="24"/>
                <w:szCs w:val="20"/>
                <w:lang w:val="en-US" w:eastAsia="zh-CN" w:bidi="ar-SA"/>
              </w:rPr>
              <w:t>20</w:t>
            </w:r>
            <w:r>
              <w:rPr>
                <w:rFonts w:hint="eastAsia" w:ascii="Times New Roman" w:hAnsi="Times New Roman" w:eastAsia="宋体" w:cs="Times New Roman"/>
                <w:color w:val="auto"/>
                <w:kern w:val="0"/>
                <w:sz w:val="24"/>
                <w:szCs w:val="20"/>
                <w:lang w:val="en-US" w:eastAsia="zh-CN" w:bidi="ar-SA"/>
              </w:rPr>
              <w:t>t/a</w:t>
            </w:r>
            <w:r>
              <w:rPr>
                <w:rFonts w:hint="eastAsia" w:ascii="Times New Roman" w:hAnsi="Times New Roman" w:eastAsia="宋体"/>
                <w:color w:val="auto"/>
                <w:sz w:val="24"/>
                <w:lang w:eastAsia="zh-CN"/>
              </w:rPr>
              <w:t>，</w:t>
            </w:r>
            <w:r>
              <w:rPr>
                <w:rFonts w:hint="eastAsia" w:ascii="Times New Roman" w:hAnsi="Times New Roman" w:eastAsia="宋体"/>
                <w:color w:val="auto"/>
                <w:sz w:val="24"/>
              </w:rPr>
              <w:t>属于一般工业固废</w:t>
            </w:r>
            <w:r>
              <w:rPr>
                <w:rFonts w:hint="eastAsia" w:ascii="Times New Roman" w:hAnsi="Times New Roman" w:eastAsia="宋体"/>
                <w:color w:val="auto"/>
                <w:sz w:val="24"/>
                <w:lang w:eastAsia="zh-CN"/>
              </w:rPr>
              <w:t>，</w:t>
            </w:r>
            <w:r>
              <w:rPr>
                <w:rFonts w:hint="eastAsia" w:ascii="Times New Roman" w:hAnsi="Times New Roman" w:eastAsia="宋体"/>
                <w:color w:val="auto"/>
                <w:sz w:val="24"/>
                <w:lang w:val="en-US" w:eastAsia="zh-CN"/>
              </w:rPr>
              <w:t>经收集后暂存于厂区内一般固废库内，</w:t>
            </w:r>
            <w:r>
              <w:rPr>
                <w:rFonts w:hint="eastAsia" w:ascii="Times New Roman" w:hAnsi="Times New Roman" w:eastAsia="宋体"/>
                <w:color w:val="auto"/>
                <w:kern w:val="0"/>
                <w:sz w:val="24"/>
                <w:szCs w:val="20"/>
                <w:lang w:val="en-US" w:eastAsia="zh-CN"/>
              </w:rPr>
              <w:t>外售综合利用</w:t>
            </w:r>
            <w:r>
              <w:rPr>
                <w:rFonts w:hint="eastAsia" w:ascii="Times New Roman" w:hAnsi="Times New Roman" w:eastAsia="宋体"/>
                <w:color w:val="auto"/>
                <w:sz w:val="24"/>
                <w:lang w:eastAsia="zh-CN"/>
              </w:rPr>
              <w:t>。</w:t>
            </w:r>
          </w:p>
          <w:p w14:paraId="2692EE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olor w:val="auto"/>
                <w:sz w:val="24"/>
                <w:lang w:val="en-US" w:eastAsia="zh-CN"/>
              </w:rPr>
            </w:pPr>
            <w:r>
              <w:rPr>
                <w:rFonts w:hint="eastAsia" w:ascii="Times New Roman" w:hAnsi="Times New Roman" w:eastAsia="宋体"/>
                <w:color w:val="auto"/>
                <w:sz w:val="24"/>
              </w:rPr>
              <w:t>（</w:t>
            </w:r>
            <w:r>
              <w:rPr>
                <w:rFonts w:hint="eastAsia" w:ascii="Times New Roman" w:hAnsi="Times New Roman" w:eastAsia="宋体"/>
                <w:color w:val="auto"/>
                <w:sz w:val="24"/>
                <w:lang w:val="en-US" w:eastAsia="zh-CN"/>
              </w:rPr>
              <w:t>2</w:t>
            </w:r>
            <w:r>
              <w:rPr>
                <w:rFonts w:hint="eastAsia" w:ascii="Times New Roman" w:hAnsi="Times New Roman" w:eastAsia="宋体"/>
                <w:color w:val="auto"/>
                <w:sz w:val="24"/>
              </w:rPr>
              <w:t>）</w:t>
            </w:r>
            <w:r>
              <w:rPr>
                <w:rFonts w:hint="eastAsia" w:ascii="Times New Roman" w:hAnsi="Times New Roman" w:eastAsia="宋体"/>
                <w:color w:val="auto"/>
                <w:sz w:val="24"/>
                <w:lang w:val="en-US" w:eastAsia="zh-CN"/>
              </w:rPr>
              <w:t>废滤渣</w:t>
            </w:r>
          </w:p>
          <w:p w14:paraId="6B004F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olor w:val="auto"/>
                <w:sz w:val="24"/>
                <w:lang w:val="en-US" w:eastAsia="zh-CN"/>
              </w:rPr>
            </w:pPr>
            <w:r>
              <w:rPr>
                <w:rFonts w:hint="eastAsia" w:ascii="Times New Roman" w:hAnsi="Times New Roman" w:eastAsia="宋体"/>
                <w:color w:val="auto"/>
                <w:sz w:val="24"/>
                <w:lang w:val="en-US" w:eastAsia="zh-CN"/>
              </w:rPr>
              <w:t>项目过滤过程会产生废滤渣，其产生量为</w:t>
            </w:r>
            <w:r>
              <w:rPr>
                <w:rFonts w:hint="eastAsia" w:cs="Times New Roman"/>
                <w:color w:val="auto"/>
                <w:kern w:val="0"/>
                <w:sz w:val="24"/>
                <w:szCs w:val="20"/>
                <w:lang w:val="en-US" w:eastAsia="zh-CN" w:bidi="ar-SA"/>
              </w:rPr>
              <w:t>2</w:t>
            </w:r>
            <w:r>
              <w:rPr>
                <w:rFonts w:hint="eastAsia" w:ascii="Times New Roman" w:hAnsi="Times New Roman" w:eastAsia="宋体" w:cs="Times New Roman"/>
                <w:color w:val="auto"/>
                <w:kern w:val="0"/>
                <w:sz w:val="24"/>
                <w:szCs w:val="20"/>
                <w:lang w:val="en-US" w:eastAsia="zh-CN" w:bidi="ar-SA"/>
              </w:rPr>
              <w:t>t/a</w:t>
            </w:r>
            <w:r>
              <w:rPr>
                <w:rFonts w:hint="eastAsia" w:ascii="Times New Roman" w:hAnsi="Times New Roman" w:eastAsia="宋体"/>
                <w:color w:val="auto"/>
                <w:sz w:val="24"/>
                <w:lang w:eastAsia="zh-CN"/>
              </w:rPr>
              <w:t>，</w:t>
            </w:r>
            <w:r>
              <w:rPr>
                <w:rFonts w:hint="eastAsia" w:ascii="Times New Roman" w:hAnsi="Times New Roman" w:eastAsia="宋体"/>
                <w:color w:val="auto"/>
                <w:sz w:val="24"/>
              </w:rPr>
              <w:t>属于一般工业固废</w:t>
            </w:r>
            <w:r>
              <w:rPr>
                <w:rFonts w:hint="eastAsia" w:ascii="Times New Roman" w:hAnsi="Times New Roman" w:eastAsia="宋体"/>
                <w:color w:val="auto"/>
                <w:sz w:val="24"/>
                <w:lang w:eastAsia="zh-CN"/>
              </w:rPr>
              <w:t>，</w:t>
            </w:r>
            <w:r>
              <w:rPr>
                <w:rFonts w:hint="eastAsia" w:ascii="Times New Roman" w:hAnsi="Times New Roman" w:eastAsia="宋体"/>
                <w:color w:val="auto"/>
                <w:sz w:val="24"/>
                <w:lang w:val="en-US" w:eastAsia="zh-CN"/>
              </w:rPr>
              <w:t>经收集后暂存于厂区内一般固废库内，</w:t>
            </w:r>
            <w:r>
              <w:rPr>
                <w:rFonts w:hint="eastAsia" w:ascii="Times New Roman" w:hAnsi="Times New Roman" w:eastAsia="宋体"/>
                <w:color w:val="auto"/>
                <w:kern w:val="0"/>
                <w:sz w:val="24"/>
                <w:szCs w:val="20"/>
                <w:lang w:val="en-US" w:eastAsia="zh-CN"/>
              </w:rPr>
              <w:t>外售综合利用</w:t>
            </w:r>
            <w:r>
              <w:rPr>
                <w:rFonts w:hint="eastAsia" w:ascii="Times New Roman" w:hAnsi="Times New Roman" w:eastAsia="宋体"/>
                <w:color w:val="auto"/>
                <w:sz w:val="24"/>
                <w:lang w:val="en-US" w:eastAsia="zh-CN"/>
              </w:rPr>
              <w:t>。</w:t>
            </w:r>
          </w:p>
          <w:p w14:paraId="6B4B72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olor w:val="auto"/>
                <w:sz w:val="24"/>
                <w:lang w:val="en-US" w:eastAsia="zh-CN"/>
              </w:rPr>
            </w:pPr>
            <w:r>
              <w:rPr>
                <w:rFonts w:hint="eastAsia" w:ascii="Times New Roman" w:hAnsi="Times New Roman" w:eastAsia="宋体"/>
                <w:color w:val="auto"/>
                <w:sz w:val="24"/>
              </w:rPr>
              <w:t>（</w:t>
            </w:r>
            <w:r>
              <w:rPr>
                <w:rFonts w:hint="eastAsia" w:ascii="Times New Roman" w:hAnsi="Times New Roman" w:eastAsia="宋体"/>
                <w:color w:val="auto"/>
                <w:sz w:val="24"/>
                <w:lang w:val="en-US" w:eastAsia="zh-CN"/>
              </w:rPr>
              <w:t>3</w:t>
            </w:r>
            <w:r>
              <w:rPr>
                <w:rFonts w:hint="eastAsia" w:ascii="Times New Roman" w:hAnsi="Times New Roman" w:eastAsia="宋体"/>
                <w:color w:val="auto"/>
                <w:sz w:val="24"/>
              </w:rPr>
              <w:t>）</w:t>
            </w:r>
            <w:r>
              <w:rPr>
                <w:rFonts w:hint="eastAsia" w:ascii="Times New Roman" w:hAnsi="Times New Roman" w:eastAsia="宋体"/>
                <w:color w:val="auto"/>
                <w:sz w:val="24"/>
                <w:lang w:val="en-US" w:eastAsia="zh-CN"/>
              </w:rPr>
              <w:t>茶叶渣</w:t>
            </w:r>
          </w:p>
          <w:p w14:paraId="5E8158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olor w:val="auto"/>
                <w:sz w:val="24"/>
                <w:lang w:val="en-US" w:eastAsia="zh-CN"/>
              </w:rPr>
            </w:pPr>
            <w:r>
              <w:rPr>
                <w:rFonts w:hint="eastAsia" w:ascii="Times New Roman" w:hAnsi="Times New Roman" w:eastAsia="宋体"/>
                <w:color w:val="auto"/>
                <w:sz w:val="24"/>
                <w:lang w:val="en-US" w:eastAsia="zh-CN"/>
              </w:rPr>
              <w:t>项目茶饮料制作过程会产生茶叶渣，其产生量为</w:t>
            </w:r>
            <w:r>
              <w:rPr>
                <w:rFonts w:hint="eastAsia" w:cs="Times New Roman"/>
                <w:color w:val="auto"/>
                <w:kern w:val="0"/>
                <w:sz w:val="24"/>
                <w:szCs w:val="20"/>
                <w:lang w:val="en-US" w:eastAsia="zh-CN" w:bidi="ar-SA"/>
              </w:rPr>
              <w:t>35</w:t>
            </w:r>
            <w:r>
              <w:rPr>
                <w:rFonts w:hint="eastAsia" w:ascii="Times New Roman" w:hAnsi="Times New Roman" w:eastAsia="宋体" w:cs="Times New Roman"/>
                <w:color w:val="auto"/>
                <w:kern w:val="0"/>
                <w:sz w:val="24"/>
                <w:szCs w:val="20"/>
                <w:lang w:val="en-US" w:eastAsia="zh-CN" w:bidi="ar-SA"/>
              </w:rPr>
              <w:t>t/a</w:t>
            </w:r>
            <w:r>
              <w:rPr>
                <w:rFonts w:hint="eastAsia" w:ascii="Times New Roman" w:hAnsi="Times New Roman" w:eastAsia="宋体"/>
                <w:color w:val="auto"/>
                <w:sz w:val="24"/>
                <w:lang w:eastAsia="zh-CN"/>
              </w:rPr>
              <w:t>，</w:t>
            </w:r>
            <w:r>
              <w:rPr>
                <w:rFonts w:hint="eastAsia" w:ascii="Times New Roman" w:hAnsi="Times New Roman" w:eastAsia="宋体"/>
                <w:color w:val="auto"/>
                <w:sz w:val="24"/>
              </w:rPr>
              <w:t>属于一般工业固废</w:t>
            </w:r>
            <w:r>
              <w:rPr>
                <w:rFonts w:hint="eastAsia" w:ascii="Times New Roman" w:hAnsi="Times New Roman" w:eastAsia="宋体"/>
                <w:color w:val="auto"/>
                <w:sz w:val="24"/>
                <w:lang w:eastAsia="zh-CN"/>
              </w:rPr>
              <w:t>，</w:t>
            </w:r>
            <w:r>
              <w:rPr>
                <w:rFonts w:hint="eastAsia" w:ascii="Times New Roman" w:hAnsi="Times New Roman" w:eastAsia="宋体"/>
                <w:color w:val="auto"/>
                <w:sz w:val="24"/>
                <w:lang w:val="en-US" w:eastAsia="zh-CN"/>
              </w:rPr>
              <w:t>经收集后暂存于厂区内一般固废库内，</w:t>
            </w:r>
            <w:r>
              <w:rPr>
                <w:rFonts w:hint="eastAsia" w:ascii="Times New Roman" w:hAnsi="Times New Roman" w:eastAsia="宋体"/>
                <w:color w:val="auto"/>
                <w:kern w:val="0"/>
                <w:sz w:val="24"/>
                <w:szCs w:val="20"/>
                <w:lang w:val="en-US" w:eastAsia="zh-CN"/>
              </w:rPr>
              <w:t>外售综合利用</w:t>
            </w:r>
            <w:r>
              <w:rPr>
                <w:rFonts w:hint="eastAsia" w:ascii="Times New Roman" w:hAnsi="Times New Roman" w:eastAsia="宋体"/>
                <w:color w:val="auto"/>
                <w:sz w:val="24"/>
                <w:lang w:val="en-US" w:eastAsia="zh-CN"/>
              </w:rPr>
              <w:t>。</w:t>
            </w:r>
          </w:p>
          <w:p w14:paraId="41277B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olor w:val="auto"/>
                <w:sz w:val="24"/>
                <w:lang w:val="en-US" w:eastAsia="zh-CN"/>
              </w:rPr>
            </w:pPr>
            <w:r>
              <w:rPr>
                <w:rFonts w:hint="eastAsia" w:ascii="Times New Roman" w:hAnsi="Times New Roman" w:eastAsia="宋体"/>
                <w:color w:val="auto"/>
                <w:sz w:val="24"/>
              </w:rPr>
              <w:t>（</w:t>
            </w:r>
            <w:r>
              <w:rPr>
                <w:rFonts w:hint="eastAsia" w:ascii="Times New Roman" w:hAnsi="Times New Roman" w:eastAsia="宋体"/>
                <w:color w:val="auto"/>
                <w:sz w:val="24"/>
                <w:lang w:val="en-US" w:eastAsia="zh-CN"/>
              </w:rPr>
              <w:t>4</w:t>
            </w:r>
            <w:r>
              <w:rPr>
                <w:rFonts w:hint="eastAsia" w:ascii="Times New Roman" w:hAnsi="Times New Roman" w:eastAsia="宋体"/>
                <w:color w:val="auto"/>
                <w:sz w:val="24"/>
              </w:rPr>
              <w:t>）</w:t>
            </w:r>
            <w:r>
              <w:rPr>
                <w:rFonts w:hint="eastAsia" w:ascii="Times New Roman" w:hAnsi="Times New Roman" w:eastAsia="宋体"/>
                <w:color w:val="auto"/>
                <w:sz w:val="24"/>
                <w:lang w:val="en-US" w:eastAsia="zh-CN"/>
              </w:rPr>
              <w:t>废石英砂、活性炭及滤膜</w:t>
            </w:r>
          </w:p>
          <w:p w14:paraId="3B24DD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olor w:val="auto"/>
                <w:sz w:val="24"/>
                <w:lang w:val="en-US" w:eastAsia="zh-CN"/>
              </w:rPr>
            </w:pPr>
            <w:r>
              <w:rPr>
                <w:rFonts w:ascii="Times New Roman" w:hAnsi="Times New Roman" w:eastAsia="宋体"/>
                <w:color w:val="auto"/>
                <w:kern w:val="0"/>
                <w:sz w:val="24"/>
                <w:szCs w:val="20"/>
              </w:rPr>
              <w:t>项目纯水制备定期维护更换石英砂、</w:t>
            </w:r>
            <w:r>
              <w:rPr>
                <w:rFonts w:hint="eastAsia" w:ascii="Times New Roman" w:hAnsi="Times New Roman" w:eastAsia="宋体"/>
                <w:color w:val="auto"/>
                <w:kern w:val="0"/>
                <w:sz w:val="24"/>
                <w:szCs w:val="20"/>
                <w:lang w:val="en-US" w:eastAsia="zh-CN"/>
              </w:rPr>
              <w:t>活性炭、</w:t>
            </w:r>
            <w:r>
              <w:rPr>
                <w:rFonts w:ascii="Times New Roman" w:hAnsi="Times New Roman" w:eastAsia="宋体"/>
                <w:color w:val="auto"/>
                <w:kern w:val="0"/>
                <w:sz w:val="24"/>
                <w:szCs w:val="20"/>
              </w:rPr>
              <w:t>滤膜，产生废石英砂</w:t>
            </w:r>
            <w:r>
              <w:rPr>
                <w:rFonts w:hint="eastAsia" w:ascii="Times New Roman" w:hAnsi="Times New Roman" w:eastAsia="宋体"/>
                <w:color w:val="auto"/>
                <w:kern w:val="0"/>
                <w:sz w:val="24"/>
                <w:szCs w:val="20"/>
                <w:lang w:eastAsia="zh-CN"/>
              </w:rPr>
              <w:t>、</w:t>
            </w:r>
            <w:r>
              <w:rPr>
                <w:rFonts w:hint="eastAsia" w:ascii="Times New Roman" w:hAnsi="Times New Roman" w:eastAsia="宋体"/>
                <w:color w:val="auto"/>
                <w:kern w:val="0"/>
                <w:sz w:val="24"/>
                <w:szCs w:val="20"/>
                <w:lang w:val="en-US" w:eastAsia="zh-CN"/>
              </w:rPr>
              <w:t>活性炭</w:t>
            </w:r>
            <w:r>
              <w:rPr>
                <w:rFonts w:ascii="Times New Roman" w:hAnsi="Times New Roman" w:eastAsia="宋体"/>
                <w:color w:val="auto"/>
                <w:kern w:val="0"/>
                <w:sz w:val="24"/>
                <w:szCs w:val="20"/>
              </w:rPr>
              <w:t>和废滤膜，纯水制备机更新维护产生的废石英砂</w:t>
            </w:r>
            <w:r>
              <w:rPr>
                <w:rFonts w:hint="eastAsia" w:ascii="Times New Roman" w:hAnsi="Times New Roman" w:eastAsia="宋体"/>
                <w:color w:val="auto"/>
                <w:kern w:val="0"/>
                <w:sz w:val="24"/>
                <w:szCs w:val="20"/>
                <w:lang w:eastAsia="zh-CN"/>
              </w:rPr>
              <w:t>、</w:t>
            </w:r>
            <w:r>
              <w:rPr>
                <w:rFonts w:hint="eastAsia" w:ascii="Times New Roman" w:hAnsi="Times New Roman" w:eastAsia="宋体"/>
                <w:color w:val="auto"/>
                <w:kern w:val="0"/>
                <w:sz w:val="24"/>
                <w:szCs w:val="20"/>
                <w:lang w:val="en-US" w:eastAsia="zh-CN"/>
              </w:rPr>
              <w:t>活性炭</w:t>
            </w:r>
            <w:r>
              <w:rPr>
                <w:rFonts w:ascii="Times New Roman" w:hAnsi="Times New Roman" w:eastAsia="宋体"/>
                <w:color w:val="auto"/>
                <w:kern w:val="0"/>
                <w:sz w:val="24"/>
                <w:szCs w:val="20"/>
              </w:rPr>
              <w:t>和废滤膜共为</w:t>
            </w:r>
            <w:r>
              <w:rPr>
                <w:rFonts w:hint="eastAsia"/>
                <w:color w:val="auto"/>
                <w:kern w:val="0"/>
                <w:sz w:val="24"/>
                <w:szCs w:val="20"/>
                <w:lang w:val="en-US" w:eastAsia="zh-CN"/>
              </w:rPr>
              <w:t>1</w:t>
            </w:r>
            <w:r>
              <w:rPr>
                <w:rFonts w:ascii="Times New Roman" w:hAnsi="Times New Roman" w:eastAsia="宋体"/>
                <w:color w:val="auto"/>
                <w:kern w:val="0"/>
                <w:sz w:val="24"/>
                <w:szCs w:val="20"/>
              </w:rPr>
              <w:t>t/a，属于一般固废，由厂家回收</w:t>
            </w:r>
            <w:r>
              <w:rPr>
                <w:rFonts w:hint="eastAsia" w:ascii="Times New Roman" w:hAnsi="Times New Roman" w:eastAsia="宋体"/>
                <w:color w:val="auto"/>
                <w:sz w:val="24"/>
                <w:lang w:val="en-US" w:eastAsia="zh-CN"/>
              </w:rPr>
              <w:t>。</w:t>
            </w:r>
          </w:p>
          <w:p w14:paraId="6CB3AA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olor w:val="auto"/>
                <w:sz w:val="24"/>
                <w:lang w:val="en-US" w:eastAsia="zh-CN"/>
              </w:rPr>
            </w:pPr>
            <w:r>
              <w:rPr>
                <w:rFonts w:hint="default" w:ascii="Times New Roman" w:hAnsi="Times New Roman" w:eastAsia="宋体"/>
                <w:color w:val="auto"/>
                <w:sz w:val="24"/>
              </w:rPr>
              <w:t>（</w:t>
            </w:r>
            <w:r>
              <w:rPr>
                <w:rFonts w:hint="eastAsia"/>
                <w:color w:val="auto"/>
                <w:sz w:val="24"/>
                <w:lang w:val="en-US" w:eastAsia="zh-CN"/>
              </w:rPr>
              <w:t>5</w:t>
            </w:r>
            <w:r>
              <w:rPr>
                <w:rFonts w:hint="default" w:ascii="Times New Roman" w:hAnsi="Times New Roman" w:eastAsia="宋体"/>
                <w:color w:val="auto"/>
                <w:sz w:val="24"/>
              </w:rPr>
              <w:t>）</w:t>
            </w:r>
            <w:r>
              <w:rPr>
                <w:rFonts w:hint="default" w:ascii="Times New Roman" w:hAnsi="Times New Roman" w:eastAsia="宋体"/>
                <w:color w:val="auto"/>
                <w:sz w:val="24"/>
                <w:lang w:val="en-US" w:eastAsia="zh-CN"/>
              </w:rPr>
              <w:t>污水处理站污泥</w:t>
            </w:r>
          </w:p>
          <w:p w14:paraId="0C0C56CF">
            <w:pPr>
              <w:spacing w:line="360" w:lineRule="auto"/>
              <w:ind w:firstLine="480" w:firstLineChars="200"/>
              <w:rPr>
                <w:rFonts w:hint="default" w:ascii="Times New Roman" w:hAnsi="Times New Roman" w:eastAsia="宋体"/>
                <w:color w:val="auto"/>
                <w:sz w:val="24"/>
              </w:rPr>
            </w:pPr>
            <w:r>
              <w:rPr>
                <w:rFonts w:hint="eastAsia" w:ascii="Times New Roman" w:hAnsi="Times New Roman" w:eastAsia="宋体" w:cs="宋体"/>
                <w:b w:val="0"/>
                <w:bCs w:val="0"/>
                <w:color w:val="auto"/>
                <w:kern w:val="2"/>
                <w:sz w:val="24"/>
                <w:szCs w:val="24"/>
                <w:lang w:val="en-US" w:eastAsia="zh-CN" w:bidi="ar-SA"/>
              </w:rPr>
              <w:t>本项目污泥产率取0.7kgVSS/kgBOD</w:t>
            </w:r>
            <w:r>
              <w:rPr>
                <w:rFonts w:hint="eastAsia" w:ascii="Times New Roman" w:hAnsi="Times New Roman" w:eastAsia="宋体" w:cs="宋体"/>
                <w:b w:val="0"/>
                <w:bCs w:val="0"/>
                <w:color w:val="auto"/>
                <w:kern w:val="2"/>
                <w:sz w:val="24"/>
                <w:szCs w:val="24"/>
                <w:vertAlign w:val="subscript"/>
                <w:lang w:val="en-US" w:eastAsia="zh-CN" w:bidi="ar-SA"/>
              </w:rPr>
              <w:t>5</w:t>
            </w:r>
            <w:r>
              <w:rPr>
                <w:rFonts w:hint="eastAsia" w:ascii="Times New Roman" w:hAnsi="Times New Roman" w:eastAsia="宋体" w:cs="宋体"/>
                <w:b w:val="0"/>
                <w:bCs w:val="0"/>
                <w:color w:val="auto"/>
                <w:kern w:val="2"/>
                <w:sz w:val="24"/>
                <w:szCs w:val="24"/>
                <w:vertAlign w:val="baseline"/>
                <w:lang w:val="en-US" w:eastAsia="zh-CN" w:bidi="ar-SA"/>
              </w:rPr>
              <w:t>。</w:t>
            </w:r>
            <w:r>
              <w:rPr>
                <w:rFonts w:hint="eastAsia" w:ascii="Times New Roman" w:hAnsi="Times New Roman" w:eastAsia="宋体" w:cs="宋体"/>
                <w:b w:val="0"/>
                <w:bCs w:val="0"/>
                <w:color w:val="auto"/>
                <w:kern w:val="2"/>
                <w:sz w:val="24"/>
                <w:szCs w:val="24"/>
                <w:lang w:val="en-US" w:eastAsia="zh-CN" w:bidi="ar-SA"/>
              </w:rPr>
              <w:t>本项目废水经厂区</w:t>
            </w:r>
            <w:r>
              <w:rPr>
                <w:rFonts w:hint="eastAsia" w:cs="宋体"/>
                <w:b w:val="0"/>
                <w:bCs w:val="0"/>
                <w:color w:val="auto"/>
                <w:kern w:val="2"/>
                <w:sz w:val="24"/>
                <w:szCs w:val="24"/>
                <w:lang w:val="en-US" w:eastAsia="zh-CN" w:bidi="ar-SA"/>
              </w:rPr>
              <w:t>污水处理站</w:t>
            </w:r>
            <w:r>
              <w:rPr>
                <w:rFonts w:hint="eastAsia" w:ascii="Times New Roman" w:hAnsi="Times New Roman" w:eastAsia="宋体" w:cs="宋体"/>
                <w:b w:val="0"/>
                <w:bCs w:val="0"/>
                <w:color w:val="auto"/>
                <w:kern w:val="2"/>
                <w:sz w:val="24"/>
                <w:szCs w:val="24"/>
                <w:lang w:val="en-US" w:eastAsia="zh-CN" w:bidi="ar-SA"/>
              </w:rPr>
              <w:t>处理后，</w:t>
            </w:r>
            <w:r>
              <w:rPr>
                <w:rFonts w:hint="eastAsia" w:cs="宋体"/>
                <w:b w:val="0"/>
                <w:bCs w:val="0"/>
                <w:color w:val="auto"/>
                <w:kern w:val="2"/>
                <w:sz w:val="24"/>
                <w:szCs w:val="24"/>
                <w:lang w:val="en-US" w:eastAsia="zh-CN" w:bidi="ar-SA"/>
              </w:rPr>
              <w:t>项目</w:t>
            </w:r>
            <w:r>
              <w:rPr>
                <w:rFonts w:hint="eastAsia" w:ascii="Times New Roman" w:hAnsi="Times New Roman" w:eastAsia="宋体" w:cs="宋体"/>
                <w:b w:val="0"/>
                <w:bCs w:val="0"/>
                <w:color w:val="auto"/>
                <w:kern w:val="2"/>
                <w:sz w:val="24"/>
                <w:szCs w:val="24"/>
                <w:lang w:val="en-US" w:eastAsia="zh-CN" w:bidi="ar-SA"/>
              </w:rPr>
              <w:t>BOD</w:t>
            </w:r>
            <w:r>
              <w:rPr>
                <w:rFonts w:hint="eastAsia" w:ascii="Times New Roman" w:hAnsi="Times New Roman" w:eastAsia="宋体" w:cs="宋体"/>
                <w:b w:val="0"/>
                <w:bCs w:val="0"/>
                <w:color w:val="auto"/>
                <w:kern w:val="2"/>
                <w:sz w:val="24"/>
                <w:szCs w:val="24"/>
                <w:vertAlign w:val="subscript"/>
                <w:lang w:val="en-US" w:eastAsia="zh-CN" w:bidi="ar-SA"/>
              </w:rPr>
              <w:t>5</w:t>
            </w:r>
            <w:r>
              <w:rPr>
                <w:rFonts w:hint="eastAsia" w:ascii="Times New Roman" w:hAnsi="Times New Roman" w:eastAsia="宋体" w:cs="宋体"/>
                <w:b w:val="0"/>
                <w:bCs w:val="0"/>
                <w:color w:val="auto"/>
                <w:kern w:val="2"/>
                <w:sz w:val="24"/>
                <w:szCs w:val="24"/>
                <w:vertAlign w:val="baseline"/>
                <w:lang w:val="en-US" w:eastAsia="zh-CN" w:bidi="ar-SA"/>
              </w:rPr>
              <w:t>去除量约为</w:t>
            </w:r>
            <w:r>
              <w:rPr>
                <w:rFonts w:hint="eastAsia" w:cs="宋体"/>
                <w:b w:val="0"/>
                <w:bCs w:val="0"/>
                <w:color w:val="auto"/>
                <w:kern w:val="2"/>
                <w:sz w:val="24"/>
                <w:szCs w:val="24"/>
                <w:vertAlign w:val="baseline"/>
                <w:lang w:val="en-US" w:eastAsia="zh-CN" w:bidi="ar-SA"/>
              </w:rPr>
              <w:t>11.601</w:t>
            </w:r>
            <w:r>
              <w:rPr>
                <w:rFonts w:hint="eastAsia" w:ascii="Times New Roman" w:hAnsi="Times New Roman" w:eastAsia="宋体" w:cs="宋体"/>
                <w:b w:val="0"/>
                <w:bCs w:val="0"/>
                <w:color w:val="auto"/>
                <w:kern w:val="2"/>
                <w:sz w:val="24"/>
                <w:szCs w:val="24"/>
                <w:vertAlign w:val="baseline"/>
                <w:lang w:val="en-US" w:eastAsia="zh-CN" w:bidi="ar-SA"/>
              </w:rPr>
              <w:t>t/a，则绝干剩余污泥量为</w:t>
            </w:r>
            <w:r>
              <w:rPr>
                <w:rFonts w:hint="eastAsia" w:cs="宋体"/>
                <w:b w:val="0"/>
                <w:bCs w:val="0"/>
                <w:color w:val="auto"/>
                <w:kern w:val="2"/>
                <w:sz w:val="24"/>
                <w:szCs w:val="24"/>
                <w:vertAlign w:val="baseline"/>
                <w:lang w:val="en-US" w:eastAsia="zh-CN" w:bidi="ar-SA"/>
              </w:rPr>
              <w:t>8.12</w:t>
            </w:r>
            <w:r>
              <w:rPr>
                <w:rFonts w:hint="eastAsia" w:ascii="Times New Roman" w:hAnsi="Times New Roman" w:eastAsia="宋体" w:cs="宋体"/>
                <w:b w:val="0"/>
                <w:bCs w:val="0"/>
                <w:color w:val="auto"/>
                <w:kern w:val="2"/>
                <w:sz w:val="24"/>
                <w:szCs w:val="24"/>
                <w:vertAlign w:val="baseline"/>
                <w:lang w:val="en-US" w:eastAsia="zh-CN" w:bidi="ar-SA"/>
              </w:rPr>
              <w:t>t/a，</w:t>
            </w:r>
            <w:r>
              <w:rPr>
                <w:rFonts w:hint="eastAsia" w:ascii="Times New Roman" w:hAnsi="Times New Roman" w:eastAsia="宋体" w:cs="Times New Roman"/>
                <w:color w:val="auto"/>
                <w:kern w:val="0"/>
                <w:sz w:val="24"/>
                <w:szCs w:val="20"/>
                <w:lang w:val="en-US" w:eastAsia="zh-CN"/>
              </w:rPr>
              <w:t>板框压滤后的</w:t>
            </w:r>
            <w:r>
              <w:rPr>
                <w:rFonts w:hint="eastAsia" w:ascii="Times New Roman" w:hAnsi="Times New Roman" w:eastAsia="宋体" w:cs="Times New Roman"/>
                <w:color w:val="auto"/>
                <w:kern w:val="0"/>
                <w:sz w:val="24"/>
                <w:szCs w:val="20"/>
              </w:rPr>
              <w:t>污泥含水率</w:t>
            </w:r>
            <w:r>
              <w:rPr>
                <w:rFonts w:hint="eastAsia" w:ascii="Times New Roman" w:hAnsi="Times New Roman" w:eastAsia="宋体" w:cs="Times New Roman"/>
                <w:color w:val="auto"/>
                <w:kern w:val="0"/>
                <w:sz w:val="24"/>
                <w:szCs w:val="20"/>
                <w:lang w:val="en-US" w:eastAsia="zh-CN"/>
              </w:rPr>
              <w:t>约为75</w:t>
            </w:r>
            <w:r>
              <w:rPr>
                <w:rFonts w:hint="eastAsia" w:ascii="Times New Roman" w:hAnsi="Times New Roman" w:eastAsia="宋体" w:cs="Times New Roman"/>
                <w:color w:val="auto"/>
                <w:kern w:val="0"/>
                <w:sz w:val="24"/>
                <w:szCs w:val="20"/>
              </w:rPr>
              <w:t>%</w:t>
            </w:r>
            <w:r>
              <w:rPr>
                <w:rFonts w:hint="eastAsia" w:ascii="Times New Roman" w:hAnsi="Times New Roman" w:eastAsia="宋体" w:cs="Times New Roman"/>
                <w:color w:val="auto"/>
                <w:kern w:val="0"/>
                <w:sz w:val="24"/>
                <w:szCs w:val="20"/>
                <w:lang w:eastAsia="zh-CN"/>
              </w:rPr>
              <w:t>，</w:t>
            </w:r>
            <w:r>
              <w:rPr>
                <w:rFonts w:hint="eastAsia" w:ascii="Times New Roman" w:hAnsi="Times New Roman" w:eastAsia="宋体" w:cs="Times New Roman"/>
                <w:color w:val="auto"/>
                <w:kern w:val="0"/>
                <w:sz w:val="24"/>
                <w:szCs w:val="20"/>
              </w:rPr>
              <w:t>则</w:t>
            </w:r>
            <w:r>
              <w:rPr>
                <w:rFonts w:hint="eastAsia" w:cs="Times New Roman"/>
                <w:color w:val="auto"/>
                <w:kern w:val="0"/>
                <w:sz w:val="24"/>
                <w:szCs w:val="20"/>
                <w:lang w:val="en-US" w:eastAsia="zh-CN"/>
              </w:rPr>
              <w:t>项目</w:t>
            </w:r>
            <w:r>
              <w:rPr>
                <w:rFonts w:hint="eastAsia" w:ascii="Times New Roman" w:hAnsi="Times New Roman" w:eastAsia="宋体" w:cs="Times New Roman"/>
                <w:color w:val="auto"/>
                <w:kern w:val="0"/>
                <w:sz w:val="24"/>
                <w:szCs w:val="20"/>
              </w:rPr>
              <w:t>废水处理污泥</w:t>
            </w:r>
            <w:r>
              <w:rPr>
                <w:rFonts w:hint="eastAsia" w:ascii="Times New Roman" w:hAnsi="Times New Roman" w:eastAsia="宋体" w:cs="Times New Roman"/>
                <w:color w:val="auto"/>
                <w:kern w:val="0"/>
                <w:sz w:val="24"/>
                <w:szCs w:val="20"/>
                <w:lang w:val="en-US" w:eastAsia="zh-CN"/>
              </w:rPr>
              <w:t>量</w:t>
            </w:r>
            <w:r>
              <w:rPr>
                <w:rFonts w:hint="eastAsia" w:ascii="Times New Roman" w:hAnsi="Times New Roman" w:eastAsia="宋体" w:cs="Times New Roman"/>
                <w:color w:val="auto"/>
                <w:kern w:val="0"/>
                <w:sz w:val="24"/>
                <w:szCs w:val="20"/>
              </w:rPr>
              <w:t>约</w:t>
            </w:r>
            <w:r>
              <w:rPr>
                <w:rFonts w:hint="eastAsia" w:cs="Times New Roman"/>
                <w:color w:val="auto"/>
                <w:kern w:val="0"/>
                <w:sz w:val="24"/>
                <w:szCs w:val="20"/>
                <w:lang w:val="en-US" w:eastAsia="zh-CN"/>
              </w:rPr>
              <w:t>10.83</w:t>
            </w:r>
            <w:r>
              <w:rPr>
                <w:rFonts w:hint="eastAsia" w:ascii="Times New Roman" w:hAnsi="Times New Roman" w:eastAsia="宋体" w:cs="Times New Roman"/>
                <w:color w:val="auto"/>
                <w:kern w:val="0"/>
                <w:sz w:val="24"/>
                <w:szCs w:val="20"/>
              </w:rPr>
              <w:t>t/a</w:t>
            </w:r>
            <w:r>
              <w:rPr>
                <w:rFonts w:hint="eastAsia" w:cs="Times New Roman"/>
                <w:color w:val="auto"/>
                <w:kern w:val="0"/>
                <w:sz w:val="24"/>
                <w:szCs w:val="20"/>
                <w:lang w:eastAsia="zh-CN"/>
              </w:rPr>
              <w:t>，</w:t>
            </w:r>
            <w:r>
              <w:rPr>
                <w:rFonts w:hint="default" w:ascii="Times New Roman" w:hAnsi="Times New Roman" w:eastAsia="宋体"/>
                <w:color w:val="auto"/>
                <w:sz w:val="24"/>
              </w:rPr>
              <w:t>委托一般污泥处置单位进行利用处置。</w:t>
            </w:r>
          </w:p>
          <w:p w14:paraId="459FC29D">
            <w:pPr>
              <w:keepNext w:val="0"/>
              <w:keepLines w:val="0"/>
              <w:pageBreakBefore w:val="0"/>
              <w:numPr>
                <w:ilvl w:val="0"/>
                <w:numId w:val="0"/>
              </w:numPr>
              <w:kinsoku/>
              <w:wordWrap/>
              <w:overflowPunct/>
              <w:topLinePunct w:val="0"/>
              <w:bidi w:val="0"/>
              <w:adjustRightInd w:val="0"/>
              <w:snapToGrid w:val="0"/>
              <w:spacing w:line="360" w:lineRule="auto"/>
              <w:ind w:firstLine="440" w:firstLineChars="200"/>
              <w:rPr>
                <w:rFonts w:hint="eastAsia" w:ascii="Times New Roman" w:hAnsi="Times New Roman" w:eastAsia="宋体"/>
                <w:bCs/>
                <w:color w:val="auto"/>
                <w:spacing w:val="-10"/>
                <w:sz w:val="24"/>
                <w:szCs w:val="21"/>
                <w:lang w:val="en-US" w:eastAsia="zh-CN"/>
              </w:rPr>
            </w:pPr>
            <w:r>
              <w:rPr>
                <w:rFonts w:hint="eastAsia" w:ascii="Times New Roman" w:hAnsi="Times New Roman" w:eastAsia="宋体"/>
                <w:bCs/>
                <w:color w:val="auto"/>
                <w:spacing w:val="-10"/>
                <w:sz w:val="24"/>
                <w:szCs w:val="21"/>
                <w:lang w:val="en-US" w:eastAsia="zh-CN"/>
              </w:rPr>
              <w:t>（</w:t>
            </w:r>
            <w:r>
              <w:rPr>
                <w:rFonts w:hint="eastAsia"/>
                <w:bCs/>
                <w:color w:val="auto"/>
                <w:spacing w:val="-10"/>
                <w:sz w:val="24"/>
                <w:szCs w:val="21"/>
                <w:lang w:val="en-US" w:eastAsia="zh-CN"/>
              </w:rPr>
              <w:t>6</w:t>
            </w:r>
            <w:r>
              <w:rPr>
                <w:rFonts w:hint="eastAsia" w:ascii="Times New Roman" w:hAnsi="Times New Roman" w:eastAsia="宋体"/>
                <w:bCs/>
                <w:color w:val="auto"/>
                <w:spacing w:val="-10"/>
                <w:sz w:val="24"/>
                <w:szCs w:val="21"/>
                <w:lang w:val="en-US" w:eastAsia="zh-CN"/>
              </w:rPr>
              <w:t>）废活性炭</w:t>
            </w:r>
          </w:p>
          <w:p w14:paraId="49389E2E">
            <w:pPr>
              <w:keepNext w:val="0"/>
              <w:keepLines w:val="0"/>
              <w:pageBreakBefore w:val="0"/>
              <w:numPr>
                <w:ilvl w:val="0"/>
                <w:numId w:val="0"/>
              </w:numPr>
              <w:kinsoku/>
              <w:wordWrap/>
              <w:overflowPunct/>
              <w:topLinePunct w:val="0"/>
              <w:bidi w:val="0"/>
              <w:adjustRightInd w:val="0"/>
              <w:snapToGrid w:val="0"/>
              <w:spacing w:line="360" w:lineRule="auto"/>
              <w:ind w:firstLine="480" w:firstLineChars="200"/>
              <w:rPr>
                <w:rFonts w:hint="eastAsia" w:ascii="Times New Roman" w:hAnsi="Times New Roman" w:eastAsia="宋体"/>
                <w:color w:val="auto"/>
                <w:sz w:val="24"/>
              </w:rPr>
            </w:pPr>
            <w:r>
              <w:rPr>
                <w:rFonts w:hint="eastAsia" w:ascii="Times New Roman" w:hAnsi="Times New Roman" w:eastAsia="宋体"/>
                <w:color w:val="auto"/>
                <w:sz w:val="24"/>
              </w:rPr>
              <w:t>本项目生产过程中</w:t>
            </w:r>
            <w:r>
              <w:rPr>
                <w:rFonts w:hint="eastAsia"/>
                <w:color w:val="auto"/>
                <w:sz w:val="24"/>
                <w:lang w:val="en-US" w:eastAsia="zh-CN"/>
              </w:rPr>
              <w:t>吹瓶</w:t>
            </w:r>
            <w:r>
              <w:rPr>
                <w:rFonts w:hint="eastAsia" w:ascii="Times New Roman" w:hAnsi="Times New Roman" w:eastAsia="宋体"/>
                <w:color w:val="auto"/>
                <w:sz w:val="24"/>
                <w:lang w:val="en-US" w:eastAsia="zh-CN"/>
              </w:rPr>
              <w:t>工序</w:t>
            </w:r>
            <w:r>
              <w:rPr>
                <w:rFonts w:hint="eastAsia" w:ascii="Times New Roman" w:hAnsi="Times New Roman" w:eastAsia="宋体"/>
                <w:color w:val="auto"/>
                <w:sz w:val="24"/>
              </w:rPr>
              <w:t>产生有机废气，经收集后采用二级活性炭吸附装置处理，该环节会产生废活性炭。在选择活性炭时，应选择碘值不低于800毫克/克的活性炭。参照</w:t>
            </w:r>
            <w:r>
              <w:rPr>
                <w:rFonts w:ascii="Times New Roman" w:hAnsi="Times New Roman" w:eastAsia="宋体"/>
                <w:color w:val="auto"/>
                <w:sz w:val="24"/>
              </w:rPr>
              <w:t>《省生态环境厅关于将排污单位活性炭使用更换纳入排污许可管理的通知》（苏环办</w:t>
            </w:r>
            <w:r>
              <w:rPr>
                <w:rFonts w:hint="eastAsia"/>
                <w:color w:val="auto"/>
                <w:sz w:val="24"/>
                <w:lang w:eastAsia="zh-CN"/>
              </w:rPr>
              <w:t>〔2021〕218号</w:t>
            </w:r>
            <w:r>
              <w:rPr>
                <w:rFonts w:ascii="Times New Roman" w:hAnsi="Times New Roman" w:eastAsia="宋体"/>
                <w:color w:val="auto"/>
                <w:sz w:val="24"/>
              </w:rPr>
              <w:t>）</w:t>
            </w:r>
            <w:r>
              <w:rPr>
                <w:rFonts w:hint="eastAsia" w:ascii="Times New Roman" w:hAnsi="Times New Roman" w:eastAsia="宋体"/>
                <w:color w:val="auto"/>
                <w:sz w:val="24"/>
                <w:lang w:val="en-US" w:eastAsia="zh-CN"/>
              </w:rPr>
              <w:t>和《省生态环境厅关于深入开展涉VOCs治理重点工作核查的通知》（苏环办〔2022〕218号）</w:t>
            </w:r>
            <w:r>
              <w:rPr>
                <w:rFonts w:hint="eastAsia" w:ascii="Times New Roman" w:hAnsi="Times New Roman" w:eastAsia="宋体"/>
                <w:color w:val="auto"/>
                <w:sz w:val="24"/>
              </w:rPr>
              <w:t>文件中计算方式计算活性炭更换周期</w:t>
            </w:r>
            <w:r>
              <w:rPr>
                <w:rFonts w:ascii="Times New Roman" w:hAnsi="Times New Roman" w:eastAsia="宋体"/>
                <w:color w:val="auto"/>
                <w:sz w:val="24"/>
              </w:rPr>
              <w:t>，活性炭更换周期</w:t>
            </w:r>
            <w:r>
              <w:rPr>
                <w:rFonts w:hint="eastAsia" w:ascii="Times New Roman" w:hAnsi="Times New Roman" w:eastAsia="宋体"/>
                <w:color w:val="auto"/>
                <w:sz w:val="24"/>
              </w:rPr>
              <w:t>计算公式如下：</w:t>
            </w:r>
          </w:p>
          <w:p w14:paraId="25BA784A">
            <w:pPr>
              <w:keepNext w:val="0"/>
              <w:keepLines w:val="0"/>
              <w:pageBreakBefore w:val="0"/>
              <w:widowControl w:val="0"/>
              <w:kinsoku/>
              <w:wordWrap/>
              <w:overflowPunct/>
              <w:topLinePunct w:val="0"/>
              <w:bidi w:val="0"/>
              <w:adjustRightInd w:val="0"/>
              <w:snapToGrid w:val="0"/>
              <w:spacing w:line="360" w:lineRule="auto"/>
              <w:ind w:firstLine="2400" w:firstLineChars="1000"/>
              <w:jc w:val="both"/>
              <w:textAlignment w:val="auto"/>
              <w:rPr>
                <w:rFonts w:ascii="Times New Roman" w:hAnsi="Times New Roman"/>
                <w:color w:val="auto"/>
                <w:sz w:val="24"/>
              </w:rPr>
            </w:pPr>
            <w:r>
              <w:rPr>
                <w:rFonts w:ascii="Times New Roman" w:hAnsi="Times New Roman"/>
                <w:color w:val="auto"/>
                <w:sz w:val="24"/>
              </w:rPr>
              <w:t>T=m×s÷</w:t>
            </w:r>
            <w:r>
              <w:rPr>
                <w:rFonts w:hint="eastAsia"/>
                <w:color w:val="auto"/>
                <w:sz w:val="24"/>
                <w:lang w:eastAsia="zh-CN"/>
              </w:rPr>
              <w:t>(</w:t>
            </w:r>
            <w:r>
              <w:rPr>
                <w:rFonts w:ascii="Times New Roman" w:hAnsi="Times New Roman"/>
                <w:color w:val="auto"/>
                <w:sz w:val="24"/>
              </w:rPr>
              <w:t>c×10</w:t>
            </w:r>
            <w:r>
              <w:rPr>
                <w:rFonts w:ascii="Times New Roman" w:hAnsi="Times New Roman"/>
                <w:color w:val="auto"/>
                <w:sz w:val="24"/>
                <w:vertAlign w:val="superscript"/>
              </w:rPr>
              <w:t>-6</w:t>
            </w:r>
            <w:r>
              <w:rPr>
                <w:rFonts w:ascii="Times New Roman" w:hAnsi="Times New Roman"/>
                <w:color w:val="auto"/>
                <w:sz w:val="24"/>
              </w:rPr>
              <w:t>×Q×t</w:t>
            </w:r>
            <w:r>
              <w:rPr>
                <w:rFonts w:hint="eastAsia"/>
                <w:color w:val="auto"/>
                <w:sz w:val="24"/>
                <w:lang w:eastAsia="zh-CN"/>
              </w:rPr>
              <w:t>)</w:t>
            </w:r>
          </w:p>
          <w:p w14:paraId="7C77B44F">
            <w:pPr>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rFonts w:ascii="Times New Roman" w:hAnsi="Times New Roman"/>
                <w:color w:val="auto"/>
                <w:sz w:val="24"/>
              </w:rPr>
            </w:pPr>
            <w:r>
              <w:rPr>
                <w:rFonts w:ascii="Times New Roman" w:hAnsi="Times New Roman"/>
                <w:color w:val="auto"/>
                <w:sz w:val="24"/>
              </w:rPr>
              <w:t>式中：</w:t>
            </w:r>
          </w:p>
          <w:p w14:paraId="052025CE">
            <w:pPr>
              <w:keepNext w:val="0"/>
              <w:keepLines w:val="0"/>
              <w:pageBreakBefore w:val="0"/>
              <w:widowControl w:val="0"/>
              <w:kinsoku/>
              <w:wordWrap/>
              <w:overflowPunct/>
              <w:topLinePunct w:val="0"/>
              <w:bidi w:val="0"/>
              <w:adjustRightInd w:val="0"/>
              <w:snapToGrid w:val="0"/>
              <w:spacing w:line="360" w:lineRule="auto"/>
              <w:ind w:firstLine="1200" w:firstLineChars="500"/>
              <w:jc w:val="both"/>
              <w:textAlignment w:val="auto"/>
              <w:rPr>
                <w:rFonts w:ascii="Times New Roman" w:hAnsi="Times New Roman"/>
                <w:color w:val="auto"/>
                <w:sz w:val="24"/>
              </w:rPr>
            </w:pPr>
            <w:r>
              <w:rPr>
                <w:rFonts w:ascii="Times New Roman" w:hAnsi="Times New Roman"/>
                <w:color w:val="auto"/>
                <w:sz w:val="24"/>
              </w:rPr>
              <w:t>T—更换周期，天；</w:t>
            </w:r>
          </w:p>
          <w:p w14:paraId="1CAC74AC">
            <w:pPr>
              <w:keepNext w:val="0"/>
              <w:keepLines w:val="0"/>
              <w:pageBreakBefore w:val="0"/>
              <w:widowControl w:val="0"/>
              <w:kinsoku/>
              <w:wordWrap/>
              <w:overflowPunct/>
              <w:topLinePunct w:val="0"/>
              <w:bidi w:val="0"/>
              <w:adjustRightInd w:val="0"/>
              <w:snapToGrid w:val="0"/>
              <w:spacing w:line="360" w:lineRule="auto"/>
              <w:ind w:firstLine="1200" w:firstLineChars="500"/>
              <w:jc w:val="both"/>
              <w:textAlignment w:val="auto"/>
              <w:rPr>
                <w:rFonts w:ascii="Times New Roman" w:hAnsi="Times New Roman"/>
                <w:color w:val="auto"/>
                <w:sz w:val="24"/>
              </w:rPr>
            </w:pPr>
            <w:r>
              <w:rPr>
                <w:rFonts w:hint="eastAsia" w:ascii="Times New Roman" w:hAnsi="Times New Roman"/>
                <w:color w:val="auto"/>
                <w:sz w:val="24"/>
              </w:rPr>
              <w:t>m</w:t>
            </w:r>
            <w:r>
              <w:rPr>
                <w:rFonts w:ascii="Times New Roman" w:hAnsi="Times New Roman"/>
                <w:color w:val="auto"/>
                <w:sz w:val="24"/>
              </w:rPr>
              <w:t>—活性炭的用量，kg（</w:t>
            </w:r>
            <w:r>
              <w:rPr>
                <w:rFonts w:hint="eastAsia" w:ascii="Times New Roman" w:hAnsi="Times New Roman"/>
                <w:color w:val="auto"/>
                <w:sz w:val="24"/>
              </w:rPr>
              <w:t>本</w:t>
            </w:r>
            <w:r>
              <w:rPr>
                <w:rFonts w:ascii="Times New Roman" w:hAnsi="Times New Roman"/>
                <w:color w:val="auto"/>
                <w:sz w:val="24"/>
              </w:rPr>
              <w:t>项目活性炭</w:t>
            </w:r>
            <w:r>
              <w:rPr>
                <w:rFonts w:hint="eastAsia" w:ascii="Times New Roman" w:hAnsi="Times New Roman"/>
                <w:color w:val="auto"/>
                <w:sz w:val="24"/>
              </w:rPr>
              <w:t>单次</w:t>
            </w:r>
            <w:r>
              <w:rPr>
                <w:rFonts w:ascii="Times New Roman" w:hAnsi="Times New Roman"/>
                <w:color w:val="auto"/>
                <w:sz w:val="24"/>
              </w:rPr>
              <w:t>装</w:t>
            </w:r>
            <w:r>
              <w:rPr>
                <w:rFonts w:hint="eastAsia" w:ascii="Times New Roman" w:hAnsi="Times New Roman"/>
                <w:color w:val="auto"/>
                <w:sz w:val="24"/>
              </w:rPr>
              <w:t>填</w:t>
            </w:r>
            <w:r>
              <w:rPr>
                <w:rFonts w:ascii="Times New Roman" w:hAnsi="Times New Roman"/>
                <w:color w:val="auto"/>
                <w:sz w:val="24"/>
              </w:rPr>
              <w:t>量</w:t>
            </w:r>
            <w:r>
              <w:rPr>
                <w:rFonts w:hint="eastAsia" w:ascii="Times New Roman" w:hAnsi="Times New Roman"/>
                <w:color w:val="auto"/>
                <w:sz w:val="24"/>
              </w:rPr>
              <w:t>取</w:t>
            </w:r>
            <w:r>
              <w:rPr>
                <w:rFonts w:hint="eastAsia"/>
                <w:color w:val="auto"/>
                <w:sz w:val="24"/>
                <w:lang w:val="en-US" w:eastAsia="zh-CN"/>
              </w:rPr>
              <w:t>1000</w:t>
            </w:r>
            <w:r>
              <w:rPr>
                <w:rFonts w:hint="eastAsia" w:ascii="Times New Roman" w:hAnsi="Times New Roman"/>
                <w:color w:val="auto"/>
                <w:sz w:val="24"/>
                <w:lang w:val="en-US" w:eastAsia="zh-CN"/>
              </w:rPr>
              <w:t>kg</w:t>
            </w:r>
            <w:r>
              <w:rPr>
                <w:rFonts w:ascii="Times New Roman" w:hAnsi="Times New Roman"/>
                <w:color w:val="auto"/>
                <w:sz w:val="24"/>
              </w:rPr>
              <w:t>）；</w:t>
            </w:r>
          </w:p>
          <w:p w14:paraId="7F520AAD">
            <w:pPr>
              <w:keepNext w:val="0"/>
              <w:keepLines w:val="0"/>
              <w:pageBreakBefore w:val="0"/>
              <w:widowControl w:val="0"/>
              <w:kinsoku/>
              <w:wordWrap/>
              <w:overflowPunct/>
              <w:topLinePunct w:val="0"/>
              <w:bidi w:val="0"/>
              <w:adjustRightInd w:val="0"/>
              <w:snapToGrid w:val="0"/>
              <w:spacing w:line="360" w:lineRule="auto"/>
              <w:ind w:firstLine="1200" w:firstLineChars="500"/>
              <w:jc w:val="both"/>
              <w:textAlignment w:val="auto"/>
              <w:rPr>
                <w:rFonts w:hint="eastAsia" w:ascii="Times New Roman" w:hAnsi="Times New Roman"/>
                <w:color w:val="auto"/>
                <w:sz w:val="24"/>
              </w:rPr>
            </w:pPr>
            <w:r>
              <w:rPr>
                <w:rFonts w:ascii="Times New Roman" w:hAnsi="Times New Roman"/>
                <w:color w:val="auto"/>
                <w:sz w:val="24"/>
              </w:rPr>
              <w:t>s—动态吸附量，%</w:t>
            </w:r>
            <w:r>
              <w:rPr>
                <w:rFonts w:hint="eastAsia" w:ascii="Times New Roman" w:hAnsi="Times New Roman"/>
                <w:color w:val="auto"/>
                <w:sz w:val="24"/>
              </w:rPr>
              <w:t>，</w:t>
            </w:r>
            <w:r>
              <w:rPr>
                <w:rFonts w:ascii="Times New Roman" w:hAnsi="Times New Roman"/>
                <w:color w:val="auto"/>
                <w:sz w:val="24"/>
              </w:rPr>
              <w:t>（</w:t>
            </w:r>
            <w:r>
              <w:rPr>
                <w:rFonts w:hint="eastAsia" w:ascii="Times New Roman" w:hAnsi="Times New Roman"/>
                <w:color w:val="auto"/>
                <w:sz w:val="24"/>
              </w:rPr>
              <w:t>本项目动态吸附量取</w:t>
            </w:r>
            <w:r>
              <w:rPr>
                <w:rFonts w:hint="eastAsia" w:ascii="Times New Roman" w:hAnsi="Times New Roman"/>
                <w:color w:val="auto"/>
                <w:sz w:val="24"/>
                <w:lang w:val="en-US" w:eastAsia="zh-CN"/>
              </w:rPr>
              <w:t>2</w:t>
            </w:r>
            <w:r>
              <w:rPr>
                <w:rFonts w:hint="eastAsia" w:ascii="Times New Roman" w:hAnsi="Times New Roman"/>
                <w:color w:val="auto"/>
                <w:sz w:val="24"/>
              </w:rPr>
              <w:t>0</w:t>
            </w:r>
            <w:r>
              <w:rPr>
                <w:rFonts w:ascii="Times New Roman" w:hAnsi="Times New Roman"/>
                <w:color w:val="auto"/>
                <w:sz w:val="24"/>
              </w:rPr>
              <w:t>%）</w:t>
            </w:r>
            <w:r>
              <w:rPr>
                <w:rFonts w:hint="eastAsia" w:ascii="Times New Roman" w:hAnsi="Times New Roman"/>
                <w:color w:val="auto"/>
                <w:sz w:val="24"/>
              </w:rPr>
              <w:t>；</w:t>
            </w:r>
          </w:p>
          <w:p w14:paraId="4F424BFF">
            <w:pPr>
              <w:keepNext w:val="0"/>
              <w:keepLines w:val="0"/>
              <w:pageBreakBefore w:val="0"/>
              <w:widowControl w:val="0"/>
              <w:kinsoku/>
              <w:wordWrap/>
              <w:overflowPunct/>
              <w:topLinePunct w:val="0"/>
              <w:bidi w:val="0"/>
              <w:adjustRightInd w:val="0"/>
              <w:snapToGrid w:val="0"/>
              <w:spacing w:line="360" w:lineRule="auto"/>
              <w:ind w:firstLine="1200" w:firstLineChars="500"/>
              <w:jc w:val="both"/>
              <w:textAlignment w:val="auto"/>
              <w:rPr>
                <w:rFonts w:ascii="Times New Roman" w:hAnsi="Times New Roman"/>
                <w:color w:val="auto"/>
                <w:sz w:val="24"/>
              </w:rPr>
            </w:pPr>
            <w:r>
              <w:rPr>
                <w:rFonts w:ascii="Times New Roman" w:hAnsi="Times New Roman"/>
                <w:color w:val="auto"/>
                <w:sz w:val="24"/>
              </w:rPr>
              <w:t>c—活性炭削减的VOCs浓度，mg/m</w:t>
            </w:r>
            <w:r>
              <w:rPr>
                <w:rFonts w:ascii="Times New Roman" w:hAnsi="Times New Roman"/>
                <w:color w:val="auto"/>
                <w:sz w:val="24"/>
                <w:vertAlign w:val="superscript"/>
              </w:rPr>
              <w:t>3</w:t>
            </w:r>
            <w:r>
              <w:rPr>
                <w:rFonts w:ascii="Times New Roman" w:hAnsi="Times New Roman"/>
                <w:color w:val="auto"/>
                <w:sz w:val="24"/>
              </w:rPr>
              <w:t>；（</w:t>
            </w:r>
            <w:r>
              <w:rPr>
                <w:rFonts w:hint="eastAsia" w:ascii="Times New Roman" w:hAnsi="Times New Roman"/>
                <w:color w:val="auto"/>
                <w:sz w:val="24"/>
              </w:rPr>
              <w:t>本项目中为</w:t>
            </w:r>
            <w:r>
              <w:rPr>
                <w:rFonts w:hint="eastAsia"/>
                <w:color w:val="auto"/>
                <w:sz w:val="24"/>
                <w:lang w:val="en-US" w:eastAsia="zh-CN"/>
              </w:rPr>
              <w:t>48.579</w:t>
            </w:r>
            <w:r>
              <w:rPr>
                <w:rFonts w:ascii="Times New Roman" w:hAnsi="Times New Roman"/>
                <w:color w:val="auto"/>
                <w:sz w:val="24"/>
              </w:rPr>
              <w:t>mg/m</w:t>
            </w:r>
            <w:r>
              <w:rPr>
                <w:rFonts w:ascii="Times New Roman" w:hAnsi="Times New Roman"/>
                <w:color w:val="auto"/>
                <w:sz w:val="24"/>
                <w:vertAlign w:val="superscript"/>
              </w:rPr>
              <w:t>3</w:t>
            </w:r>
            <w:r>
              <w:rPr>
                <w:rFonts w:ascii="Times New Roman" w:hAnsi="Times New Roman"/>
                <w:color w:val="auto"/>
                <w:sz w:val="24"/>
              </w:rPr>
              <w:t>）</w:t>
            </w:r>
          </w:p>
          <w:p w14:paraId="16C55EFE">
            <w:pPr>
              <w:keepNext w:val="0"/>
              <w:keepLines w:val="0"/>
              <w:pageBreakBefore w:val="0"/>
              <w:widowControl w:val="0"/>
              <w:kinsoku/>
              <w:wordWrap/>
              <w:overflowPunct/>
              <w:topLinePunct w:val="0"/>
              <w:bidi w:val="0"/>
              <w:adjustRightInd w:val="0"/>
              <w:snapToGrid w:val="0"/>
              <w:spacing w:line="360" w:lineRule="auto"/>
              <w:ind w:firstLine="1200" w:firstLineChars="500"/>
              <w:jc w:val="both"/>
              <w:textAlignment w:val="auto"/>
              <w:rPr>
                <w:rFonts w:ascii="Times New Roman" w:hAnsi="Times New Roman"/>
                <w:color w:val="auto"/>
                <w:sz w:val="24"/>
              </w:rPr>
            </w:pPr>
            <w:r>
              <w:rPr>
                <w:rFonts w:ascii="Times New Roman" w:hAnsi="Times New Roman"/>
                <w:color w:val="auto"/>
                <w:sz w:val="24"/>
              </w:rPr>
              <w:t>Q—风量，单位m</w:t>
            </w:r>
            <w:r>
              <w:rPr>
                <w:rFonts w:ascii="Times New Roman" w:hAnsi="Times New Roman"/>
                <w:color w:val="auto"/>
                <w:sz w:val="24"/>
                <w:vertAlign w:val="superscript"/>
              </w:rPr>
              <w:t>3</w:t>
            </w:r>
            <w:r>
              <w:rPr>
                <w:rFonts w:ascii="Times New Roman" w:hAnsi="Times New Roman"/>
                <w:color w:val="auto"/>
                <w:sz w:val="24"/>
              </w:rPr>
              <w:t>/h；（</w:t>
            </w:r>
            <w:r>
              <w:rPr>
                <w:rFonts w:hint="eastAsia" w:ascii="Times New Roman" w:hAnsi="Times New Roman"/>
                <w:color w:val="auto"/>
                <w:sz w:val="24"/>
              </w:rPr>
              <w:t>本项目中为</w:t>
            </w:r>
            <w:r>
              <w:rPr>
                <w:rFonts w:hint="eastAsia"/>
                <w:color w:val="auto"/>
                <w:sz w:val="24"/>
                <w:lang w:val="en-US" w:eastAsia="zh-CN"/>
              </w:rPr>
              <w:t>30</w:t>
            </w:r>
            <w:r>
              <w:rPr>
                <w:rFonts w:ascii="Times New Roman" w:hAnsi="Times New Roman"/>
                <w:color w:val="auto"/>
                <w:sz w:val="24"/>
              </w:rPr>
              <w:t>00m</w:t>
            </w:r>
            <w:r>
              <w:rPr>
                <w:rFonts w:ascii="Times New Roman" w:hAnsi="Times New Roman"/>
                <w:color w:val="auto"/>
                <w:sz w:val="24"/>
                <w:vertAlign w:val="superscript"/>
              </w:rPr>
              <w:t>3</w:t>
            </w:r>
            <w:r>
              <w:rPr>
                <w:rFonts w:ascii="Times New Roman" w:hAnsi="Times New Roman"/>
                <w:color w:val="auto"/>
                <w:sz w:val="24"/>
              </w:rPr>
              <w:t>/h）</w:t>
            </w:r>
          </w:p>
          <w:p w14:paraId="165D4061">
            <w:pPr>
              <w:keepNext w:val="0"/>
              <w:keepLines w:val="0"/>
              <w:pageBreakBefore w:val="0"/>
              <w:widowControl w:val="0"/>
              <w:kinsoku/>
              <w:wordWrap/>
              <w:overflowPunct/>
              <w:topLinePunct w:val="0"/>
              <w:bidi w:val="0"/>
              <w:adjustRightInd w:val="0"/>
              <w:snapToGrid w:val="0"/>
              <w:spacing w:line="360" w:lineRule="auto"/>
              <w:ind w:firstLine="1200" w:firstLineChars="500"/>
              <w:jc w:val="both"/>
              <w:textAlignment w:val="auto"/>
              <w:rPr>
                <w:rFonts w:hint="eastAsia" w:ascii="Times New Roman" w:hAnsi="Times New Roman"/>
                <w:color w:val="auto"/>
                <w:sz w:val="24"/>
              </w:rPr>
            </w:pPr>
            <w:r>
              <w:rPr>
                <w:rFonts w:ascii="Times New Roman" w:hAnsi="Times New Roman"/>
                <w:color w:val="auto"/>
                <w:sz w:val="24"/>
              </w:rPr>
              <w:t>t—运行时间，单位h/d。（</w:t>
            </w:r>
            <w:r>
              <w:rPr>
                <w:rFonts w:hint="eastAsia" w:ascii="Times New Roman" w:hAnsi="Times New Roman"/>
                <w:color w:val="auto"/>
                <w:sz w:val="24"/>
              </w:rPr>
              <w:t>本项目中为</w:t>
            </w:r>
            <w:r>
              <w:rPr>
                <w:rFonts w:hint="eastAsia"/>
                <w:color w:val="auto"/>
                <w:sz w:val="24"/>
                <w:lang w:val="en-US" w:eastAsia="zh-CN"/>
              </w:rPr>
              <w:t>24</w:t>
            </w:r>
            <w:r>
              <w:rPr>
                <w:rFonts w:ascii="Times New Roman" w:hAnsi="Times New Roman"/>
                <w:color w:val="auto"/>
                <w:sz w:val="24"/>
              </w:rPr>
              <w:t>h</w:t>
            </w:r>
            <w:r>
              <w:rPr>
                <w:rFonts w:hint="eastAsia" w:ascii="Times New Roman" w:hAnsi="Times New Roman"/>
                <w:color w:val="auto"/>
                <w:sz w:val="24"/>
              </w:rPr>
              <w:t>/d</w:t>
            </w:r>
            <w:r>
              <w:rPr>
                <w:rFonts w:ascii="Times New Roman" w:hAnsi="Times New Roman"/>
                <w:color w:val="auto"/>
                <w:sz w:val="24"/>
              </w:rPr>
              <w:t>）</w:t>
            </w:r>
            <w:r>
              <w:rPr>
                <w:rFonts w:hint="eastAsia" w:ascii="Times New Roman" w:hAnsi="Times New Roman"/>
                <w:color w:val="auto"/>
                <w:sz w:val="24"/>
              </w:rPr>
              <w:t>。</w:t>
            </w:r>
          </w:p>
          <w:p w14:paraId="7B2632AB">
            <w:pPr>
              <w:keepNext w:val="0"/>
              <w:keepLines w:val="0"/>
              <w:pageBreakBefore w:val="0"/>
              <w:widowControl w:val="0"/>
              <w:kinsoku/>
              <w:wordWrap/>
              <w:overflowPunct/>
              <w:topLinePunct w:val="0"/>
              <w:bidi w:val="0"/>
              <w:spacing w:line="360" w:lineRule="auto"/>
              <w:ind w:firstLine="480" w:firstLineChars="200"/>
              <w:jc w:val="both"/>
              <w:textAlignment w:val="auto"/>
              <w:rPr>
                <w:rFonts w:hint="eastAsia" w:ascii="Times New Roman" w:hAnsi="Times New Roman"/>
                <w:color w:val="auto"/>
                <w:sz w:val="24"/>
              </w:rPr>
            </w:pPr>
            <w:r>
              <w:rPr>
                <w:rFonts w:ascii="Times New Roman" w:hAnsi="Times New Roman"/>
                <w:color w:val="auto"/>
                <w:sz w:val="24"/>
              </w:rPr>
              <w:t>经计算，理论</w:t>
            </w:r>
            <w:r>
              <w:rPr>
                <w:rFonts w:hint="eastAsia" w:ascii="Times New Roman" w:hAnsi="Times New Roman"/>
                <w:color w:val="auto"/>
                <w:sz w:val="24"/>
              </w:rPr>
              <w:t>上，本</w:t>
            </w:r>
            <w:r>
              <w:rPr>
                <w:rFonts w:ascii="Times New Roman" w:hAnsi="Times New Roman"/>
                <w:color w:val="auto"/>
                <w:sz w:val="24"/>
              </w:rPr>
              <w:t>项目活性炭更换周期为</w:t>
            </w:r>
            <w:r>
              <w:rPr>
                <w:rFonts w:hint="eastAsia"/>
                <w:color w:val="auto"/>
                <w:sz w:val="24"/>
                <w:lang w:val="en-US" w:eastAsia="zh-CN"/>
              </w:rPr>
              <w:t>57.18</w:t>
            </w:r>
            <w:r>
              <w:rPr>
                <w:rFonts w:hint="eastAsia" w:ascii="Times New Roman" w:hAnsi="Times New Roman"/>
                <w:color w:val="auto"/>
                <w:sz w:val="24"/>
              </w:rPr>
              <w:t>天更换一次</w:t>
            </w:r>
            <w:r>
              <w:rPr>
                <w:rFonts w:ascii="Times New Roman" w:hAnsi="Times New Roman"/>
                <w:color w:val="auto"/>
                <w:sz w:val="24"/>
              </w:rPr>
              <w:t>，</w:t>
            </w:r>
            <w:r>
              <w:rPr>
                <w:rFonts w:hint="eastAsia" w:ascii="Times New Roman" w:hAnsi="Times New Roman"/>
                <w:color w:val="auto"/>
                <w:sz w:val="24"/>
              </w:rPr>
              <w:t>平均每年更换</w:t>
            </w:r>
            <w:r>
              <w:rPr>
                <w:rFonts w:hint="eastAsia"/>
                <w:color w:val="auto"/>
                <w:sz w:val="24"/>
                <w:lang w:val="en-US" w:eastAsia="zh-CN"/>
              </w:rPr>
              <w:t>6</w:t>
            </w:r>
            <w:r>
              <w:rPr>
                <w:rFonts w:hint="eastAsia" w:ascii="Times New Roman" w:hAnsi="Times New Roman"/>
                <w:color w:val="auto"/>
                <w:sz w:val="24"/>
              </w:rPr>
              <w:t>次。本项目活性炭单次</w:t>
            </w:r>
            <w:r>
              <w:rPr>
                <w:rFonts w:ascii="Times New Roman" w:hAnsi="Times New Roman"/>
                <w:color w:val="auto"/>
                <w:sz w:val="24"/>
              </w:rPr>
              <w:t>装</w:t>
            </w:r>
            <w:r>
              <w:rPr>
                <w:rFonts w:hint="eastAsia" w:ascii="Times New Roman" w:hAnsi="Times New Roman"/>
                <w:color w:val="auto"/>
                <w:sz w:val="24"/>
              </w:rPr>
              <w:t>填</w:t>
            </w:r>
            <w:r>
              <w:rPr>
                <w:rFonts w:ascii="Times New Roman" w:hAnsi="Times New Roman"/>
                <w:color w:val="auto"/>
                <w:sz w:val="24"/>
              </w:rPr>
              <w:t>量</w:t>
            </w:r>
            <w:r>
              <w:rPr>
                <w:rFonts w:hint="eastAsia" w:ascii="Times New Roman" w:hAnsi="Times New Roman"/>
                <w:color w:val="auto"/>
                <w:sz w:val="24"/>
              </w:rPr>
              <w:t>取</w:t>
            </w:r>
            <w:r>
              <w:rPr>
                <w:rFonts w:hint="eastAsia"/>
                <w:color w:val="auto"/>
                <w:sz w:val="24"/>
                <w:lang w:val="en-US" w:eastAsia="zh-CN"/>
              </w:rPr>
              <w:t>1000</w:t>
            </w:r>
            <w:r>
              <w:rPr>
                <w:rFonts w:hint="eastAsia" w:ascii="Times New Roman" w:hAnsi="Times New Roman"/>
                <w:color w:val="auto"/>
                <w:sz w:val="24"/>
                <w:lang w:val="en-US" w:eastAsia="zh-CN"/>
              </w:rPr>
              <w:t>kg</w:t>
            </w:r>
            <w:r>
              <w:rPr>
                <w:rFonts w:hint="eastAsia" w:ascii="Times New Roman" w:hAnsi="Times New Roman"/>
                <w:color w:val="auto"/>
                <w:sz w:val="24"/>
              </w:rPr>
              <w:t>，则活性炭年使用量共为</w:t>
            </w:r>
            <w:r>
              <w:rPr>
                <w:rFonts w:hint="eastAsia"/>
                <w:color w:val="auto"/>
                <w:sz w:val="24"/>
                <w:lang w:val="en-US" w:eastAsia="zh-CN"/>
              </w:rPr>
              <w:t>6</w:t>
            </w:r>
            <w:r>
              <w:rPr>
                <w:rFonts w:hint="eastAsia" w:ascii="Times New Roman" w:hAnsi="Times New Roman"/>
                <w:color w:val="auto"/>
                <w:sz w:val="24"/>
              </w:rPr>
              <w:t>t，活性炭的吸附处理效率约为90%，本项目被活性炭吸附的有机废气量约</w:t>
            </w:r>
            <w:r>
              <w:rPr>
                <w:rFonts w:hint="eastAsia"/>
                <w:color w:val="auto"/>
                <w:sz w:val="24"/>
                <w:lang w:val="en-US" w:eastAsia="zh-CN"/>
              </w:rPr>
              <w:t>1.155</w:t>
            </w:r>
            <w:r>
              <w:rPr>
                <w:rFonts w:hint="eastAsia" w:ascii="Times New Roman" w:hAnsi="Times New Roman"/>
                <w:color w:val="auto"/>
                <w:sz w:val="24"/>
              </w:rPr>
              <w:t>t/a，则废活性炭产生量约为</w:t>
            </w:r>
            <w:r>
              <w:rPr>
                <w:rFonts w:hint="eastAsia"/>
                <w:color w:val="auto"/>
                <w:sz w:val="24"/>
                <w:lang w:val="en-US" w:eastAsia="zh-CN"/>
              </w:rPr>
              <w:t>7.155</w:t>
            </w:r>
            <w:r>
              <w:rPr>
                <w:rFonts w:hint="eastAsia" w:ascii="Times New Roman" w:hAnsi="Times New Roman"/>
                <w:color w:val="auto"/>
                <w:sz w:val="24"/>
              </w:rPr>
              <w:t>t/a。废活性炭属于危险废物，收集后暂存于厂区内</w:t>
            </w:r>
            <w:r>
              <w:rPr>
                <w:rFonts w:hint="eastAsia"/>
                <w:color w:val="auto"/>
                <w:sz w:val="24"/>
                <w:lang w:eastAsia="zh-CN"/>
              </w:rPr>
              <w:t>危废库</w:t>
            </w:r>
            <w:r>
              <w:rPr>
                <w:rFonts w:hint="eastAsia" w:ascii="Times New Roman" w:hAnsi="Times New Roman"/>
                <w:color w:val="auto"/>
                <w:sz w:val="24"/>
              </w:rPr>
              <w:t>内，定期委托有资质单位处置。</w:t>
            </w:r>
          </w:p>
          <w:p w14:paraId="24A62E30">
            <w:pPr>
              <w:pStyle w:val="46"/>
              <w:keepNext w:val="0"/>
              <w:keepLines w:val="0"/>
              <w:pageBreakBefore w:val="0"/>
              <w:widowControl w:val="0"/>
              <w:suppressLineNumbers w:val="0"/>
              <w:kinsoku/>
              <w:wordWrap/>
              <w:overflowPunct/>
              <w:topLinePunct w:val="0"/>
              <w:bidi w:val="0"/>
              <w:adjustRightInd/>
              <w:snapToGrid w:val="0"/>
              <w:spacing w:before="0" w:beforeAutospacing="0" w:afterAutospacing="0" w:line="360" w:lineRule="auto"/>
              <w:ind w:left="0" w:right="0" w:firstLine="480" w:firstLineChars="200"/>
              <w:jc w:val="both"/>
              <w:rPr>
                <w:rFonts w:hint="default" w:ascii="Times New Roman" w:hAnsi="Times New Roman" w:eastAsia="宋体"/>
                <w:b w:val="0"/>
                <w:bCs/>
                <w:color w:val="auto"/>
                <w:sz w:val="24"/>
                <w:lang w:val="en-US" w:eastAsia="zh-CN"/>
              </w:rPr>
            </w:pPr>
            <w:r>
              <w:rPr>
                <w:rFonts w:hint="eastAsia" w:ascii="Times New Roman" w:hAnsi="Times New Roman" w:eastAsia="宋体"/>
                <w:b w:val="0"/>
                <w:bCs/>
                <w:color w:val="auto"/>
                <w:sz w:val="24"/>
                <w:lang w:eastAsia="zh-CN"/>
              </w:rPr>
              <w:t>（</w:t>
            </w:r>
            <w:r>
              <w:rPr>
                <w:rFonts w:hint="eastAsia" w:ascii="Times New Roman" w:hAnsi="Times New Roman" w:eastAsia="宋体"/>
                <w:b w:val="0"/>
                <w:bCs/>
                <w:color w:val="auto"/>
                <w:sz w:val="24"/>
                <w:lang w:val="en-US" w:eastAsia="zh-CN"/>
              </w:rPr>
              <w:t>7</w:t>
            </w:r>
            <w:r>
              <w:rPr>
                <w:rFonts w:hint="eastAsia" w:ascii="Times New Roman" w:hAnsi="Times New Roman" w:eastAsia="宋体"/>
                <w:b w:val="0"/>
                <w:bCs/>
                <w:color w:val="auto"/>
                <w:sz w:val="24"/>
                <w:lang w:eastAsia="zh-CN"/>
              </w:rPr>
              <w:t>）</w:t>
            </w:r>
            <w:r>
              <w:rPr>
                <w:rFonts w:hint="eastAsia" w:ascii="Times New Roman" w:hAnsi="Times New Roman" w:eastAsia="宋体"/>
                <w:b w:val="0"/>
                <w:bCs/>
                <w:color w:val="auto"/>
                <w:sz w:val="24"/>
                <w:lang w:val="en-US" w:eastAsia="zh-CN"/>
              </w:rPr>
              <w:t>废包装桶</w:t>
            </w:r>
          </w:p>
          <w:p w14:paraId="49867390">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eastAsia" w:ascii="Times New Roman" w:hAnsi="Times New Roman" w:eastAsia="宋体"/>
                <w:b w:val="0"/>
                <w:bCs/>
                <w:color w:val="auto"/>
                <w:sz w:val="24"/>
                <w:lang w:val="en-US" w:eastAsia="zh-CN"/>
              </w:rPr>
            </w:pPr>
            <w:r>
              <w:rPr>
                <w:rFonts w:hint="eastAsia" w:ascii="Times New Roman" w:hAnsi="Times New Roman" w:eastAsia="宋体"/>
                <w:b w:val="0"/>
                <w:bCs/>
                <w:color w:val="auto"/>
                <w:sz w:val="24"/>
                <w:lang w:val="en-US" w:eastAsia="zh-CN"/>
              </w:rPr>
              <w:t>本项目贮存辅料的废桶为危险废物，废包装桶包括废</w:t>
            </w:r>
            <w:r>
              <w:rPr>
                <w:rFonts w:hint="eastAsia"/>
                <w:b w:val="0"/>
                <w:bCs/>
                <w:color w:val="auto"/>
                <w:sz w:val="24"/>
                <w:lang w:val="en-US" w:eastAsia="zh-CN"/>
              </w:rPr>
              <w:t>润滑油</w:t>
            </w:r>
            <w:r>
              <w:rPr>
                <w:rFonts w:hint="eastAsia" w:ascii="Times New Roman" w:hAnsi="Times New Roman" w:eastAsia="宋体"/>
                <w:b w:val="0"/>
                <w:bCs/>
                <w:color w:val="auto"/>
                <w:sz w:val="24"/>
                <w:lang w:val="en-US" w:eastAsia="zh-CN"/>
              </w:rPr>
              <w:t>桶，包装桶的产生量约为0.2t/a，破损的废包装桶属于危险废物，</w:t>
            </w:r>
            <w:r>
              <w:rPr>
                <w:rFonts w:hint="eastAsia" w:ascii="Times New Roman" w:hAnsi="Times New Roman" w:eastAsia="宋体"/>
                <w:bCs/>
                <w:color w:val="auto"/>
                <w:sz w:val="24"/>
                <w:lang w:val="en-US" w:eastAsia="zh-CN"/>
              </w:rPr>
              <w:t>破损率为10%，则破损的废包装桶量为0.02t/a，</w:t>
            </w:r>
            <w:r>
              <w:rPr>
                <w:rFonts w:hint="eastAsia" w:ascii="Times New Roman" w:hAnsi="Times New Roman" w:eastAsia="宋体"/>
                <w:b w:val="0"/>
                <w:bCs/>
                <w:color w:val="auto"/>
                <w:sz w:val="24"/>
                <w:lang w:val="en-US" w:eastAsia="zh-CN"/>
              </w:rPr>
              <w:t>收集后暂存于厂区内</w:t>
            </w:r>
            <w:r>
              <w:rPr>
                <w:rFonts w:hint="eastAsia"/>
                <w:b w:val="0"/>
                <w:bCs/>
                <w:color w:val="auto"/>
                <w:sz w:val="24"/>
                <w:lang w:val="en-US" w:eastAsia="zh-CN"/>
              </w:rPr>
              <w:t>危废库</w:t>
            </w:r>
            <w:r>
              <w:rPr>
                <w:rFonts w:hint="eastAsia" w:ascii="Times New Roman" w:hAnsi="Times New Roman" w:eastAsia="宋体"/>
                <w:b w:val="0"/>
                <w:bCs/>
                <w:color w:val="auto"/>
                <w:sz w:val="24"/>
                <w:lang w:val="en-US" w:eastAsia="zh-CN"/>
              </w:rPr>
              <w:t>内，定期委托有资质单位处置，剩余完好的包装桶0.18t/a，由供应商回收利用。</w:t>
            </w:r>
          </w:p>
          <w:p w14:paraId="793FE94E">
            <w:pPr>
              <w:pStyle w:val="17"/>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宋体"/>
                <w:b w:val="0"/>
                <w:bCs/>
                <w:color w:val="auto"/>
                <w:sz w:val="24"/>
                <w:lang w:val="en-US" w:eastAsia="zh-CN"/>
              </w:rPr>
            </w:pPr>
            <w:r>
              <w:rPr>
                <w:rFonts w:hint="eastAsia" w:ascii="Times New Roman" w:hAnsi="Times New Roman" w:eastAsia="宋体" w:cs="宋体"/>
                <w:b w:val="0"/>
                <w:bCs/>
                <w:color w:val="auto"/>
                <w:sz w:val="24"/>
                <w:lang w:val="en-US" w:eastAsia="zh-CN"/>
              </w:rPr>
              <w:t>（</w:t>
            </w:r>
            <w:r>
              <w:rPr>
                <w:rFonts w:hint="eastAsia" w:ascii="Times New Roman" w:hAnsi="Times New Roman" w:cs="宋体"/>
                <w:b w:val="0"/>
                <w:bCs/>
                <w:color w:val="auto"/>
                <w:sz w:val="24"/>
                <w:lang w:val="en-US" w:eastAsia="zh-CN"/>
              </w:rPr>
              <w:t>8</w:t>
            </w:r>
            <w:r>
              <w:rPr>
                <w:rFonts w:hint="eastAsia" w:ascii="Times New Roman" w:hAnsi="Times New Roman" w:eastAsia="宋体" w:cs="宋体"/>
                <w:b w:val="0"/>
                <w:bCs/>
                <w:color w:val="auto"/>
                <w:sz w:val="24"/>
                <w:lang w:val="en-US" w:eastAsia="zh-CN"/>
              </w:rPr>
              <w:t>）废润滑油</w:t>
            </w:r>
          </w:p>
          <w:p w14:paraId="7982EE5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Autospacing="0" w:line="360" w:lineRule="auto"/>
              <w:ind w:left="0" w:right="0" w:firstLine="480"/>
              <w:textAlignment w:val="auto"/>
              <w:rPr>
                <w:rFonts w:hint="default" w:ascii="Times New Roman" w:hAnsi="Times New Roman"/>
                <w:color w:val="auto"/>
                <w:lang w:val="en-US" w:eastAsia="zh-CN"/>
              </w:rPr>
            </w:pPr>
            <w:r>
              <w:rPr>
                <w:rFonts w:hint="eastAsia" w:ascii="Times New Roman" w:hAnsi="Times New Roman" w:eastAsia="宋体"/>
                <w:b w:val="0"/>
                <w:bCs/>
                <w:color w:val="auto"/>
                <w:sz w:val="24"/>
              </w:rPr>
              <w:t>本项目生产过程中部分生产设备需要使用润滑油对设备进行润滑，润滑油平均</w:t>
            </w:r>
            <w:r>
              <w:rPr>
                <w:rFonts w:hint="eastAsia" w:ascii="Times New Roman" w:hAnsi="Times New Roman" w:eastAsia="宋体"/>
                <w:b w:val="0"/>
                <w:bCs/>
                <w:color w:val="auto"/>
                <w:sz w:val="24"/>
                <w:lang w:val="en-US" w:eastAsia="zh-CN"/>
              </w:rPr>
              <w:t>1</w:t>
            </w:r>
            <w:r>
              <w:rPr>
                <w:rFonts w:hint="eastAsia" w:ascii="Times New Roman" w:hAnsi="Times New Roman" w:eastAsia="宋体"/>
                <w:b w:val="0"/>
                <w:bCs/>
                <w:color w:val="auto"/>
                <w:sz w:val="24"/>
              </w:rPr>
              <w:t>年更换一次，每次润滑油使用量为</w:t>
            </w:r>
            <w:r>
              <w:rPr>
                <w:rFonts w:hint="eastAsia" w:ascii="Times New Roman" w:hAnsi="Times New Roman" w:eastAsia="宋体"/>
                <w:b w:val="0"/>
                <w:bCs/>
                <w:color w:val="auto"/>
                <w:sz w:val="24"/>
                <w:lang w:val="en-US" w:eastAsia="zh-CN"/>
              </w:rPr>
              <w:t>0.5</w:t>
            </w:r>
            <w:r>
              <w:rPr>
                <w:rFonts w:hint="eastAsia" w:ascii="Times New Roman" w:hAnsi="Times New Roman" w:eastAsia="宋体"/>
                <w:b w:val="0"/>
                <w:bCs/>
                <w:color w:val="auto"/>
                <w:sz w:val="24"/>
              </w:rPr>
              <w:t>t，润滑油损耗按照15%计，则每次更换下来的废润滑油量为</w:t>
            </w:r>
            <w:r>
              <w:rPr>
                <w:rFonts w:hint="eastAsia" w:ascii="Times New Roman" w:hAnsi="Times New Roman" w:eastAsia="宋体"/>
                <w:bCs/>
                <w:color w:val="auto"/>
                <w:sz w:val="24"/>
                <w:szCs w:val="24"/>
                <w:lang w:val="en-US" w:eastAsia="zh-CN"/>
              </w:rPr>
              <w:t>0.425t/a。收集后暂存于厂区内</w:t>
            </w:r>
            <w:r>
              <w:rPr>
                <w:rFonts w:hint="eastAsia"/>
                <w:bCs/>
                <w:color w:val="auto"/>
                <w:sz w:val="24"/>
                <w:szCs w:val="24"/>
                <w:lang w:val="en-US" w:eastAsia="zh-CN"/>
              </w:rPr>
              <w:t>危废库</w:t>
            </w:r>
            <w:r>
              <w:rPr>
                <w:rFonts w:hint="eastAsia" w:ascii="Times New Roman" w:hAnsi="Times New Roman" w:eastAsia="宋体"/>
                <w:bCs/>
                <w:color w:val="auto"/>
                <w:sz w:val="24"/>
                <w:szCs w:val="24"/>
                <w:lang w:val="en-US" w:eastAsia="zh-CN"/>
              </w:rPr>
              <w:t>内，定期委托有资质单位处置。</w:t>
            </w:r>
          </w:p>
          <w:p w14:paraId="4F3D9126">
            <w:pPr>
              <w:pStyle w:val="17"/>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宋体"/>
                <w:b w:val="0"/>
                <w:bCs/>
                <w:color w:val="auto"/>
                <w:sz w:val="24"/>
                <w:lang w:val="en-US" w:eastAsia="zh-CN"/>
              </w:rPr>
            </w:pPr>
            <w:r>
              <w:rPr>
                <w:rFonts w:hint="eastAsia" w:ascii="Times New Roman" w:hAnsi="Times New Roman" w:eastAsia="宋体" w:cs="宋体"/>
                <w:b w:val="0"/>
                <w:bCs/>
                <w:color w:val="auto"/>
                <w:sz w:val="24"/>
                <w:lang w:val="en-US" w:eastAsia="zh-CN"/>
              </w:rPr>
              <w:t>（</w:t>
            </w:r>
            <w:r>
              <w:rPr>
                <w:rFonts w:hint="eastAsia" w:ascii="Times New Roman" w:hAnsi="Times New Roman" w:cs="宋体"/>
                <w:b w:val="0"/>
                <w:bCs/>
                <w:color w:val="auto"/>
                <w:sz w:val="24"/>
                <w:lang w:val="en-US" w:eastAsia="zh-CN"/>
              </w:rPr>
              <w:t>9</w:t>
            </w:r>
            <w:r>
              <w:rPr>
                <w:rFonts w:hint="eastAsia" w:ascii="Times New Roman" w:hAnsi="Times New Roman" w:eastAsia="宋体" w:cs="宋体"/>
                <w:b w:val="0"/>
                <w:bCs/>
                <w:color w:val="auto"/>
                <w:sz w:val="24"/>
                <w:lang w:val="en-US" w:eastAsia="zh-CN"/>
              </w:rPr>
              <w:t>）废劳保用品</w:t>
            </w:r>
          </w:p>
          <w:p w14:paraId="4A5393ED">
            <w:pPr>
              <w:pStyle w:val="17"/>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宋体"/>
                <w:b w:val="0"/>
                <w:bCs/>
                <w:color w:val="auto"/>
                <w:sz w:val="24"/>
                <w:lang w:val="en-US" w:eastAsia="zh-CN"/>
              </w:rPr>
            </w:pPr>
            <w:r>
              <w:rPr>
                <w:rFonts w:hint="eastAsia" w:ascii="Times New Roman" w:hAnsi="Times New Roman" w:eastAsia="宋体" w:cs="宋体"/>
                <w:b w:val="0"/>
                <w:bCs/>
                <w:color w:val="auto"/>
                <w:sz w:val="24"/>
                <w:lang w:val="en-US" w:eastAsia="zh-CN"/>
              </w:rPr>
              <w:t>本项目设备维护、擦拭时会产生废劳保用品，经估算，废劳保用品产生量约为</w:t>
            </w:r>
            <w:r>
              <w:rPr>
                <w:rFonts w:hint="default" w:ascii="Times New Roman" w:hAnsi="Times New Roman" w:eastAsia="宋体" w:cs="宋体"/>
                <w:b w:val="0"/>
                <w:bCs/>
                <w:color w:val="auto"/>
                <w:sz w:val="24"/>
                <w:lang w:val="en-US" w:eastAsia="zh-CN"/>
              </w:rPr>
              <w:t>0.1t/a。</w:t>
            </w:r>
            <w:r>
              <w:rPr>
                <w:rFonts w:hint="eastAsia" w:ascii="Times New Roman" w:hAnsi="Times New Roman" w:eastAsia="宋体" w:cs="宋体"/>
                <w:b w:val="0"/>
                <w:bCs/>
                <w:color w:val="auto"/>
                <w:sz w:val="24"/>
                <w:lang w:val="en-US" w:eastAsia="zh-CN"/>
              </w:rPr>
              <w:t>废劳保用品</w:t>
            </w:r>
            <w:r>
              <w:rPr>
                <w:rFonts w:hint="default" w:ascii="Times New Roman" w:hAnsi="Times New Roman" w:eastAsia="宋体" w:cs="宋体"/>
                <w:b w:val="0"/>
                <w:bCs/>
                <w:color w:val="auto"/>
                <w:sz w:val="24"/>
                <w:lang w:val="en-US" w:eastAsia="zh-CN"/>
              </w:rPr>
              <w:t>收集后暂存于厂区内</w:t>
            </w:r>
            <w:r>
              <w:rPr>
                <w:rFonts w:hint="eastAsia" w:ascii="Times New Roman" w:hAnsi="Times New Roman" w:cs="宋体"/>
                <w:b w:val="0"/>
                <w:bCs/>
                <w:color w:val="auto"/>
                <w:sz w:val="24"/>
                <w:lang w:val="en-US" w:eastAsia="zh-CN"/>
              </w:rPr>
              <w:t>危废库</w:t>
            </w:r>
            <w:r>
              <w:rPr>
                <w:rFonts w:hint="default" w:ascii="Times New Roman" w:hAnsi="Times New Roman" w:eastAsia="宋体" w:cs="宋体"/>
                <w:b w:val="0"/>
                <w:bCs/>
                <w:color w:val="auto"/>
                <w:sz w:val="24"/>
                <w:lang w:val="en-US" w:eastAsia="zh-CN"/>
              </w:rPr>
              <w:t>内，</w:t>
            </w:r>
            <w:r>
              <w:rPr>
                <w:rFonts w:hint="eastAsia" w:ascii="Times New Roman" w:hAnsi="Times New Roman" w:eastAsia="宋体" w:cs="宋体"/>
                <w:b w:val="0"/>
                <w:bCs/>
                <w:color w:val="auto"/>
                <w:sz w:val="24"/>
              </w:rPr>
              <w:t>定期委托有资质单位处置</w:t>
            </w:r>
            <w:r>
              <w:rPr>
                <w:rFonts w:hint="default" w:ascii="Times New Roman" w:hAnsi="Times New Roman" w:eastAsia="宋体" w:cs="宋体"/>
                <w:b w:val="0"/>
                <w:bCs/>
                <w:color w:val="auto"/>
                <w:sz w:val="24"/>
                <w:lang w:val="en-US" w:eastAsia="zh-CN"/>
              </w:rPr>
              <w:t>。</w:t>
            </w:r>
          </w:p>
          <w:p w14:paraId="3E6E6BF2">
            <w:pPr>
              <w:pStyle w:val="17"/>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cs="宋体"/>
                <w:b w:val="0"/>
                <w:bCs/>
                <w:color w:val="auto"/>
                <w:sz w:val="24"/>
                <w:lang w:val="en-US" w:eastAsia="zh-CN"/>
              </w:rPr>
            </w:pPr>
            <w:r>
              <w:rPr>
                <w:rFonts w:hint="eastAsia" w:ascii="Times New Roman" w:hAnsi="Times New Roman" w:eastAsia="宋体" w:cs="宋体"/>
                <w:b w:val="0"/>
                <w:bCs/>
                <w:color w:val="auto"/>
                <w:sz w:val="24"/>
                <w:lang w:val="en-US" w:eastAsia="zh-CN"/>
              </w:rPr>
              <w:t>（</w:t>
            </w:r>
            <w:r>
              <w:rPr>
                <w:rFonts w:hint="eastAsia" w:ascii="Times New Roman" w:hAnsi="Times New Roman" w:cs="宋体"/>
                <w:b w:val="0"/>
                <w:bCs/>
                <w:color w:val="auto"/>
                <w:sz w:val="24"/>
                <w:lang w:val="en-US" w:eastAsia="zh-CN"/>
              </w:rPr>
              <w:t>10</w:t>
            </w:r>
            <w:r>
              <w:rPr>
                <w:rFonts w:hint="eastAsia" w:ascii="Times New Roman" w:hAnsi="Times New Roman" w:eastAsia="宋体" w:cs="宋体"/>
                <w:b w:val="0"/>
                <w:bCs/>
                <w:color w:val="auto"/>
                <w:sz w:val="24"/>
                <w:lang w:val="en-US" w:eastAsia="zh-CN"/>
              </w:rPr>
              <w:t>）</w:t>
            </w:r>
            <w:r>
              <w:rPr>
                <w:rFonts w:hint="eastAsia" w:ascii="Times New Roman" w:hAnsi="Times New Roman" w:cs="宋体"/>
                <w:b w:val="0"/>
                <w:bCs/>
                <w:color w:val="auto"/>
                <w:sz w:val="24"/>
                <w:lang w:val="en-US" w:eastAsia="zh-CN"/>
              </w:rPr>
              <w:t>化学品包装材料</w:t>
            </w:r>
          </w:p>
          <w:p w14:paraId="4939664E">
            <w:pPr>
              <w:pStyle w:val="17"/>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eastAsia="宋体" w:cs="宋体"/>
                <w:b w:val="0"/>
                <w:bCs/>
                <w:color w:val="auto"/>
                <w:sz w:val="24"/>
                <w:lang w:eastAsia="zh-CN"/>
              </w:rPr>
            </w:pPr>
            <w:r>
              <w:rPr>
                <w:rFonts w:hint="eastAsia" w:ascii="Times New Roman" w:hAnsi="Times New Roman" w:cs="宋体"/>
                <w:b w:val="0"/>
                <w:bCs/>
                <w:color w:val="auto"/>
                <w:sz w:val="24"/>
                <w:lang w:val="en-US" w:eastAsia="zh-CN"/>
              </w:rPr>
              <w:t>项目化学药剂的包装材料属于危险废物，废危化品包装材料年产生量约0.2t/a，</w:t>
            </w:r>
            <w:r>
              <w:rPr>
                <w:rFonts w:hint="default" w:ascii="Times New Roman" w:hAnsi="Times New Roman" w:eastAsia="宋体" w:cs="宋体"/>
                <w:b w:val="0"/>
                <w:bCs/>
                <w:color w:val="auto"/>
                <w:sz w:val="24"/>
                <w:lang w:val="en-US" w:eastAsia="zh-CN"/>
              </w:rPr>
              <w:t>收集后暂存于厂区内</w:t>
            </w:r>
            <w:r>
              <w:rPr>
                <w:rFonts w:hint="eastAsia" w:ascii="Times New Roman" w:hAnsi="Times New Roman" w:cs="宋体"/>
                <w:b w:val="0"/>
                <w:bCs/>
                <w:color w:val="auto"/>
                <w:sz w:val="24"/>
                <w:lang w:val="en-US" w:eastAsia="zh-CN"/>
              </w:rPr>
              <w:t>危废库</w:t>
            </w:r>
            <w:r>
              <w:rPr>
                <w:rFonts w:hint="default" w:ascii="Times New Roman" w:hAnsi="Times New Roman" w:eastAsia="宋体" w:cs="宋体"/>
                <w:b w:val="0"/>
                <w:bCs/>
                <w:color w:val="auto"/>
                <w:sz w:val="24"/>
                <w:lang w:val="en-US" w:eastAsia="zh-CN"/>
              </w:rPr>
              <w:t>内，</w:t>
            </w:r>
            <w:r>
              <w:rPr>
                <w:rFonts w:hint="eastAsia" w:ascii="Times New Roman" w:hAnsi="Times New Roman" w:eastAsia="宋体" w:cs="宋体"/>
                <w:b w:val="0"/>
                <w:bCs/>
                <w:color w:val="auto"/>
                <w:sz w:val="24"/>
              </w:rPr>
              <w:t>定期委托有资质单位处置</w:t>
            </w:r>
            <w:r>
              <w:rPr>
                <w:rFonts w:hint="default" w:ascii="Times New Roman" w:hAnsi="Times New Roman" w:eastAsia="宋体" w:cs="宋体"/>
                <w:b w:val="0"/>
                <w:bCs/>
                <w:color w:val="auto"/>
                <w:sz w:val="24"/>
                <w:lang w:val="en-US" w:eastAsia="zh-CN"/>
              </w:rPr>
              <w:t>。</w:t>
            </w:r>
          </w:p>
          <w:p w14:paraId="24F4A69C">
            <w:pPr>
              <w:pStyle w:val="17"/>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宋体"/>
                <w:b w:val="0"/>
                <w:bCs/>
                <w:color w:val="auto"/>
                <w:sz w:val="24"/>
                <w:lang w:val="en-US" w:eastAsia="zh-CN"/>
              </w:rPr>
            </w:pPr>
            <w:r>
              <w:rPr>
                <w:rFonts w:hint="eastAsia" w:ascii="Times New Roman" w:hAnsi="Times New Roman" w:eastAsia="宋体" w:cs="宋体"/>
                <w:b w:val="0"/>
                <w:bCs/>
                <w:color w:val="auto"/>
                <w:sz w:val="24"/>
                <w:lang w:eastAsia="zh-CN"/>
              </w:rPr>
              <w:t>（</w:t>
            </w:r>
            <w:r>
              <w:rPr>
                <w:rFonts w:hint="eastAsia" w:ascii="Times New Roman" w:hAnsi="Times New Roman" w:cs="宋体"/>
                <w:b w:val="0"/>
                <w:bCs/>
                <w:color w:val="auto"/>
                <w:sz w:val="24"/>
                <w:lang w:val="en-US" w:eastAsia="zh-CN"/>
              </w:rPr>
              <w:t>11</w:t>
            </w:r>
            <w:r>
              <w:rPr>
                <w:rFonts w:hint="eastAsia" w:ascii="Times New Roman" w:hAnsi="Times New Roman" w:eastAsia="宋体" w:cs="宋体"/>
                <w:b w:val="0"/>
                <w:bCs/>
                <w:color w:val="auto"/>
                <w:sz w:val="24"/>
                <w:lang w:eastAsia="zh-CN"/>
              </w:rPr>
              <w:t>）</w:t>
            </w:r>
            <w:r>
              <w:rPr>
                <w:rFonts w:hint="eastAsia" w:ascii="Times New Roman" w:hAnsi="Times New Roman" w:eastAsia="宋体" w:cs="宋体"/>
                <w:b w:val="0"/>
                <w:bCs/>
                <w:color w:val="auto"/>
                <w:sz w:val="24"/>
                <w:lang w:val="en-US" w:eastAsia="zh-CN"/>
              </w:rPr>
              <w:t>生活垃圾</w:t>
            </w:r>
          </w:p>
          <w:p w14:paraId="5E095BFC">
            <w:pPr>
              <w:pStyle w:val="17"/>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eastAsia="宋体"/>
                <w:bCs/>
                <w:color w:val="auto"/>
                <w:sz w:val="24"/>
                <w:szCs w:val="24"/>
                <w:lang w:val="en-US" w:eastAsia="zh-CN"/>
              </w:rPr>
            </w:pPr>
            <w:r>
              <w:rPr>
                <w:rFonts w:hint="eastAsia" w:ascii="Times New Roman" w:hAnsi="Times New Roman" w:eastAsia="宋体" w:cs="宋体"/>
                <w:b w:val="0"/>
                <w:bCs/>
                <w:color w:val="auto"/>
                <w:sz w:val="24"/>
                <w:lang w:val="en-US" w:eastAsia="zh-CN"/>
              </w:rPr>
              <w:t>本项目定员</w:t>
            </w:r>
            <w:r>
              <w:rPr>
                <w:rFonts w:hint="eastAsia" w:ascii="Times New Roman" w:hAnsi="Times New Roman" w:cs="宋体"/>
                <w:b w:val="0"/>
                <w:bCs/>
                <w:color w:val="auto"/>
                <w:sz w:val="24"/>
                <w:lang w:val="en-US" w:eastAsia="zh-CN"/>
              </w:rPr>
              <w:t>50</w:t>
            </w:r>
            <w:r>
              <w:rPr>
                <w:rFonts w:hint="eastAsia" w:ascii="Times New Roman" w:hAnsi="Times New Roman" w:eastAsia="宋体" w:cs="宋体"/>
                <w:b w:val="0"/>
                <w:bCs/>
                <w:color w:val="auto"/>
                <w:sz w:val="24"/>
                <w:lang w:val="en-US" w:eastAsia="zh-CN"/>
              </w:rPr>
              <w:t>人，年生产</w:t>
            </w:r>
            <w:r>
              <w:rPr>
                <w:rFonts w:hint="eastAsia" w:ascii="Times New Roman" w:hAnsi="Times New Roman" w:cs="宋体"/>
                <w:b w:val="0"/>
                <w:bCs/>
                <w:color w:val="auto"/>
                <w:sz w:val="24"/>
                <w:lang w:val="en-US" w:eastAsia="zh-CN"/>
              </w:rPr>
              <w:t>330</w:t>
            </w:r>
            <w:r>
              <w:rPr>
                <w:rFonts w:hint="eastAsia" w:ascii="Times New Roman" w:hAnsi="Times New Roman" w:eastAsia="宋体" w:cs="宋体"/>
                <w:b w:val="0"/>
                <w:bCs/>
                <w:color w:val="auto"/>
                <w:sz w:val="24"/>
                <w:lang w:val="en-US" w:eastAsia="zh-CN"/>
              </w:rPr>
              <w:t>天，生活垃圾产量按0.5kg/人·天计算，则生活垃圾产生量约为</w:t>
            </w:r>
            <w:r>
              <w:rPr>
                <w:rFonts w:hint="eastAsia" w:ascii="Times New Roman" w:hAnsi="Times New Roman" w:cs="宋体"/>
                <w:b w:val="0"/>
                <w:bCs/>
                <w:color w:val="auto"/>
                <w:sz w:val="24"/>
                <w:lang w:val="en-US" w:eastAsia="zh-CN"/>
              </w:rPr>
              <w:t>8.25</w:t>
            </w:r>
            <w:r>
              <w:rPr>
                <w:rFonts w:hint="eastAsia" w:ascii="Times New Roman" w:hAnsi="Times New Roman" w:eastAsia="宋体" w:cs="宋体"/>
                <w:b w:val="0"/>
                <w:bCs/>
                <w:color w:val="auto"/>
                <w:sz w:val="24"/>
                <w:lang w:val="en-US" w:eastAsia="zh-CN"/>
              </w:rPr>
              <w:t>t/a，生活垃圾收集后由环卫部门统一清运。</w:t>
            </w:r>
          </w:p>
        </w:tc>
      </w:tr>
    </w:tbl>
    <w:p w14:paraId="431CE9D4">
      <w:pPr>
        <w:pStyle w:val="16"/>
        <w:rPr>
          <w:color w:val="auto"/>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75"/>
        <w:gridCol w:w="15051"/>
      </w:tblGrid>
      <w:tr w14:paraId="189B160C">
        <w:trPr>
          <w:trHeight w:val="8675" w:hRule="atLeast"/>
          <w:jc w:val="center"/>
        </w:trPr>
        <w:tc>
          <w:tcPr>
            <w:tcW w:w="575" w:type="dxa"/>
            <w:noWrap w:val="0"/>
            <w:vAlign w:val="center"/>
          </w:tcPr>
          <w:p w14:paraId="0737BFEE">
            <w:pPr>
              <w:adjustRightInd w:val="0"/>
              <w:snapToGrid w:val="0"/>
              <w:jc w:val="center"/>
              <w:rPr>
                <w:rFonts w:ascii="宋体" w:hAnsi="宋体" w:cs="宋体"/>
                <w:color w:val="auto"/>
                <w:szCs w:val="21"/>
              </w:rPr>
            </w:pPr>
          </w:p>
        </w:tc>
        <w:tc>
          <w:tcPr>
            <w:tcW w:w="15051" w:type="dxa"/>
            <w:noWrap w:val="0"/>
            <w:vAlign w:val="top"/>
          </w:tcPr>
          <w:p w14:paraId="03996C9C">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ascii="Times New Roman" w:hAnsi="Times New Roman"/>
                <w:b/>
                <w:bCs/>
                <w:color w:val="auto"/>
                <w:sz w:val="21"/>
                <w:szCs w:val="21"/>
              </w:rPr>
            </w:pPr>
            <w:r>
              <w:rPr>
                <w:rFonts w:ascii="Times New Roman" w:hAnsi="Times New Roman"/>
                <w:b/>
                <w:bCs/>
                <w:color w:val="auto"/>
                <w:sz w:val="21"/>
                <w:szCs w:val="21"/>
              </w:rPr>
              <w:t>表4-</w:t>
            </w:r>
            <w:r>
              <w:rPr>
                <w:rFonts w:hint="eastAsia" w:ascii="Times New Roman" w:hAnsi="Times New Roman"/>
                <w:b/>
                <w:bCs/>
                <w:color w:val="auto"/>
                <w:sz w:val="21"/>
                <w:szCs w:val="21"/>
                <w:lang w:val="en-US" w:eastAsia="zh-CN"/>
              </w:rPr>
              <w:t xml:space="preserve">23  </w:t>
            </w:r>
            <w:r>
              <w:rPr>
                <w:rFonts w:ascii="Times New Roman" w:hAnsi="Times New Roman"/>
                <w:b/>
                <w:bCs/>
                <w:color w:val="auto"/>
                <w:sz w:val="21"/>
                <w:szCs w:val="21"/>
              </w:rPr>
              <w:t>项目固废产生及处置情况一览表</w:t>
            </w:r>
          </w:p>
          <w:tbl>
            <w:tblPr>
              <w:tblStyle w:val="21"/>
              <w:tblW w:w="1462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504"/>
              <w:gridCol w:w="1620"/>
              <w:gridCol w:w="690"/>
              <w:gridCol w:w="465"/>
              <w:gridCol w:w="1335"/>
              <w:gridCol w:w="915"/>
              <w:gridCol w:w="1425"/>
              <w:gridCol w:w="705"/>
              <w:gridCol w:w="945"/>
              <w:gridCol w:w="915"/>
              <w:gridCol w:w="900"/>
              <w:gridCol w:w="1125"/>
              <w:gridCol w:w="1653"/>
            </w:tblGrid>
            <w:tr w14:paraId="000242DA">
              <w:trPr>
                <w:trHeight w:val="454" w:hRule="atLeast"/>
                <w:jc w:val="center"/>
              </w:trPr>
              <w:tc>
                <w:tcPr>
                  <w:tcW w:w="426" w:type="dxa"/>
                  <w:noWrap w:val="0"/>
                  <w:vAlign w:val="center"/>
                </w:tcPr>
                <w:p w14:paraId="7EFC7DEA">
                  <w:pPr>
                    <w:adjustRightInd w:val="0"/>
                    <w:snapToGrid w:val="0"/>
                    <w:jc w:val="center"/>
                    <w:rPr>
                      <w:rFonts w:ascii="Times New Roman" w:hAnsi="Times New Roman" w:eastAsia="宋体"/>
                      <w:color w:val="auto"/>
                      <w:sz w:val="21"/>
                      <w:szCs w:val="18"/>
                    </w:rPr>
                  </w:pPr>
                  <w:r>
                    <w:rPr>
                      <w:rFonts w:ascii="Times New Roman" w:hAnsi="Times New Roman" w:eastAsia="宋体"/>
                      <w:color w:val="auto"/>
                      <w:sz w:val="21"/>
                      <w:szCs w:val="18"/>
                    </w:rPr>
                    <w:t>序号</w:t>
                  </w:r>
                </w:p>
              </w:tc>
              <w:tc>
                <w:tcPr>
                  <w:tcW w:w="1504" w:type="dxa"/>
                  <w:noWrap w:val="0"/>
                  <w:vAlign w:val="center"/>
                </w:tcPr>
                <w:p w14:paraId="37110B90">
                  <w:pPr>
                    <w:adjustRightInd w:val="0"/>
                    <w:snapToGrid w:val="0"/>
                    <w:jc w:val="center"/>
                    <w:rPr>
                      <w:rFonts w:ascii="Times New Roman" w:hAnsi="Times New Roman" w:eastAsia="宋体"/>
                      <w:color w:val="auto"/>
                      <w:sz w:val="21"/>
                      <w:szCs w:val="18"/>
                    </w:rPr>
                  </w:pPr>
                  <w:r>
                    <w:rPr>
                      <w:rFonts w:ascii="Times New Roman" w:hAnsi="Times New Roman" w:eastAsia="宋体"/>
                      <w:color w:val="auto"/>
                      <w:sz w:val="21"/>
                      <w:szCs w:val="18"/>
                    </w:rPr>
                    <w:t>固废名称</w:t>
                  </w:r>
                </w:p>
              </w:tc>
              <w:tc>
                <w:tcPr>
                  <w:tcW w:w="1620" w:type="dxa"/>
                  <w:noWrap w:val="0"/>
                  <w:vAlign w:val="center"/>
                </w:tcPr>
                <w:p w14:paraId="606E3567">
                  <w:pPr>
                    <w:adjustRightInd w:val="0"/>
                    <w:snapToGrid w:val="0"/>
                    <w:jc w:val="center"/>
                    <w:rPr>
                      <w:rFonts w:ascii="Times New Roman" w:hAnsi="Times New Roman" w:eastAsia="宋体"/>
                      <w:color w:val="auto"/>
                      <w:sz w:val="21"/>
                      <w:szCs w:val="18"/>
                    </w:rPr>
                  </w:pPr>
                  <w:r>
                    <w:rPr>
                      <w:rFonts w:ascii="Times New Roman" w:hAnsi="Times New Roman" w:eastAsia="宋体"/>
                      <w:color w:val="auto"/>
                      <w:sz w:val="21"/>
                      <w:szCs w:val="18"/>
                    </w:rPr>
                    <w:t>产生环节</w:t>
                  </w:r>
                </w:p>
              </w:tc>
              <w:tc>
                <w:tcPr>
                  <w:tcW w:w="690" w:type="dxa"/>
                  <w:noWrap w:val="0"/>
                  <w:vAlign w:val="center"/>
                </w:tcPr>
                <w:p w14:paraId="311D4094">
                  <w:pPr>
                    <w:adjustRightInd w:val="0"/>
                    <w:snapToGrid w:val="0"/>
                    <w:jc w:val="center"/>
                    <w:rPr>
                      <w:rFonts w:ascii="Times New Roman" w:hAnsi="Times New Roman" w:eastAsia="宋体"/>
                      <w:color w:val="auto"/>
                      <w:sz w:val="21"/>
                      <w:szCs w:val="18"/>
                    </w:rPr>
                  </w:pPr>
                  <w:r>
                    <w:rPr>
                      <w:rFonts w:ascii="Times New Roman" w:hAnsi="Times New Roman" w:eastAsia="宋体"/>
                      <w:color w:val="auto"/>
                      <w:sz w:val="21"/>
                      <w:szCs w:val="18"/>
                    </w:rPr>
                    <w:t>属性</w:t>
                  </w:r>
                </w:p>
              </w:tc>
              <w:tc>
                <w:tcPr>
                  <w:tcW w:w="465" w:type="dxa"/>
                  <w:noWrap w:val="0"/>
                  <w:vAlign w:val="center"/>
                </w:tcPr>
                <w:p w14:paraId="280A4059">
                  <w:pPr>
                    <w:adjustRightInd w:val="0"/>
                    <w:snapToGrid w:val="0"/>
                    <w:jc w:val="center"/>
                    <w:rPr>
                      <w:rFonts w:ascii="Times New Roman" w:hAnsi="Times New Roman" w:eastAsia="宋体"/>
                      <w:color w:val="auto"/>
                      <w:sz w:val="21"/>
                      <w:szCs w:val="18"/>
                    </w:rPr>
                  </w:pPr>
                  <w:r>
                    <w:rPr>
                      <w:rFonts w:ascii="Times New Roman" w:hAnsi="Times New Roman" w:eastAsia="宋体"/>
                      <w:color w:val="auto"/>
                      <w:sz w:val="21"/>
                      <w:szCs w:val="18"/>
                    </w:rPr>
                    <w:t>性状</w:t>
                  </w:r>
                </w:p>
              </w:tc>
              <w:tc>
                <w:tcPr>
                  <w:tcW w:w="1335" w:type="dxa"/>
                  <w:noWrap w:val="0"/>
                  <w:vAlign w:val="center"/>
                </w:tcPr>
                <w:p w14:paraId="1CF7A7DC">
                  <w:pPr>
                    <w:adjustRightInd w:val="0"/>
                    <w:snapToGrid w:val="0"/>
                    <w:jc w:val="center"/>
                    <w:rPr>
                      <w:rFonts w:ascii="Times New Roman" w:hAnsi="Times New Roman" w:eastAsia="宋体"/>
                      <w:color w:val="auto"/>
                      <w:sz w:val="21"/>
                      <w:szCs w:val="18"/>
                    </w:rPr>
                  </w:pPr>
                  <w:r>
                    <w:rPr>
                      <w:rFonts w:ascii="Times New Roman" w:hAnsi="Times New Roman" w:eastAsia="宋体"/>
                      <w:color w:val="auto"/>
                      <w:sz w:val="21"/>
                      <w:szCs w:val="18"/>
                    </w:rPr>
                    <w:t>有害成分</w:t>
                  </w:r>
                </w:p>
              </w:tc>
              <w:tc>
                <w:tcPr>
                  <w:tcW w:w="915" w:type="dxa"/>
                  <w:noWrap w:val="0"/>
                  <w:vAlign w:val="center"/>
                </w:tcPr>
                <w:p w14:paraId="0E5D7448">
                  <w:pPr>
                    <w:adjustRightInd w:val="0"/>
                    <w:snapToGrid w:val="0"/>
                    <w:jc w:val="center"/>
                    <w:rPr>
                      <w:rFonts w:ascii="Times New Roman" w:hAnsi="Times New Roman" w:eastAsia="宋体"/>
                      <w:color w:val="auto"/>
                      <w:sz w:val="21"/>
                      <w:szCs w:val="18"/>
                    </w:rPr>
                  </w:pPr>
                  <w:r>
                    <w:rPr>
                      <w:rFonts w:hint="eastAsia" w:ascii="Times New Roman" w:hAnsi="Times New Roman" w:eastAsia="宋体"/>
                      <w:color w:val="auto"/>
                      <w:sz w:val="21"/>
                      <w:szCs w:val="18"/>
                    </w:rPr>
                    <w:t>废物</w:t>
                  </w:r>
                  <w:r>
                    <w:rPr>
                      <w:rFonts w:ascii="Times New Roman" w:hAnsi="Times New Roman" w:eastAsia="宋体"/>
                      <w:color w:val="auto"/>
                      <w:sz w:val="21"/>
                      <w:szCs w:val="18"/>
                    </w:rPr>
                    <w:t>类别</w:t>
                  </w:r>
                </w:p>
              </w:tc>
              <w:tc>
                <w:tcPr>
                  <w:tcW w:w="1425" w:type="dxa"/>
                  <w:noWrap w:val="0"/>
                  <w:vAlign w:val="center"/>
                </w:tcPr>
                <w:p w14:paraId="3E1D50DE">
                  <w:pPr>
                    <w:adjustRightInd w:val="0"/>
                    <w:snapToGrid w:val="0"/>
                    <w:jc w:val="center"/>
                    <w:rPr>
                      <w:rFonts w:ascii="Times New Roman" w:hAnsi="Times New Roman" w:eastAsia="宋体"/>
                      <w:color w:val="auto"/>
                      <w:sz w:val="21"/>
                      <w:szCs w:val="18"/>
                    </w:rPr>
                  </w:pPr>
                  <w:r>
                    <w:rPr>
                      <w:rFonts w:hint="eastAsia" w:ascii="Times New Roman" w:hAnsi="Times New Roman" w:eastAsia="宋体"/>
                      <w:color w:val="auto"/>
                      <w:sz w:val="21"/>
                      <w:szCs w:val="18"/>
                    </w:rPr>
                    <w:t>废物</w:t>
                  </w:r>
                  <w:r>
                    <w:rPr>
                      <w:rFonts w:ascii="Times New Roman" w:hAnsi="Times New Roman" w:eastAsia="宋体"/>
                      <w:color w:val="auto"/>
                      <w:sz w:val="21"/>
                      <w:szCs w:val="18"/>
                    </w:rPr>
                    <w:t>代码</w:t>
                  </w:r>
                </w:p>
              </w:tc>
              <w:tc>
                <w:tcPr>
                  <w:tcW w:w="705" w:type="dxa"/>
                  <w:noWrap w:val="0"/>
                  <w:vAlign w:val="center"/>
                </w:tcPr>
                <w:p w14:paraId="69B8189A">
                  <w:pPr>
                    <w:adjustRightInd w:val="0"/>
                    <w:snapToGrid w:val="0"/>
                    <w:jc w:val="center"/>
                    <w:rPr>
                      <w:rFonts w:ascii="Times New Roman" w:hAnsi="Times New Roman" w:eastAsia="宋体"/>
                      <w:color w:val="auto"/>
                      <w:sz w:val="21"/>
                      <w:szCs w:val="18"/>
                    </w:rPr>
                  </w:pPr>
                  <w:r>
                    <w:rPr>
                      <w:rFonts w:ascii="Times New Roman" w:hAnsi="Times New Roman" w:eastAsia="宋体"/>
                      <w:color w:val="auto"/>
                      <w:sz w:val="21"/>
                      <w:szCs w:val="18"/>
                    </w:rPr>
                    <w:t>危险</w:t>
                  </w:r>
                </w:p>
                <w:p w14:paraId="72B3C1C2">
                  <w:pPr>
                    <w:adjustRightInd w:val="0"/>
                    <w:snapToGrid w:val="0"/>
                    <w:jc w:val="center"/>
                    <w:rPr>
                      <w:rFonts w:ascii="Times New Roman" w:hAnsi="Times New Roman" w:eastAsia="宋体"/>
                      <w:color w:val="auto"/>
                      <w:sz w:val="21"/>
                      <w:szCs w:val="18"/>
                    </w:rPr>
                  </w:pPr>
                  <w:r>
                    <w:rPr>
                      <w:rFonts w:ascii="Times New Roman" w:hAnsi="Times New Roman" w:eastAsia="宋体"/>
                      <w:color w:val="auto"/>
                      <w:sz w:val="21"/>
                      <w:szCs w:val="18"/>
                    </w:rPr>
                    <w:t>特性</w:t>
                  </w:r>
                </w:p>
              </w:tc>
              <w:tc>
                <w:tcPr>
                  <w:tcW w:w="945" w:type="dxa"/>
                  <w:noWrap w:val="0"/>
                  <w:vAlign w:val="center"/>
                </w:tcPr>
                <w:p w14:paraId="1E5AD94E">
                  <w:pPr>
                    <w:adjustRightInd w:val="0"/>
                    <w:snapToGrid w:val="0"/>
                    <w:jc w:val="center"/>
                    <w:rPr>
                      <w:rFonts w:ascii="Times New Roman" w:hAnsi="Times New Roman" w:eastAsia="宋体"/>
                      <w:color w:val="auto"/>
                      <w:sz w:val="21"/>
                      <w:szCs w:val="18"/>
                    </w:rPr>
                  </w:pPr>
                  <w:r>
                    <w:rPr>
                      <w:rFonts w:ascii="Times New Roman" w:hAnsi="Times New Roman" w:eastAsia="宋体"/>
                      <w:color w:val="auto"/>
                      <w:sz w:val="21"/>
                      <w:szCs w:val="18"/>
                    </w:rPr>
                    <w:t>产生量</w:t>
                  </w:r>
                </w:p>
                <w:p w14:paraId="1031F8D1">
                  <w:pPr>
                    <w:adjustRightInd w:val="0"/>
                    <w:snapToGrid w:val="0"/>
                    <w:jc w:val="center"/>
                    <w:rPr>
                      <w:rFonts w:ascii="Times New Roman" w:hAnsi="Times New Roman" w:eastAsia="宋体"/>
                      <w:color w:val="auto"/>
                      <w:sz w:val="21"/>
                      <w:szCs w:val="18"/>
                    </w:rPr>
                  </w:pPr>
                  <w:r>
                    <w:rPr>
                      <w:rFonts w:hint="eastAsia"/>
                      <w:color w:val="auto"/>
                      <w:sz w:val="21"/>
                      <w:szCs w:val="18"/>
                      <w:lang w:eastAsia="zh-CN"/>
                    </w:rPr>
                    <w:t>(</w:t>
                  </w:r>
                  <w:r>
                    <w:rPr>
                      <w:rFonts w:ascii="Times New Roman" w:hAnsi="Times New Roman" w:eastAsia="宋体"/>
                      <w:color w:val="auto"/>
                      <w:sz w:val="21"/>
                      <w:szCs w:val="18"/>
                    </w:rPr>
                    <w:t>t/a</w:t>
                  </w:r>
                  <w:r>
                    <w:rPr>
                      <w:rFonts w:hint="eastAsia"/>
                      <w:color w:val="auto"/>
                      <w:sz w:val="21"/>
                      <w:szCs w:val="18"/>
                      <w:lang w:eastAsia="zh-CN"/>
                    </w:rPr>
                    <w:t>)</w:t>
                  </w:r>
                </w:p>
              </w:tc>
              <w:tc>
                <w:tcPr>
                  <w:tcW w:w="915" w:type="dxa"/>
                  <w:noWrap w:val="0"/>
                  <w:vAlign w:val="center"/>
                </w:tcPr>
                <w:p w14:paraId="35B7D2C0">
                  <w:pPr>
                    <w:adjustRightInd w:val="0"/>
                    <w:snapToGrid w:val="0"/>
                    <w:jc w:val="center"/>
                    <w:rPr>
                      <w:rFonts w:ascii="Times New Roman" w:hAnsi="Times New Roman" w:eastAsia="宋体"/>
                      <w:color w:val="auto"/>
                      <w:sz w:val="21"/>
                      <w:szCs w:val="18"/>
                    </w:rPr>
                  </w:pPr>
                  <w:r>
                    <w:rPr>
                      <w:rFonts w:ascii="Times New Roman" w:hAnsi="Times New Roman" w:eastAsia="宋体"/>
                      <w:color w:val="auto"/>
                      <w:sz w:val="21"/>
                      <w:szCs w:val="18"/>
                    </w:rPr>
                    <w:t>利用量</w:t>
                  </w:r>
                </w:p>
                <w:p w14:paraId="0D730A04">
                  <w:pPr>
                    <w:pStyle w:val="16"/>
                    <w:spacing w:after="0"/>
                    <w:ind w:left="0" w:leftChars="0" w:firstLine="0" w:firstLineChars="0"/>
                    <w:jc w:val="center"/>
                    <w:rPr>
                      <w:rFonts w:ascii="Times New Roman" w:hAnsi="Times New Roman" w:eastAsia="宋体"/>
                      <w:color w:val="auto"/>
                      <w:sz w:val="21"/>
                      <w:szCs w:val="18"/>
                    </w:rPr>
                  </w:pPr>
                  <w:r>
                    <w:rPr>
                      <w:rFonts w:hint="eastAsia"/>
                      <w:color w:val="auto"/>
                      <w:sz w:val="21"/>
                      <w:szCs w:val="18"/>
                      <w:lang w:eastAsia="zh-CN"/>
                    </w:rPr>
                    <w:t>(</w:t>
                  </w:r>
                  <w:r>
                    <w:rPr>
                      <w:rFonts w:ascii="Times New Roman" w:hAnsi="Times New Roman" w:eastAsia="宋体"/>
                      <w:color w:val="auto"/>
                      <w:sz w:val="21"/>
                      <w:szCs w:val="18"/>
                    </w:rPr>
                    <w:t>t/a</w:t>
                  </w:r>
                  <w:r>
                    <w:rPr>
                      <w:rFonts w:hint="eastAsia"/>
                      <w:color w:val="auto"/>
                      <w:sz w:val="21"/>
                      <w:szCs w:val="18"/>
                      <w:lang w:eastAsia="zh-CN"/>
                    </w:rPr>
                    <w:t>)</w:t>
                  </w:r>
                </w:p>
              </w:tc>
              <w:tc>
                <w:tcPr>
                  <w:tcW w:w="900" w:type="dxa"/>
                  <w:noWrap w:val="0"/>
                  <w:vAlign w:val="center"/>
                </w:tcPr>
                <w:p w14:paraId="7AF07E88">
                  <w:pPr>
                    <w:adjustRightInd w:val="0"/>
                    <w:snapToGrid w:val="0"/>
                    <w:jc w:val="center"/>
                    <w:rPr>
                      <w:rFonts w:ascii="Times New Roman" w:hAnsi="Times New Roman" w:eastAsia="宋体"/>
                      <w:color w:val="auto"/>
                      <w:sz w:val="21"/>
                      <w:szCs w:val="18"/>
                    </w:rPr>
                  </w:pPr>
                  <w:r>
                    <w:rPr>
                      <w:rFonts w:ascii="Times New Roman" w:hAnsi="Times New Roman" w:eastAsia="宋体"/>
                      <w:color w:val="auto"/>
                      <w:sz w:val="21"/>
                      <w:szCs w:val="18"/>
                    </w:rPr>
                    <w:t>处置量</w:t>
                  </w:r>
                </w:p>
                <w:p w14:paraId="3BC9E390">
                  <w:pPr>
                    <w:pStyle w:val="16"/>
                    <w:spacing w:after="0"/>
                    <w:ind w:left="0" w:leftChars="0" w:firstLine="0" w:firstLineChars="0"/>
                    <w:jc w:val="center"/>
                    <w:rPr>
                      <w:rFonts w:ascii="Times New Roman" w:hAnsi="Times New Roman" w:eastAsia="宋体"/>
                      <w:color w:val="auto"/>
                      <w:sz w:val="21"/>
                      <w:szCs w:val="18"/>
                    </w:rPr>
                  </w:pPr>
                  <w:r>
                    <w:rPr>
                      <w:rFonts w:hint="eastAsia"/>
                      <w:color w:val="auto"/>
                      <w:sz w:val="21"/>
                      <w:szCs w:val="18"/>
                      <w:lang w:eastAsia="zh-CN"/>
                    </w:rPr>
                    <w:t>(</w:t>
                  </w:r>
                  <w:r>
                    <w:rPr>
                      <w:rFonts w:ascii="Times New Roman" w:hAnsi="Times New Roman" w:eastAsia="宋体"/>
                      <w:color w:val="auto"/>
                      <w:sz w:val="21"/>
                      <w:szCs w:val="18"/>
                    </w:rPr>
                    <w:t>t/a</w:t>
                  </w:r>
                  <w:r>
                    <w:rPr>
                      <w:rFonts w:hint="eastAsia"/>
                      <w:color w:val="auto"/>
                      <w:sz w:val="21"/>
                      <w:szCs w:val="18"/>
                      <w:lang w:eastAsia="zh-CN"/>
                    </w:rPr>
                    <w:t>)</w:t>
                  </w:r>
                </w:p>
              </w:tc>
              <w:tc>
                <w:tcPr>
                  <w:tcW w:w="1125" w:type="dxa"/>
                  <w:noWrap w:val="0"/>
                  <w:vAlign w:val="center"/>
                </w:tcPr>
                <w:p w14:paraId="40E2FC57">
                  <w:pPr>
                    <w:adjustRightInd w:val="0"/>
                    <w:snapToGrid w:val="0"/>
                    <w:jc w:val="center"/>
                    <w:rPr>
                      <w:rFonts w:ascii="Times New Roman" w:hAnsi="Times New Roman" w:eastAsia="宋体"/>
                      <w:color w:val="auto"/>
                      <w:sz w:val="21"/>
                      <w:szCs w:val="18"/>
                    </w:rPr>
                  </w:pPr>
                  <w:r>
                    <w:rPr>
                      <w:rFonts w:ascii="Times New Roman" w:hAnsi="Times New Roman" w:eastAsia="宋体"/>
                      <w:color w:val="auto"/>
                      <w:sz w:val="21"/>
                      <w:szCs w:val="18"/>
                    </w:rPr>
                    <w:t>贮存方式</w:t>
                  </w:r>
                </w:p>
              </w:tc>
              <w:tc>
                <w:tcPr>
                  <w:tcW w:w="1653" w:type="dxa"/>
                  <w:noWrap w:val="0"/>
                  <w:vAlign w:val="center"/>
                </w:tcPr>
                <w:p w14:paraId="67BCA1DB">
                  <w:pPr>
                    <w:adjustRightInd w:val="0"/>
                    <w:snapToGrid w:val="0"/>
                    <w:jc w:val="center"/>
                    <w:rPr>
                      <w:rFonts w:ascii="Times New Roman" w:hAnsi="Times New Roman" w:eastAsia="宋体"/>
                      <w:color w:val="auto"/>
                      <w:sz w:val="21"/>
                      <w:szCs w:val="18"/>
                    </w:rPr>
                  </w:pPr>
                  <w:r>
                    <w:rPr>
                      <w:rFonts w:ascii="Times New Roman" w:hAnsi="Times New Roman" w:eastAsia="宋体"/>
                      <w:color w:val="auto"/>
                      <w:sz w:val="21"/>
                      <w:szCs w:val="18"/>
                    </w:rPr>
                    <w:t>利用处置方式和去向</w:t>
                  </w:r>
                </w:p>
              </w:tc>
            </w:tr>
            <w:tr w14:paraId="4DEC8FDF">
              <w:trPr>
                <w:trHeight w:val="659" w:hRule="exact"/>
                <w:jc w:val="center"/>
              </w:trPr>
              <w:tc>
                <w:tcPr>
                  <w:tcW w:w="426" w:type="dxa"/>
                  <w:noWrap w:val="0"/>
                  <w:vAlign w:val="center"/>
                </w:tcPr>
                <w:p w14:paraId="7DE84F87">
                  <w:pPr>
                    <w:numPr>
                      <w:ilvl w:val="0"/>
                      <w:numId w:val="26"/>
                    </w:numPr>
                    <w:adjustRightInd w:val="0"/>
                    <w:snapToGrid w:val="0"/>
                    <w:ind w:left="0" w:leftChars="0" w:firstLine="0" w:firstLineChars="0"/>
                    <w:jc w:val="center"/>
                    <w:rPr>
                      <w:rFonts w:ascii="Times New Roman" w:hAnsi="Times New Roman" w:eastAsia="宋体"/>
                      <w:color w:val="auto"/>
                      <w:sz w:val="21"/>
                      <w:szCs w:val="18"/>
                    </w:rPr>
                  </w:pPr>
                </w:p>
              </w:tc>
              <w:tc>
                <w:tcPr>
                  <w:tcW w:w="1504" w:type="dxa"/>
                  <w:noWrap w:val="0"/>
                  <w:vAlign w:val="center"/>
                </w:tcPr>
                <w:p w14:paraId="01AB143D">
                  <w:pPr>
                    <w:pStyle w:val="17"/>
                    <w:spacing w:line="240" w:lineRule="auto"/>
                    <w:ind w:left="0" w:leftChars="0" w:firstLine="0" w:firstLineChars="0"/>
                    <w:jc w:val="center"/>
                    <w:rPr>
                      <w:rFonts w:hint="default" w:ascii="Times New Roman" w:hAnsi="Times New Roman" w:eastAsia="宋体"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一般包装材料</w:t>
                  </w:r>
                </w:p>
              </w:tc>
              <w:tc>
                <w:tcPr>
                  <w:tcW w:w="1620" w:type="dxa"/>
                  <w:noWrap w:val="0"/>
                  <w:vAlign w:val="center"/>
                </w:tcPr>
                <w:p w14:paraId="49E1C48D">
                  <w:pPr>
                    <w:pStyle w:val="36"/>
                    <w:keepNext w:val="0"/>
                    <w:keepLines w:val="0"/>
                    <w:suppressLineNumbers w:val="0"/>
                    <w:bidi w:val="0"/>
                    <w:spacing w:before="0" w:beforeAutospacing="0" w:after="0" w:afterAutospacing="0"/>
                    <w:ind w:left="0" w:leftChars="0" w:right="0" w:rightChars="0"/>
                    <w:rPr>
                      <w:rFonts w:hint="default" w:ascii="Times New Roman" w:hAnsi="Times New Roman" w:eastAsia="宋体"/>
                      <w:color w:val="auto"/>
                      <w:sz w:val="21"/>
                      <w:szCs w:val="18"/>
                      <w:lang w:val="en-US" w:eastAsia="zh-CN"/>
                    </w:rPr>
                  </w:pPr>
                  <w:r>
                    <w:rPr>
                      <w:rFonts w:hint="eastAsia"/>
                      <w:color w:val="auto"/>
                      <w:lang w:val="en-US" w:eastAsia="zh-CN"/>
                    </w:rPr>
                    <w:t>原辅料包装、产品包装</w:t>
                  </w:r>
                </w:p>
              </w:tc>
              <w:tc>
                <w:tcPr>
                  <w:tcW w:w="690" w:type="dxa"/>
                  <w:vMerge w:val="restart"/>
                  <w:noWrap w:val="0"/>
                  <w:vAlign w:val="center"/>
                </w:tcPr>
                <w:p w14:paraId="6278AE13">
                  <w:pPr>
                    <w:adjustRightInd w:val="0"/>
                    <w:snapToGrid w:val="0"/>
                    <w:jc w:val="center"/>
                    <w:rPr>
                      <w:rFonts w:ascii="Times New Roman" w:hAnsi="Times New Roman" w:eastAsia="宋体"/>
                      <w:color w:val="auto"/>
                      <w:sz w:val="21"/>
                      <w:szCs w:val="18"/>
                    </w:rPr>
                  </w:pPr>
                  <w:r>
                    <w:rPr>
                      <w:rFonts w:hint="eastAsia" w:ascii="Times New Roman" w:hAnsi="Times New Roman" w:eastAsia="宋体"/>
                      <w:color w:val="auto"/>
                      <w:sz w:val="21"/>
                      <w:szCs w:val="18"/>
                    </w:rPr>
                    <w:t>一般固废</w:t>
                  </w:r>
                </w:p>
              </w:tc>
              <w:tc>
                <w:tcPr>
                  <w:tcW w:w="465" w:type="dxa"/>
                  <w:noWrap w:val="0"/>
                  <w:vAlign w:val="center"/>
                </w:tcPr>
                <w:p w14:paraId="015CFE41">
                  <w:pPr>
                    <w:adjustRightInd w:val="0"/>
                    <w:snapToGrid w:val="0"/>
                    <w:jc w:val="center"/>
                    <w:rPr>
                      <w:rFonts w:ascii="Times New Roman" w:hAnsi="Times New Roman" w:eastAsia="宋体"/>
                      <w:color w:val="auto"/>
                      <w:sz w:val="21"/>
                      <w:szCs w:val="18"/>
                    </w:rPr>
                  </w:pPr>
                  <w:r>
                    <w:rPr>
                      <w:rFonts w:hint="eastAsia" w:ascii="Times New Roman" w:hAnsi="Times New Roman" w:eastAsia="宋体"/>
                      <w:color w:val="auto"/>
                      <w:sz w:val="21"/>
                      <w:szCs w:val="18"/>
                    </w:rPr>
                    <w:t>固</w:t>
                  </w:r>
                </w:p>
              </w:tc>
              <w:tc>
                <w:tcPr>
                  <w:tcW w:w="1335" w:type="dxa"/>
                  <w:noWrap w:val="0"/>
                  <w:vAlign w:val="center"/>
                </w:tcPr>
                <w:p w14:paraId="356D3B90">
                  <w:pPr>
                    <w:adjustRightInd w:val="0"/>
                    <w:snapToGrid w:val="0"/>
                    <w:jc w:val="center"/>
                    <w:rPr>
                      <w:rFonts w:ascii="Times New Roman" w:hAnsi="Times New Roman" w:eastAsia="宋体" w:cs="宋体"/>
                      <w:color w:val="auto"/>
                      <w:sz w:val="21"/>
                      <w:szCs w:val="18"/>
                    </w:rPr>
                  </w:pPr>
                  <w:r>
                    <w:rPr>
                      <w:rFonts w:hint="eastAsia" w:ascii="Times New Roman" w:hAnsi="Times New Roman" w:eastAsia="宋体" w:cs="宋体"/>
                      <w:color w:val="auto"/>
                      <w:sz w:val="21"/>
                      <w:szCs w:val="18"/>
                    </w:rPr>
                    <w:t>/</w:t>
                  </w:r>
                </w:p>
              </w:tc>
              <w:tc>
                <w:tcPr>
                  <w:tcW w:w="915" w:type="dxa"/>
                  <w:noWrap w:val="0"/>
                  <w:vAlign w:val="center"/>
                </w:tcPr>
                <w:p w14:paraId="36E9230F">
                  <w:pPr>
                    <w:pStyle w:val="36"/>
                    <w:keepNext w:val="0"/>
                    <w:keepLines w:val="0"/>
                    <w:suppressLineNumbers w:val="0"/>
                    <w:bidi w:val="0"/>
                    <w:spacing w:before="0" w:beforeAutospacing="0" w:after="0" w:afterAutospacing="0"/>
                    <w:ind w:left="0" w:leftChars="0" w:right="0" w:rightChars="0"/>
                    <w:rPr>
                      <w:rFonts w:hint="default" w:ascii="Times New Roman" w:hAnsi="Times New Roman" w:eastAsia="宋体" w:cs="宋体"/>
                      <w:color w:val="auto"/>
                      <w:kern w:val="2"/>
                      <w:sz w:val="21"/>
                      <w:szCs w:val="18"/>
                      <w:lang w:val="en-US" w:eastAsia="zh-CN" w:bidi="ar-SA"/>
                    </w:rPr>
                  </w:pPr>
                  <w:r>
                    <w:rPr>
                      <w:rFonts w:hint="eastAsia" w:ascii="Times New Roman" w:hAnsi="Times New Roman"/>
                      <w:color w:val="auto"/>
                      <w:sz w:val="21"/>
                      <w:lang w:val="en-US" w:eastAsia="zh-CN"/>
                    </w:rPr>
                    <w:t>SW17</w:t>
                  </w:r>
                </w:p>
              </w:tc>
              <w:tc>
                <w:tcPr>
                  <w:tcW w:w="1425" w:type="dxa"/>
                  <w:noWrap w:val="0"/>
                  <w:vAlign w:val="center"/>
                </w:tcPr>
                <w:p w14:paraId="4907FE8A">
                  <w:pPr>
                    <w:pStyle w:val="36"/>
                    <w:keepNext w:val="0"/>
                    <w:keepLines w:val="0"/>
                    <w:suppressLineNumbers w:val="0"/>
                    <w:bidi w:val="0"/>
                    <w:spacing w:before="0" w:beforeAutospacing="0" w:after="0" w:afterAutospacing="0"/>
                    <w:ind w:left="0" w:right="0"/>
                    <w:rPr>
                      <w:rFonts w:hint="eastAsia" w:ascii="Times New Roman" w:hAnsi="Times New Roman"/>
                      <w:color w:val="auto"/>
                      <w:sz w:val="21"/>
                      <w:lang w:val="en-US" w:eastAsia="zh-CN"/>
                    </w:rPr>
                  </w:pPr>
                  <w:r>
                    <w:rPr>
                      <w:rFonts w:hint="default" w:ascii="Times New Roman" w:hAnsi="Times New Roman"/>
                      <w:color w:val="auto"/>
                      <w:sz w:val="21"/>
                      <w:lang w:val="en-US" w:eastAsia="zh-CN"/>
                    </w:rPr>
                    <w:t>900-003-S17</w:t>
                  </w:r>
                  <w:r>
                    <w:rPr>
                      <w:rFonts w:hint="eastAsia" w:ascii="Times New Roman" w:hAnsi="Times New Roman"/>
                      <w:color w:val="auto"/>
                      <w:sz w:val="21"/>
                      <w:lang w:val="en-US" w:eastAsia="zh-CN"/>
                    </w:rPr>
                    <w:t>、</w:t>
                  </w:r>
                </w:p>
                <w:p w14:paraId="2E31228A">
                  <w:pPr>
                    <w:pStyle w:val="36"/>
                    <w:keepNext w:val="0"/>
                    <w:keepLines w:val="0"/>
                    <w:suppressLineNumbers w:val="0"/>
                    <w:bidi w:val="0"/>
                    <w:spacing w:before="0" w:beforeAutospacing="0" w:after="0" w:afterAutospacing="0"/>
                    <w:ind w:left="0" w:leftChars="0" w:right="0" w:rightChars="0"/>
                    <w:rPr>
                      <w:rFonts w:hint="default" w:ascii="Times New Roman" w:hAnsi="Times New Roman" w:eastAsia="宋体" w:cs="宋体"/>
                      <w:color w:val="auto"/>
                      <w:kern w:val="2"/>
                      <w:sz w:val="21"/>
                      <w:szCs w:val="18"/>
                      <w:lang w:val="en-US" w:eastAsia="zh-CN" w:bidi="ar-SA"/>
                    </w:rPr>
                  </w:pPr>
                  <w:r>
                    <w:rPr>
                      <w:rFonts w:hint="default" w:ascii="Times New Roman" w:hAnsi="Times New Roman"/>
                      <w:color w:val="auto"/>
                      <w:sz w:val="21"/>
                      <w:lang w:val="en-US" w:eastAsia="zh-CN"/>
                    </w:rPr>
                    <w:t>900-00</w:t>
                  </w:r>
                  <w:r>
                    <w:rPr>
                      <w:rFonts w:hint="eastAsia" w:ascii="Times New Roman" w:hAnsi="Times New Roman"/>
                      <w:color w:val="auto"/>
                      <w:sz w:val="21"/>
                      <w:lang w:val="en-US" w:eastAsia="zh-CN"/>
                    </w:rPr>
                    <w:t>5</w:t>
                  </w:r>
                  <w:r>
                    <w:rPr>
                      <w:rFonts w:hint="default" w:ascii="Times New Roman" w:hAnsi="Times New Roman"/>
                      <w:color w:val="auto"/>
                      <w:sz w:val="21"/>
                      <w:lang w:val="en-US" w:eastAsia="zh-CN"/>
                    </w:rPr>
                    <w:t>-S17</w:t>
                  </w:r>
                </w:p>
              </w:tc>
              <w:tc>
                <w:tcPr>
                  <w:tcW w:w="705" w:type="dxa"/>
                  <w:noWrap w:val="0"/>
                  <w:vAlign w:val="center"/>
                </w:tcPr>
                <w:p w14:paraId="29DED1B9">
                  <w:pPr>
                    <w:adjustRightInd w:val="0"/>
                    <w:snapToGrid w:val="0"/>
                    <w:jc w:val="center"/>
                    <w:rPr>
                      <w:rFonts w:ascii="Times New Roman" w:hAnsi="Times New Roman" w:eastAsia="宋体" w:cs="宋体"/>
                      <w:color w:val="auto"/>
                      <w:sz w:val="21"/>
                      <w:szCs w:val="18"/>
                    </w:rPr>
                  </w:pPr>
                  <w:r>
                    <w:rPr>
                      <w:rFonts w:hint="eastAsia" w:cs="宋体"/>
                      <w:color w:val="auto"/>
                      <w:szCs w:val="18"/>
                    </w:rPr>
                    <w:t>/</w:t>
                  </w:r>
                </w:p>
              </w:tc>
              <w:tc>
                <w:tcPr>
                  <w:tcW w:w="945" w:type="dxa"/>
                  <w:noWrap w:val="0"/>
                  <w:vAlign w:val="center"/>
                </w:tcPr>
                <w:p w14:paraId="7E7CA3FD">
                  <w:pPr>
                    <w:adjustRightInd w:val="0"/>
                    <w:snapToGrid w:val="0"/>
                    <w:jc w:val="center"/>
                    <w:rPr>
                      <w:rFonts w:hint="default" w:ascii="Times New Roman" w:hAnsi="Times New Roman" w:eastAsia="宋体"/>
                      <w:color w:val="auto"/>
                      <w:sz w:val="21"/>
                      <w:szCs w:val="18"/>
                      <w:lang w:val="en-US" w:eastAsia="zh-CN"/>
                    </w:rPr>
                  </w:pPr>
                  <w:r>
                    <w:rPr>
                      <w:rFonts w:hint="eastAsia"/>
                      <w:color w:val="auto"/>
                      <w:sz w:val="21"/>
                      <w:szCs w:val="18"/>
                      <w:lang w:val="en-US" w:eastAsia="zh-CN"/>
                    </w:rPr>
                    <w:t>20</w:t>
                  </w:r>
                </w:p>
              </w:tc>
              <w:tc>
                <w:tcPr>
                  <w:tcW w:w="915" w:type="dxa"/>
                  <w:noWrap w:val="0"/>
                  <w:vAlign w:val="center"/>
                </w:tcPr>
                <w:p w14:paraId="2969CD9F">
                  <w:pPr>
                    <w:adjustRightInd w:val="0"/>
                    <w:snapToGrid w:val="0"/>
                    <w:jc w:val="center"/>
                    <w:rPr>
                      <w:rFonts w:hint="default" w:ascii="Times New Roman" w:hAnsi="Times New Roman" w:eastAsia="宋体"/>
                      <w:color w:val="auto"/>
                      <w:kern w:val="2"/>
                      <w:sz w:val="21"/>
                      <w:szCs w:val="18"/>
                      <w:lang w:val="en-US" w:eastAsia="zh-CN" w:bidi="ar-SA"/>
                    </w:rPr>
                  </w:pPr>
                  <w:r>
                    <w:rPr>
                      <w:rFonts w:hint="eastAsia"/>
                      <w:color w:val="auto"/>
                      <w:sz w:val="21"/>
                      <w:szCs w:val="18"/>
                      <w:lang w:val="en-US" w:eastAsia="zh-CN"/>
                    </w:rPr>
                    <w:t>20</w:t>
                  </w:r>
                </w:p>
              </w:tc>
              <w:tc>
                <w:tcPr>
                  <w:tcW w:w="900" w:type="dxa"/>
                  <w:noWrap w:val="0"/>
                  <w:vAlign w:val="center"/>
                </w:tcPr>
                <w:p w14:paraId="3FD28879">
                  <w:pPr>
                    <w:adjustRightInd w:val="0"/>
                    <w:snapToGrid w:val="0"/>
                    <w:jc w:val="center"/>
                    <w:rPr>
                      <w:rFonts w:ascii="Times New Roman" w:hAnsi="Times New Roman" w:eastAsia="宋体"/>
                      <w:color w:val="auto"/>
                      <w:sz w:val="21"/>
                      <w:szCs w:val="18"/>
                    </w:rPr>
                  </w:pPr>
                  <w:r>
                    <w:rPr>
                      <w:rFonts w:hint="eastAsia"/>
                      <w:color w:val="auto"/>
                      <w:szCs w:val="18"/>
                    </w:rPr>
                    <w:t>0</w:t>
                  </w:r>
                </w:p>
              </w:tc>
              <w:tc>
                <w:tcPr>
                  <w:tcW w:w="1125" w:type="dxa"/>
                  <w:noWrap w:val="0"/>
                  <w:vAlign w:val="center"/>
                </w:tcPr>
                <w:p w14:paraId="6D5221D1">
                  <w:pPr>
                    <w:adjustRightInd w:val="0"/>
                    <w:snapToGrid w:val="0"/>
                    <w:jc w:val="center"/>
                    <w:rPr>
                      <w:rFonts w:hint="eastAsia" w:ascii="Times New Roman" w:hAnsi="Times New Roman" w:eastAsia="宋体"/>
                      <w:color w:val="auto"/>
                      <w:sz w:val="21"/>
                      <w:szCs w:val="18"/>
                      <w:lang w:eastAsia="zh-CN"/>
                    </w:rPr>
                  </w:pPr>
                  <w:r>
                    <w:rPr>
                      <w:rFonts w:hint="eastAsia"/>
                      <w:color w:val="auto"/>
                      <w:szCs w:val="18"/>
                      <w:lang w:val="en-US" w:eastAsia="zh-CN"/>
                    </w:rPr>
                    <w:t>袋装</w:t>
                  </w:r>
                </w:p>
              </w:tc>
              <w:tc>
                <w:tcPr>
                  <w:tcW w:w="1653" w:type="dxa"/>
                  <w:vMerge w:val="restart"/>
                  <w:noWrap w:val="0"/>
                  <w:vAlign w:val="center"/>
                </w:tcPr>
                <w:p w14:paraId="1F48FEDB">
                  <w:pPr>
                    <w:adjustRightInd w:val="0"/>
                    <w:snapToGrid w:val="0"/>
                    <w:jc w:val="center"/>
                    <w:rPr>
                      <w:rFonts w:ascii="Times New Roman" w:hAnsi="Times New Roman" w:eastAsia="宋体"/>
                      <w:color w:val="auto"/>
                      <w:sz w:val="21"/>
                      <w:szCs w:val="18"/>
                    </w:rPr>
                  </w:pPr>
                  <w:r>
                    <w:rPr>
                      <w:rFonts w:hint="eastAsia" w:ascii="Times New Roman" w:hAnsi="Times New Roman" w:eastAsia="宋体"/>
                      <w:color w:val="auto"/>
                      <w:spacing w:val="-11"/>
                      <w:sz w:val="21"/>
                      <w:szCs w:val="18"/>
                    </w:rPr>
                    <w:t>外售给废旧资源回收公司</w:t>
                  </w:r>
                  <w:r>
                    <w:rPr>
                      <w:rFonts w:hint="eastAsia" w:ascii="Times New Roman" w:hAnsi="Times New Roman" w:eastAsia="宋体"/>
                      <w:color w:val="auto"/>
                      <w:sz w:val="21"/>
                      <w:szCs w:val="18"/>
                    </w:rPr>
                    <w:t>综合利用</w:t>
                  </w:r>
                </w:p>
              </w:tc>
            </w:tr>
            <w:tr w14:paraId="45B2DEDD">
              <w:trPr>
                <w:trHeight w:val="454" w:hRule="exact"/>
                <w:jc w:val="center"/>
              </w:trPr>
              <w:tc>
                <w:tcPr>
                  <w:tcW w:w="426" w:type="dxa"/>
                  <w:noWrap w:val="0"/>
                  <w:vAlign w:val="center"/>
                </w:tcPr>
                <w:p w14:paraId="58BFC170">
                  <w:pPr>
                    <w:numPr>
                      <w:ilvl w:val="0"/>
                      <w:numId w:val="26"/>
                    </w:numPr>
                    <w:adjustRightInd w:val="0"/>
                    <w:snapToGrid w:val="0"/>
                    <w:ind w:left="0" w:leftChars="0" w:firstLine="0" w:firstLineChars="0"/>
                    <w:jc w:val="center"/>
                    <w:rPr>
                      <w:rFonts w:hint="eastAsia" w:ascii="Times New Roman" w:hAnsi="Times New Roman" w:eastAsia="宋体"/>
                      <w:color w:val="auto"/>
                      <w:sz w:val="21"/>
                      <w:szCs w:val="18"/>
                    </w:rPr>
                  </w:pPr>
                </w:p>
              </w:tc>
              <w:tc>
                <w:tcPr>
                  <w:tcW w:w="1504" w:type="dxa"/>
                  <w:noWrap w:val="0"/>
                  <w:vAlign w:val="center"/>
                </w:tcPr>
                <w:p w14:paraId="601E3BAA">
                  <w:pPr>
                    <w:pStyle w:val="17"/>
                    <w:spacing w:line="240" w:lineRule="auto"/>
                    <w:ind w:left="0" w:leftChars="0" w:firstLine="0" w:firstLineChars="0"/>
                    <w:jc w:val="center"/>
                    <w:rPr>
                      <w:rFonts w:hint="eastAsia" w:ascii="Times New Roman" w:hAnsi="Times New Roman" w:eastAsia="宋体" w:cs="Times New Roman"/>
                      <w:b w:val="0"/>
                      <w:color w:val="auto"/>
                      <w:sz w:val="21"/>
                      <w:szCs w:val="18"/>
                    </w:rPr>
                  </w:pPr>
                  <w:r>
                    <w:rPr>
                      <w:rFonts w:hint="eastAsia" w:ascii="Times New Roman" w:hAnsi="Times New Roman" w:cs="Times New Roman"/>
                      <w:b w:val="0"/>
                      <w:color w:val="auto"/>
                      <w:sz w:val="21"/>
                      <w:szCs w:val="18"/>
                      <w:lang w:val="en-US" w:eastAsia="zh-CN"/>
                    </w:rPr>
                    <w:t>茶叶渣</w:t>
                  </w:r>
                </w:p>
              </w:tc>
              <w:tc>
                <w:tcPr>
                  <w:tcW w:w="1620" w:type="dxa"/>
                  <w:noWrap w:val="0"/>
                  <w:vAlign w:val="center"/>
                </w:tcPr>
                <w:p w14:paraId="45285C92">
                  <w:pPr>
                    <w:pStyle w:val="36"/>
                    <w:keepNext w:val="0"/>
                    <w:keepLines w:val="0"/>
                    <w:suppressLineNumbers w:val="0"/>
                    <w:bidi w:val="0"/>
                    <w:spacing w:before="0" w:beforeAutospacing="0" w:after="0" w:afterAutospacing="0"/>
                    <w:ind w:left="0" w:leftChars="0" w:right="0" w:rightChars="0"/>
                    <w:rPr>
                      <w:rFonts w:hint="eastAsia" w:ascii="Times New Roman" w:hAnsi="Times New Roman" w:eastAsia="宋体"/>
                      <w:color w:val="auto"/>
                      <w:sz w:val="21"/>
                      <w:szCs w:val="18"/>
                      <w:lang w:val="en-US" w:eastAsia="zh-CN"/>
                    </w:rPr>
                  </w:pPr>
                  <w:r>
                    <w:rPr>
                      <w:rFonts w:hint="eastAsia"/>
                      <w:color w:val="auto"/>
                      <w:lang w:val="en-US" w:eastAsia="zh-CN"/>
                    </w:rPr>
                    <w:t>过滤</w:t>
                  </w:r>
                </w:p>
              </w:tc>
              <w:tc>
                <w:tcPr>
                  <w:tcW w:w="690" w:type="dxa"/>
                  <w:vMerge w:val="continue"/>
                  <w:noWrap w:val="0"/>
                  <w:vAlign w:val="center"/>
                </w:tcPr>
                <w:p w14:paraId="326B9CEE">
                  <w:pPr>
                    <w:adjustRightInd w:val="0"/>
                    <w:snapToGrid w:val="0"/>
                    <w:jc w:val="center"/>
                    <w:rPr>
                      <w:rFonts w:hint="eastAsia" w:ascii="Times New Roman" w:hAnsi="Times New Roman" w:eastAsia="宋体"/>
                      <w:color w:val="auto"/>
                      <w:sz w:val="21"/>
                      <w:szCs w:val="18"/>
                    </w:rPr>
                  </w:pPr>
                </w:p>
              </w:tc>
              <w:tc>
                <w:tcPr>
                  <w:tcW w:w="465" w:type="dxa"/>
                  <w:noWrap w:val="0"/>
                  <w:vAlign w:val="center"/>
                </w:tcPr>
                <w:p w14:paraId="2723527F">
                  <w:pPr>
                    <w:adjustRightInd w:val="0"/>
                    <w:snapToGrid w:val="0"/>
                    <w:jc w:val="center"/>
                    <w:rPr>
                      <w:rFonts w:hint="eastAsia" w:ascii="Times New Roman" w:hAnsi="Times New Roman" w:eastAsia="宋体"/>
                      <w:color w:val="auto"/>
                      <w:sz w:val="21"/>
                      <w:szCs w:val="18"/>
                    </w:rPr>
                  </w:pPr>
                  <w:r>
                    <w:rPr>
                      <w:rFonts w:hint="eastAsia" w:ascii="Times New Roman" w:hAnsi="Times New Roman" w:eastAsia="宋体"/>
                      <w:color w:val="auto"/>
                      <w:sz w:val="21"/>
                      <w:szCs w:val="18"/>
                    </w:rPr>
                    <w:t>固</w:t>
                  </w:r>
                </w:p>
              </w:tc>
              <w:tc>
                <w:tcPr>
                  <w:tcW w:w="1335" w:type="dxa"/>
                  <w:noWrap w:val="0"/>
                  <w:vAlign w:val="center"/>
                </w:tcPr>
                <w:p w14:paraId="46A8F426">
                  <w:pPr>
                    <w:adjustRightInd w:val="0"/>
                    <w:snapToGrid w:val="0"/>
                    <w:jc w:val="center"/>
                    <w:rPr>
                      <w:rFonts w:hint="eastAsia" w:ascii="Times New Roman" w:hAnsi="Times New Roman" w:eastAsia="宋体" w:cs="宋体"/>
                      <w:color w:val="auto"/>
                      <w:sz w:val="21"/>
                      <w:szCs w:val="18"/>
                      <w:lang w:val="en-US" w:eastAsia="zh-CN"/>
                    </w:rPr>
                  </w:pPr>
                  <w:r>
                    <w:rPr>
                      <w:rFonts w:hint="eastAsia" w:cs="宋体"/>
                      <w:color w:val="auto"/>
                      <w:sz w:val="21"/>
                      <w:szCs w:val="18"/>
                      <w:lang w:val="en-US" w:eastAsia="zh-CN"/>
                    </w:rPr>
                    <w:t>/</w:t>
                  </w:r>
                </w:p>
              </w:tc>
              <w:tc>
                <w:tcPr>
                  <w:tcW w:w="915" w:type="dxa"/>
                  <w:noWrap w:val="0"/>
                  <w:vAlign w:val="center"/>
                </w:tcPr>
                <w:p w14:paraId="3A4F12FD">
                  <w:pPr>
                    <w:pStyle w:val="36"/>
                    <w:keepNext w:val="0"/>
                    <w:keepLines w:val="0"/>
                    <w:suppressLineNumbers w:val="0"/>
                    <w:bidi w:val="0"/>
                    <w:spacing w:before="0" w:beforeAutospacing="0" w:after="0" w:afterAutospacing="0"/>
                    <w:ind w:left="0" w:leftChars="0" w:right="0" w:rightChars="0"/>
                    <w:rPr>
                      <w:rFonts w:hint="eastAsia" w:ascii="Times New Roman" w:hAnsi="Times New Roman" w:eastAsia="宋体" w:cs="宋体"/>
                      <w:color w:val="auto"/>
                      <w:sz w:val="21"/>
                      <w:szCs w:val="18"/>
                      <w:lang w:val="en-US" w:eastAsia="zh-CN"/>
                    </w:rPr>
                  </w:pPr>
                  <w:r>
                    <w:rPr>
                      <w:rFonts w:hint="eastAsia" w:ascii="Times New Roman" w:hAnsi="Times New Roman" w:cs="Times New Roman"/>
                      <w:color w:val="auto"/>
                      <w:kern w:val="2"/>
                      <w:sz w:val="21"/>
                      <w:szCs w:val="21"/>
                      <w:lang w:val="en-US" w:eastAsia="zh-CN" w:bidi="ar-SA"/>
                    </w:rPr>
                    <w:t>SW13</w:t>
                  </w:r>
                </w:p>
              </w:tc>
              <w:tc>
                <w:tcPr>
                  <w:tcW w:w="1425" w:type="dxa"/>
                  <w:noWrap w:val="0"/>
                  <w:vAlign w:val="center"/>
                </w:tcPr>
                <w:p w14:paraId="051317DB">
                  <w:pPr>
                    <w:pStyle w:val="36"/>
                    <w:keepNext w:val="0"/>
                    <w:keepLines w:val="0"/>
                    <w:suppressLineNumbers w:val="0"/>
                    <w:bidi w:val="0"/>
                    <w:spacing w:before="0" w:beforeAutospacing="0" w:after="0" w:afterAutospacing="0"/>
                    <w:ind w:left="0" w:leftChars="0" w:right="0" w:rightChars="0"/>
                    <w:rPr>
                      <w:rFonts w:hint="eastAsia" w:ascii="Times New Roman" w:hAnsi="Times New Roman" w:eastAsia="宋体" w:cs="宋体"/>
                      <w:color w:val="auto"/>
                      <w:sz w:val="21"/>
                      <w:szCs w:val="18"/>
                      <w:lang w:val="en-US" w:eastAsia="zh-CN"/>
                    </w:rPr>
                  </w:pPr>
                  <w:r>
                    <w:rPr>
                      <w:rFonts w:hint="default" w:ascii="Times New Roman" w:hAnsi="Times New Roman"/>
                      <w:color w:val="auto"/>
                      <w:sz w:val="21"/>
                      <w:lang w:val="en-US" w:eastAsia="zh-CN"/>
                    </w:rPr>
                    <w:t>152-001-S13</w:t>
                  </w:r>
                </w:p>
              </w:tc>
              <w:tc>
                <w:tcPr>
                  <w:tcW w:w="705" w:type="dxa"/>
                  <w:noWrap w:val="0"/>
                  <w:vAlign w:val="center"/>
                </w:tcPr>
                <w:p w14:paraId="0AC53A2F">
                  <w:pPr>
                    <w:adjustRightInd w:val="0"/>
                    <w:snapToGrid w:val="0"/>
                    <w:jc w:val="center"/>
                    <w:rPr>
                      <w:rFonts w:hint="eastAsia" w:ascii="Times New Roman" w:hAnsi="Times New Roman" w:eastAsia="宋体" w:cs="宋体"/>
                      <w:color w:val="auto"/>
                      <w:sz w:val="21"/>
                      <w:szCs w:val="18"/>
                    </w:rPr>
                  </w:pPr>
                  <w:r>
                    <w:rPr>
                      <w:rFonts w:hint="eastAsia" w:cs="宋体"/>
                      <w:color w:val="auto"/>
                      <w:szCs w:val="18"/>
                      <w:lang w:val="en-US" w:eastAsia="zh-CN"/>
                    </w:rPr>
                    <w:t>/</w:t>
                  </w:r>
                </w:p>
              </w:tc>
              <w:tc>
                <w:tcPr>
                  <w:tcW w:w="945" w:type="dxa"/>
                  <w:noWrap w:val="0"/>
                  <w:vAlign w:val="center"/>
                </w:tcPr>
                <w:p w14:paraId="36E867FC">
                  <w:pPr>
                    <w:adjustRightInd w:val="0"/>
                    <w:snapToGrid w:val="0"/>
                    <w:jc w:val="center"/>
                    <w:rPr>
                      <w:rFonts w:hint="default" w:ascii="Times New Roman" w:hAnsi="Times New Roman" w:eastAsia="宋体"/>
                      <w:color w:val="auto"/>
                      <w:sz w:val="21"/>
                      <w:szCs w:val="18"/>
                      <w:lang w:val="en-US" w:eastAsia="zh-CN"/>
                    </w:rPr>
                  </w:pPr>
                  <w:r>
                    <w:rPr>
                      <w:rFonts w:hint="eastAsia"/>
                      <w:color w:val="auto"/>
                      <w:sz w:val="21"/>
                      <w:szCs w:val="18"/>
                      <w:lang w:val="en-US" w:eastAsia="zh-CN"/>
                    </w:rPr>
                    <w:t>35</w:t>
                  </w:r>
                </w:p>
              </w:tc>
              <w:tc>
                <w:tcPr>
                  <w:tcW w:w="915" w:type="dxa"/>
                  <w:noWrap w:val="0"/>
                  <w:vAlign w:val="center"/>
                </w:tcPr>
                <w:p w14:paraId="7D44CE2A">
                  <w:pPr>
                    <w:adjustRightInd w:val="0"/>
                    <w:snapToGrid w:val="0"/>
                    <w:jc w:val="center"/>
                    <w:rPr>
                      <w:rFonts w:hint="eastAsia" w:ascii="Times New Roman" w:hAnsi="Times New Roman" w:eastAsia="宋体"/>
                      <w:color w:val="auto"/>
                      <w:sz w:val="21"/>
                      <w:szCs w:val="18"/>
                      <w:lang w:val="en-US" w:eastAsia="zh-CN"/>
                    </w:rPr>
                  </w:pPr>
                  <w:r>
                    <w:rPr>
                      <w:rFonts w:hint="eastAsia"/>
                      <w:color w:val="auto"/>
                      <w:sz w:val="21"/>
                      <w:szCs w:val="18"/>
                      <w:lang w:val="en-US" w:eastAsia="zh-CN"/>
                    </w:rPr>
                    <w:t>35</w:t>
                  </w:r>
                </w:p>
              </w:tc>
              <w:tc>
                <w:tcPr>
                  <w:tcW w:w="900" w:type="dxa"/>
                  <w:noWrap w:val="0"/>
                  <w:vAlign w:val="center"/>
                </w:tcPr>
                <w:p w14:paraId="79798EB7">
                  <w:pPr>
                    <w:adjustRightInd w:val="0"/>
                    <w:snapToGrid w:val="0"/>
                    <w:jc w:val="center"/>
                    <w:rPr>
                      <w:rFonts w:hint="eastAsia" w:ascii="Times New Roman" w:hAnsi="Times New Roman" w:eastAsia="宋体"/>
                      <w:color w:val="auto"/>
                      <w:sz w:val="21"/>
                      <w:szCs w:val="18"/>
                    </w:rPr>
                  </w:pPr>
                  <w:r>
                    <w:rPr>
                      <w:rFonts w:hint="eastAsia"/>
                      <w:color w:val="auto"/>
                      <w:szCs w:val="18"/>
                      <w:lang w:val="en-US" w:eastAsia="zh-CN"/>
                    </w:rPr>
                    <w:t>0</w:t>
                  </w:r>
                </w:p>
              </w:tc>
              <w:tc>
                <w:tcPr>
                  <w:tcW w:w="1125" w:type="dxa"/>
                  <w:noWrap w:val="0"/>
                  <w:vAlign w:val="center"/>
                </w:tcPr>
                <w:p w14:paraId="5C810AF4">
                  <w:pPr>
                    <w:adjustRightInd w:val="0"/>
                    <w:snapToGrid w:val="0"/>
                    <w:jc w:val="center"/>
                    <w:rPr>
                      <w:rFonts w:hint="eastAsia" w:ascii="Times New Roman" w:hAnsi="Times New Roman" w:eastAsia="宋体"/>
                      <w:color w:val="auto"/>
                      <w:sz w:val="21"/>
                      <w:szCs w:val="18"/>
                      <w:lang w:val="en-US" w:eastAsia="zh-CN"/>
                    </w:rPr>
                  </w:pPr>
                  <w:r>
                    <w:rPr>
                      <w:rFonts w:hint="eastAsia"/>
                      <w:color w:val="auto"/>
                      <w:szCs w:val="18"/>
                      <w:lang w:val="en-US" w:eastAsia="zh-CN"/>
                    </w:rPr>
                    <w:t>袋装</w:t>
                  </w:r>
                </w:p>
              </w:tc>
              <w:tc>
                <w:tcPr>
                  <w:tcW w:w="1653" w:type="dxa"/>
                  <w:vMerge w:val="continue"/>
                  <w:noWrap w:val="0"/>
                  <w:vAlign w:val="center"/>
                </w:tcPr>
                <w:p w14:paraId="6F96BBCA">
                  <w:pPr>
                    <w:adjustRightInd w:val="0"/>
                    <w:snapToGrid w:val="0"/>
                    <w:jc w:val="center"/>
                    <w:rPr>
                      <w:rFonts w:hint="eastAsia" w:ascii="Times New Roman" w:hAnsi="Times New Roman" w:eastAsia="宋体"/>
                      <w:color w:val="auto"/>
                      <w:spacing w:val="-11"/>
                      <w:sz w:val="21"/>
                      <w:szCs w:val="18"/>
                    </w:rPr>
                  </w:pPr>
                </w:p>
              </w:tc>
            </w:tr>
            <w:tr w14:paraId="03AFA765">
              <w:trPr>
                <w:trHeight w:val="454" w:hRule="exact"/>
                <w:jc w:val="center"/>
              </w:trPr>
              <w:tc>
                <w:tcPr>
                  <w:tcW w:w="426" w:type="dxa"/>
                  <w:noWrap w:val="0"/>
                  <w:vAlign w:val="center"/>
                </w:tcPr>
                <w:p w14:paraId="114BF3B1">
                  <w:pPr>
                    <w:numPr>
                      <w:ilvl w:val="0"/>
                      <w:numId w:val="26"/>
                    </w:numPr>
                    <w:adjustRightInd w:val="0"/>
                    <w:snapToGrid w:val="0"/>
                    <w:ind w:left="0" w:leftChars="0" w:firstLine="0" w:firstLineChars="0"/>
                    <w:jc w:val="center"/>
                    <w:rPr>
                      <w:rFonts w:ascii="Times New Roman" w:hAnsi="Times New Roman" w:eastAsia="宋体"/>
                      <w:color w:val="auto"/>
                      <w:sz w:val="21"/>
                      <w:szCs w:val="18"/>
                    </w:rPr>
                  </w:pPr>
                </w:p>
              </w:tc>
              <w:tc>
                <w:tcPr>
                  <w:tcW w:w="1504" w:type="dxa"/>
                  <w:shd w:val="clear" w:color="auto" w:fill="auto"/>
                  <w:noWrap w:val="0"/>
                  <w:vAlign w:val="center"/>
                </w:tcPr>
                <w:p w14:paraId="322C6B94">
                  <w:pPr>
                    <w:pStyle w:val="17"/>
                    <w:spacing w:line="240" w:lineRule="auto"/>
                    <w:ind w:left="0" w:leftChars="0" w:firstLine="0" w:firstLineChars="0"/>
                    <w:jc w:val="center"/>
                    <w:rPr>
                      <w:rFonts w:hint="default" w:ascii="Times New Roman" w:hAnsi="Times New Roman" w:eastAsia="宋体" w:cs="Times New Roman"/>
                      <w:b w:val="0"/>
                      <w:color w:val="auto"/>
                      <w:kern w:val="2"/>
                      <w:sz w:val="21"/>
                      <w:szCs w:val="18"/>
                      <w:lang w:val="en-US" w:eastAsia="zh-CN" w:bidi="ar-SA"/>
                    </w:rPr>
                  </w:pPr>
                  <w:r>
                    <w:rPr>
                      <w:rFonts w:hint="eastAsia" w:ascii="Times New Roman" w:hAnsi="Times New Roman" w:cs="Times New Roman"/>
                      <w:b w:val="0"/>
                      <w:color w:val="auto"/>
                      <w:sz w:val="21"/>
                      <w:szCs w:val="18"/>
                      <w:lang w:val="en-US" w:eastAsia="zh-CN"/>
                    </w:rPr>
                    <w:t>滤渣</w:t>
                  </w:r>
                </w:p>
              </w:tc>
              <w:tc>
                <w:tcPr>
                  <w:tcW w:w="1620" w:type="dxa"/>
                  <w:shd w:val="clear" w:color="auto" w:fill="auto"/>
                  <w:noWrap w:val="0"/>
                  <w:vAlign w:val="center"/>
                </w:tcPr>
                <w:p w14:paraId="58BDBDC1">
                  <w:pPr>
                    <w:pStyle w:val="36"/>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0"/>
                      <w:sz w:val="21"/>
                      <w:szCs w:val="18"/>
                      <w:lang w:val="en-US" w:eastAsia="zh-CN" w:bidi="ar-SA"/>
                    </w:rPr>
                  </w:pPr>
                  <w:r>
                    <w:rPr>
                      <w:rFonts w:hint="eastAsia"/>
                      <w:color w:val="auto"/>
                      <w:lang w:val="en-US" w:eastAsia="zh-CN"/>
                    </w:rPr>
                    <w:t>过滤</w:t>
                  </w:r>
                </w:p>
              </w:tc>
              <w:tc>
                <w:tcPr>
                  <w:tcW w:w="690" w:type="dxa"/>
                  <w:vMerge w:val="continue"/>
                  <w:noWrap w:val="0"/>
                  <w:vAlign w:val="center"/>
                </w:tcPr>
                <w:p w14:paraId="6773D994">
                  <w:pPr>
                    <w:adjustRightInd w:val="0"/>
                    <w:snapToGrid w:val="0"/>
                    <w:jc w:val="center"/>
                    <w:rPr>
                      <w:rFonts w:ascii="Times New Roman" w:hAnsi="Times New Roman" w:eastAsia="宋体"/>
                      <w:color w:val="auto"/>
                      <w:sz w:val="21"/>
                      <w:szCs w:val="18"/>
                    </w:rPr>
                  </w:pPr>
                </w:p>
              </w:tc>
              <w:tc>
                <w:tcPr>
                  <w:tcW w:w="465" w:type="dxa"/>
                  <w:noWrap w:val="0"/>
                  <w:vAlign w:val="center"/>
                </w:tcPr>
                <w:p w14:paraId="76F5E3A2">
                  <w:pPr>
                    <w:adjustRightInd w:val="0"/>
                    <w:snapToGrid w:val="0"/>
                    <w:jc w:val="center"/>
                    <w:rPr>
                      <w:rFonts w:ascii="Times New Roman" w:hAnsi="Times New Roman" w:eastAsia="宋体"/>
                      <w:color w:val="auto"/>
                      <w:sz w:val="21"/>
                      <w:szCs w:val="18"/>
                    </w:rPr>
                  </w:pPr>
                  <w:r>
                    <w:rPr>
                      <w:rFonts w:hint="eastAsia" w:ascii="Times New Roman" w:hAnsi="Times New Roman" w:eastAsia="宋体"/>
                      <w:color w:val="auto"/>
                      <w:sz w:val="21"/>
                      <w:szCs w:val="18"/>
                    </w:rPr>
                    <w:t>固</w:t>
                  </w:r>
                </w:p>
              </w:tc>
              <w:tc>
                <w:tcPr>
                  <w:tcW w:w="1335" w:type="dxa"/>
                  <w:noWrap w:val="0"/>
                  <w:vAlign w:val="center"/>
                </w:tcPr>
                <w:p w14:paraId="575024A5">
                  <w:pPr>
                    <w:adjustRightInd w:val="0"/>
                    <w:snapToGrid w:val="0"/>
                    <w:jc w:val="center"/>
                    <w:rPr>
                      <w:rFonts w:ascii="Times New Roman" w:hAnsi="Times New Roman" w:eastAsia="宋体" w:cs="宋体"/>
                      <w:color w:val="auto"/>
                      <w:sz w:val="21"/>
                      <w:szCs w:val="18"/>
                    </w:rPr>
                  </w:pPr>
                  <w:r>
                    <w:rPr>
                      <w:rFonts w:hint="eastAsia" w:cs="宋体"/>
                      <w:color w:val="auto"/>
                      <w:szCs w:val="18"/>
                      <w:lang w:val="en-US" w:eastAsia="zh-CN"/>
                    </w:rPr>
                    <w:t>/</w:t>
                  </w:r>
                </w:p>
              </w:tc>
              <w:tc>
                <w:tcPr>
                  <w:tcW w:w="915" w:type="dxa"/>
                  <w:noWrap w:val="0"/>
                  <w:vAlign w:val="center"/>
                </w:tcPr>
                <w:p w14:paraId="33FAE360">
                  <w:pPr>
                    <w:pStyle w:val="36"/>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宋体"/>
                      <w:color w:val="auto"/>
                      <w:kern w:val="2"/>
                      <w:sz w:val="21"/>
                      <w:szCs w:val="18"/>
                      <w:lang w:val="en-US" w:eastAsia="zh-CN" w:bidi="ar-SA"/>
                    </w:rPr>
                  </w:pPr>
                  <w:r>
                    <w:rPr>
                      <w:rFonts w:hint="eastAsia" w:ascii="Times New Roman" w:hAnsi="Times New Roman" w:cs="Times New Roman"/>
                      <w:color w:val="auto"/>
                      <w:kern w:val="2"/>
                      <w:sz w:val="21"/>
                      <w:szCs w:val="21"/>
                      <w:lang w:val="en-US" w:eastAsia="zh-CN" w:bidi="ar-SA"/>
                    </w:rPr>
                    <w:t>SW13</w:t>
                  </w:r>
                </w:p>
              </w:tc>
              <w:tc>
                <w:tcPr>
                  <w:tcW w:w="1425" w:type="dxa"/>
                  <w:noWrap w:val="0"/>
                  <w:vAlign w:val="center"/>
                </w:tcPr>
                <w:p w14:paraId="76BF8EE0">
                  <w:pPr>
                    <w:pStyle w:val="36"/>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宋体"/>
                      <w:color w:val="auto"/>
                      <w:kern w:val="2"/>
                      <w:sz w:val="21"/>
                      <w:szCs w:val="18"/>
                      <w:lang w:val="en-US" w:eastAsia="zh-CN" w:bidi="ar-SA"/>
                    </w:rPr>
                  </w:pPr>
                  <w:r>
                    <w:rPr>
                      <w:rFonts w:hint="default" w:ascii="Times New Roman" w:hAnsi="Times New Roman" w:eastAsia="宋体" w:cs="Times New Roman"/>
                      <w:color w:val="auto"/>
                      <w:kern w:val="2"/>
                      <w:sz w:val="21"/>
                      <w:szCs w:val="21"/>
                      <w:lang w:val="en-US" w:eastAsia="zh-CN" w:bidi="ar-SA"/>
                    </w:rPr>
                    <w:t>152-001-S13</w:t>
                  </w:r>
                </w:p>
              </w:tc>
              <w:tc>
                <w:tcPr>
                  <w:tcW w:w="705" w:type="dxa"/>
                  <w:noWrap w:val="0"/>
                  <w:vAlign w:val="center"/>
                </w:tcPr>
                <w:p w14:paraId="77FE3520">
                  <w:pPr>
                    <w:adjustRightInd w:val="0"/>
                    <w:snapToGrid w:val="0"/>
                    <w:jc w:val="center"/>
                    <w:rPr>
                      <w:rFonts w:ascii="Times New Roman" w:hAnsi="Times New Roman" w:eastAsia="宋体" w:cs="宋体"/>
                      <w:color w:val="auto"/>
                      <w:sz w:val="21"/>
                      <w:szCs w:val="18"/>
                    </w:rPr>
                  </w:pPr>
                  <w:r>
                    <w:rPr>
                      <w:rFonts w:hint="eastAsia" w:cs="宋体"/>
                      <w:color w:val="auto"/>
                      <w:szCs w:val="18"/>
                      <w:lang w:val="en-US" w:eastAsia="zh-CN"/>
                    </w:rPr>
                    <w:t>/</w:t>
                  </w:r>
                </w:p>
              </w:tc>
              <w:tc>
                <w:tcPr>
                  <w:tcW w:w="945" w:type="dxa"/>
                  <w:noWrap w:val="0"/>
                  <w:vAlign w:val="center"/>
                </w:tcPr>
                <w:p w14:paraId="62979AA5">
                  <w:pPr>
                    <w:adjustRightInd w:val="0"/>
                    <w:snapToGrid w:val="0"/>
                    <w:jc w:val="center"/>
                    <w:rPr>
                      <w:rFonts w:hint="default" w:ascii="Times New Roman" w:hAnsi="Times New Roman" w:eastAsia="宋体"/>
                      <w:color w:val="auto"/>
                      <w:sz w:val="21"/>
                      <w:szCs w:val="18"/>
                      <w:lang w:val="en-US" w:eastAsia="zh-CN"/>
                    </w:rPr>
                  </w:pPr>
                  <w:r>
                    <w:rPr>
                      <w:rFonts w:hint="eastAsia"/>
                      <w:color w:val="auto"/>
                      <w:sz w:val="21"/>
                      <w:szCs w:val="18"/>
                      <w:lang w:val="en-US" w:eastAsia="zh-CN"/>
                    </w:rPr>
                    <w:t>2</w:t>
                  </w:r>
                </w:p>
              </w:tc>
              <w:tc>
                <w:tcPr>
                  <w:tcW w:w="915" w:type="dxa"/>
                  <w:noWrap w:val="0"/>
                  <w:vAlign w:val="center"/>
                </w:tcPr>
                <w:p w14:paraId="710F9C4F">
                  <w:pPr>
                    <w:adjustRightInd w:val="0"/>
                    <w:snapToGrid w:val="0"/>
                    <w:jc w:val="center"/>
                    <w:rPr>
                      <w:rFonts w:hint="default" w:ascii="Times New Roman" w:hAnsi="Times New Roman" w:eastAsia="宋体"/>
                      <w:color w:val="auto"/>
                      <w:kern w:val="2"/>
                      <w:sz w:val="21"/>
                      <w:szCs w:val="18"/>
                      <w:lang w:val="en-US" w:eastAsia="zh-CN" w:bidi="ar-SA"/>
                    </w:rPr>
                  </w:pPr>
                  <w:r>
                    <w:rPr>
                      <w:rFonts w:hint="eastAsia"/>
                      <w:color w:val="auto"/>
                      <w:sz w:val="21"/>
                      <w:szCs w:val="18"/>
                      <w:lang w:val="en-US" w:eastAsia="zh-CN"/>
                    </w:rPr>
                    <w:t>2</w:t>
                  </w:r>
                </w:p>
              </w:tc>
              <w:tc>
                <w:tcPr>
                  <w:tcW w:w="900" w:type="dxa"/>
                  <w:noWrap w:val="0"/>
                  <w:vAlign w:val="center"/>
                </w:tcPr>
                <w:p w14:paraId="64110602">
                  <w:pPr>
                    <w:adjustRightInd w:val="0"/>
                    <w:snapToGrid w:val="0"/>
                    <w:jc w:val="center"/>
                    <w:rPr>
                      <w:rFonts w:ascii="Times New Roman" w:hAnsi="Times New Roman" w:eastAsia="宋体"/>
                      <w:color w:val="auto"/>
                      <w:sz w:val="21"/>
                      <w:szCs w:val="18"/>
                    </w:rPr>
                  </w:pPr>
                  <w:r>
                    <w:rPr>
                      <w:rFonts w:hint="eastAsia"/>
                      <w:color w:val="auto"/>
                      <w:szCs w:val="18"/>
                      <w:lang w:val="en-US" w:eastAsia="zh-CN"/>
                    </w:rPr>
                    <w:t>0</w:t>
                  </w:r>
                </w:p>
              </w:tc>
              <w:tc>
                <w:tcPr>
                  <w:tcW w:w="1125" w:type="dxa"/>
                  <w:noWrap w:val="0"/>
                  <w:vAlign w:val="center"/>
                </w:tcPr>
                <w:p w14:paraId="583C68FD">
                  <w:pPr>
                    <w:adjustRightInd w:val="0"/>
                    <w:snapToGrid w:val="0"/>
                    <w:jc w:val="center"/>
                    <w:rPr>
                      <w:rFonts w:ascii="Times New Roman" w:hAnsi="Times New Roman" w:eastAsia="宋体"/>
                      <w:color w:val="auto"/>
                      <w:sz w:val="21"/>
                      <w:szCs w:val="18"/>
                    </w:rPr>
                  </w:pPr>
                  <w:r>
                    <w:rPr>
                      <w:rFonts w:hint="eastAsia"/>
                      <w:color w:val="auto"/>
                      <w:szCs w:val="18"/>
                      <w:lang w:val="en-US" w:eastAsia="zh-CN"/>
                    </w:rPr>
                    <w:t>袋装</w:t>
                  </w:r>
                </w:p>
              </w:tc>
              <w:tc>
                <w:tcPr>
                  <w:tcW w:w="1653" w:type="dxa"/>
                  <w:vMerge w:val="continue"/>
                  <w:noWrap w:val="0"/>
                  <w:vAlign w:val="center"/>
                </w:tcPr>
                <w:p w14:paraId="7629BDC5">
                  <w:pPr>
                    <w:adjustRightInd w:val="0"/>
                    <w:snapToGrid w:val="0"/>
                    <w:jc w:val="center"/>
                    <w:rPr>
                      <w:rFonts w:hint="eastAsia" w:ascii="Times New Roman" w:hAnsi="Times New Roman" w:eastAsia="宋体"/>
                      <w:color w:val="auto"/>
                      <w:sz w:val="21"/>
                      <w:szCs w:val="18"/>
                      <w:lang w:val="en-US" w:eastAsia="zh-CN"/>
                    </w:rPr>
                  </w:pPr>
                </w:p>
              </w:tc>
            </w:tr>
            <w:tr w14:paraId="1EF23A74">
              <w:trPr>
                <w:trHeight w:val="584" w:hRule="exact"/>
                <w:jc w:val="center"/>
              </w:trPr>
              <w:tc>
                <w:tcPr>
                  <w:tcW w:w="426" w:type="dxa"/>
                  <w:noWrap w:val="0"/>
                  <w:vAlign w:val="center"/>
                </w:tcPr>
                <w:p w14:paraId="01E2ED6A">
                  <w:pPr>
                    <w:numPr>
                      <w:ilvl w:val="0"/>
                      <w:numId w:val="26"/>
                    </w:numPr>
                    <w:adjustRightInd w:val="0"/>
                    <w:snapToGrid w:val="0"/>
                    <w:ind w:left="0" w:leftChars="0" w:firstLine="0" w:firstLineChars="0"/>
                    <w:jc w:val="center"/>
                    <w:rPr>
                      <w:rFonts w:ascii="Times New Roman" w:hAnsi="Times New Roman" w:eastAsia="宋体"/>
                      <w:color w:val="auto"/>
                      <w:sz w:val="21"/>
                      <w:szCs w:val="18"/>
                    </w:rPr>
                  </w:pPr>
                </w:p>
              </w:tc>
              <w:tc>
                <w:tcPr>
                  <w:tcW w:w="1504" w:type="dxa"/>
                  <w:noWrap w:val="0"/>
                  <w:vAlign w:val="center"/>
                </w:tcPr>
                <w:p w14:paraId="077D3997">
                  <w:pPr>
                    <w:pStyle w:val="17"/>
                    <w:spacing w:line="240" w:lineRule="auto"/>
                    <w:ind w:left="0" w:leftChars="0" w:firstLine="0" w:firstLineChars="0"/>
                    <w:jc w:val="center"/>
                    <w:rPr>
                      <w:rFonts w:hint="eastAsia"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废石英砂、活性炭和滤膜</w:t>
                  </w:r>
                </w:p>
              </w:tc>
              <w:tc>
                <w:tcPr>
                  <w:tcW w:w="1620" w:type="dxa"/>
                  <w:noWrap w:val="0"/>
                  <w:vAlign w:val="center"/>
                </w:tcPr>
                <w:p w14:paraId="50D66435">
                  <w:pPr>
                    <w:pStyle w:val="36"/>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olor w:val="auto"/>
                      <w:sz w:val="21"/>
                      <w:szCs w:val="18"/>
                      <w:lang w:val="en-US" w:eastAsia="zh-CN"/>
                    </w:rPr>
                  </w:pPr>
                  <w:r>
                    <w:rPr>
                      <w:rFonts w:hint="eastAsia" w:cs="Times New Roman"/>
                      <w:color w:val="auto"/>
                      <w:kern w:val="2"/>
                      <w:sz w:val="21"/>
                      <w:szCs w:val="21"/>
                      <w:lang w:val="en-US" w:eastAsia="zh-CN" w:bidi="ar-SA"/>
                    </w:rPr>
                    <w:t>纯水制备</w:t>
                  </w:r>
                </w:p>
              </w:tc>
              <w:tc>
                <w:tcPr>
                  <w:tcW w:w="690" w:type="dxa"/>
                  <w:vMerge w:val="continue"/>
                  <w:noWrap w:val="0"/>
                  <w:vAlign w:val="center"/>
                </w:tcPr>
                <w:p w14:paraId="5C788A3A">
                  <w:pPr>
                    <w:adjustRightInd w:val="0"/>
                    <w:snapToGrid w:val="0"/>
                    <w:jc w:val="center"/>
                    <w:rPr>
                      <w:rFonts w:ascii="Times New Roman" w:hAnsi="Times New Roman" w:eastAsia="宋体"/>
                      <w:color w:val="auto"/>
                      <w:sz w:val="21"/>
                      <w:szCs w:val="18"/>
                    </w:rPr>
                  </w:pPr>
                </w:p>
              </w:tc>
              <w:tc>
                <w:tcPr>
                  <w:tcW w:w="465" w:type="dxa"/>
                  <w:noWrap w:val="0"/>
                  <w:vAlign w:val="center"/>
                </w:tcPr>
                <w:p w14:paraId="30933EB8">
                  <w:pPr>
                    <w:adjustRightInd w:val="0"/>
                    <w:snapToGrid w:val="0"/>
                    <w:jc w:val="center"/>
                    <w:rPr>
                      <w:rFonts w:hint="eastAsia" w:ascii="Times New Roman" w:hAnsi="Times New Roman" w:eastAsia="宋体"/>
                      <w:color w:val="auto"/>
                      <w:sz w:val="21"/>
                      <w:szCs w:val="18"/>
                    </w:rPr>
                  </w:pPr>
                  <w:r>
                    <w:rPr>
                      <w:rFonts w:hint="eastAsia" w:ascii="Times New Roman" w:hAnsi="Times New Roman" w:eastAsia="宋体"/>
                      <w:color w:val="auto"/>
                      <w:sz w:val="21"/>
                      <w:szCs w:val="18"/>
                    </w:rPr>
                    <w:t>固</w:t>
                  </w:r>
                </w:p>
              </w:tc>
              <w:tc>
                <w:tcPr>
                  <w:tcW w:w="1335" w:type="dxa"/>
                  <w:noWrap w:val="0"/>
                  <w:vAlign w:val="center"/>
                </w:tcPr>
                <w:p w14:paraId="3D71A7A4">
                  <w:pPr>
                    <w:adjustRightInd w:val="0"/>
                    <w:snapToGrid w:val="0"/>
                    <w:jc w:val="center"/>
                    <w:rPr>
                      <w:rFonts w:hint="eastAsia" w:cs="宋体"/>
                      <w:color w:val="auto"/>
                      <w:szCs w:val="18"/>
                      <w:lang w:val="en-US" w:eastAsia="zh-CN"/>
                    </w:rPr>
                  </w:pPr>
                  <w:r>
                    <w:rPr>
                      <w:rFonts w:hint="eastAsia" w:cs="宋体"/>
                      <w:color w:val="auto"/>
                      <w:szCs w:val="18"/>
                      <w:lang w:val="en-US" w:eastAsia="zh-CN"/>
                    </w:rPr>
                    <w:t>/</w:t>
                  </w:r>
                </w:p>
              </w:tc>
              <w:tc>
                <w:tcPr>
                  <w:tcW w:w="915" w:type="dxa"/>
                  <w:noWrap w:val="0"/>
                  <w:vAlign w:val="center"/>
                </w:tcPr>
                <w:p w14:paraId="6893A085">
                  <w:pPr>
                    <w:pStyle w:val="36"/>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auto"/>
                      <w:sz w:val="21"/>
                      <w:szCs w:val="18"/>
                      <w:lang w:val="en-US" w:eastAsia="zh-CN"/>
                    </w:rPr>
                  </w:pPr>
                  <w:r>
                    <w:rPr>
                      <w:rFonts w:hint="eastAsia" w:ascii="Times New Roman" w:hAnsi="Times New Roman" w:cs="Times New Roman"/>
                      <w:color w:val="auto"/>
                      <w:kern w:val="2"/>
                      <w:sz w:val="21"/>
                      <w:szCs w:val="21"/>
                      <w:lang w:val="en-US" w:eastAsia="zh-CN" w:bidi="ar-SA"/>
                    </w:rPr>
                    <w:t>SW59</w:t>
                  </w:r>
                </w:p>
              </w:tc>
              <w:tc>
                <w:tcPr>
                  <w:tcW w:w="1425" w:type="dxa"/>
                  <w:noWrap w:val="0"/>
                  <w:vAlign w:val="center"/>
                </w:tcPr>
                <w:p w14:paraId="34F8A45B">
                  <w:pPr>
                    <w:pStyle w:val="36"/>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auto"/>
                      <w:sz w:val="21"/>
                      <w:szCs w:val="18"/>
                      <w:lang w:val="en-US" w:eastAsia="zh-CN"/>
                    </w:rPr>
                  </w:pPr>
                  <w:r>
                    <w:rPr>
                      <w:rFonts w:hint="eastAsia" w:ascii="Times New Roman" w:hAnsi="Times New Roman" w:eastAsia="宋体" w:cs="Times New Roman"/>
                      <w:color w:val="auto"/>
                      <w:kern w:val="2"/>
                      <w:sz w:val="21"/>
                      <w:szCs w:val="21"/>
                      <w:lang w:val="en-US" w:eastAsia="zh-CN" w:bidi="ar-SA"/>
                    </w:rPr>
                    <w:t>900-008-S59</w:t>
                  </w:r>
                </w:p>
              </w:tc>
              <w:tc>
                <w:tcPr>
                  <w:tcW w:w="705" w:type="dxa"/>
                  <w:noWrap w:val="0"/>
                  <w:vAlign w:val="center"/>
                </w:tcPr>
                <w:p w14:paraId="2BA7DD92">
                  <w:pPr>
                    <w:adjustRightInd w:val="0"/>
                    <w:snapToGrid w:val="0"/>
                    <w:jc w:val="center"/>
                    <w:rPr>
                      <w:rFonts w:hint="default" w:cs="宋体"/>
                      <w:color w:val="auto"/>
                      <w:szCs w:val="18"/>
                      <w:lang w:val="en-US" w:eastAsia="zh-CN"/>
                    </w:rPr>
                  </w:pPr>
                  <w:r>
                    <w:rPr>
                      <w:rFonts w:hint="eastAsia" w:cs="宋体"/>
                      <w:color w:val="auto"/>
                      <w:szCs w:val="18"/>
                      <w:lang w:val="en-US" w:eastAsia="zh-CN"/>
                    </w:rPr>
                    <w:t>/</w:t>
                  </w:r>
                </w:p>
              </w:tc>
              <w:tc>
                <w:tcPr>
                  <w:tcW w:w="945" w:type="dxa"/>
                  <w:noWrap w:val="0"/>
                  <w:vAlign w:val="center"/>
                </w:tcPr>
                <w:p w14:paraId="751DC1D1">
                  <w:pPr>
                    <w:adjustRightInd w:val="0"/>
                    <w:snapToGrid w:val="0"/>
                    <w:jc w:val="center"/>
                    <w:rPr>
                      <w:rFonts w:hint="default"/>
                      <w:color w:val="auto"/>
                      <w:szCs w:val="18"/>
                      <w:lang w:val="en-US" w:eastAsia="zh-CN"/>
                    </w:rPr>
                  </w:pPr>
                  <w:r>
                    <w:rPr>
                      <w:rFonts w:hint="eastAsia"/>
                      <w:color w:val="auto"/>
                      <w:szCs w:val="18"/>
                      <w:lang w:val="en-US" w:eastAsia="zh-CN"/>
                    </w:rPr>
                    <w:t>1</w:t>
                  </w:r>
                </w:p>
              </w:tc>
              <w:tc>
                <w:tcPr>
                  <w:tcW w:w="915" w:type="dxa"/>
                  <w:noWrap w:val="0"/>
                  <w:vAlign w:val="center"/>
                </w:tcPr>
                <w:p w14:paraId="59CCF959">
                  <w:pPr>
                    <w:adjustRightInd w:val="0"/>
                    <w:snapToGrid w:val="0"/>
                    <w:jc w:val="center"/>
                    <w:rPr>
                      <w:rFonts w:hint="eastAsia"/>
                      <w:color w:val="auto"/>
                      <w:szCs w:val="18"/>
                      <w:lang w:val="en-US" w:eastAsia="zh-CN"/>
                    </w:rPr>
                  </w:pPr>
                  <w:r>
                    <w:rPr>
                      <w:rFonts w:hint="eastAsia"/>
                      <w:color w:val="auto"/>
                      <w:szCs w:val="18"/>
                      <w:lang w:val="en-US" w:eastAsia="zh-CN"/>
                    </w:rPr>
                    <w:t>1</w:t>
                  </w:r>
                </w:p>
              </w:tc>
              <w:tc>
                <w:tcPr>
                  <w:tcW w:w="900" w:type="dxa"/>
                  <w:noWrap w:val="0"/>
                  <w:vAlign w:val="center"/>
                </w:tcPr>
                <w:p w14:paraId="589913D2">
                  <w:pPr>
                    <w:adjustRightInd w:val="0"/>
                    <w:snapToGrid w:val="0"/>
                    <w:jc w:val="center"/>
                    <w:rPr>
                      <w:rFonts w:hint="default"/>
                      <w:color w:val="auto"/>
                      <w:szCs w:val="18"/>
                      <w:lang w:val="en-US" w:eastAsia="zh-CN"/>
                    </w:rPr>
                  </w:pPr>
                  <w:r>
                    <w:rPr>
                      <w:rFonts w:hint="eastAsia"/>
                      <w:color w:val="auto"/>
                      <w:szCs w:val="18"/>
                      <w:lang w:val="en-US" w:eastAsia="zh-CN"/>
                    </w:rPr>
                    <w:t>0</w:t>
                  </w:r>
                </w:p>
              </w:tc>
              <w:tc>
                <w:tcPr>
                  <w:tcW w:w="1125" w:type="dxa"/>
                  <w:noWrap w:val="0"/>
                  <w:vAlign w:val="center"/>
                </w:tcPr>
                <w:p w14:paraId="52E3C35B">
                  <w:pPr>
                    <w:adjustRightInd w:val="0"/>
                    <w:snapToGrid w:val="0"/>
                    <w:jc w:val="center"/>
                    <w:rPr>
                      <w:rFonts w:hint="default"/>
                      <w:color w:val="auto"/>
                      <w:szCs w:val="18"/>
                      <w:lang w:val="en-US" w:eastAsia="zh-CN"/>
                    </w:rPr>
                  </w:pPr>
                  <w:r>
                    <w:rPr>
                      <w:rFonts w:hint="eastAsia"/>
                      <w:color w:val="auto"/>
                      <w:szCs w:val="18"/>
                      <w:lang w:val="en-US" w:eastAsia="zh-CN"/>
                    </w:rPr>
                    <w:t>袋装</w:t>
                  </w:r>
                </w:p>
              </w:tc>
              <w:tc>
                <w:tcPr>
                  <w:tcW w:w="1653" w:type="dxa"/>
                  <w:noWrap w:val="0"/>
                  <w:vAlign w:val="center"/>
                </w:tcPr>
                <w:p w14:paraId="3981A06A">
                  <w:pPr>
                    <w:adjustRightInd w:val="0"/>
                    <w:snapToGrid w:val="0"/>
                    <w:jc w:val="center"/>
                    <w:rPr>
                      <w:rFonts w:hint="default" w:ascii="Times New Roman" w:hAnsi="Times New Roman" w:eastAsia="宋体"/>
                      <w:color w:val="auto"/>
                      <w:sz w:val="21"/>
                      <w:szCs w:val="18"/>
                      <w:lang w:val="en-US" w:eastAsia="zh-CN"/>
                    </w:rPr>
                  </w:pPr>
                  <w:r>
                    <w:rPr>
                      <w:rFonts w:hint="eastAsia"/>
                      <w:color w:val="auto"/>
                      <w:sz w:val="21"/>
                      <w:szCs w:val="18"/>
                      <w:lang w:val="en-US" w:eastAsia="zh-CN"/>
                    </w:rPr>
                    <w:t>厂家回收</w:t>
                  </w:r>
                </w:p>
              </w:tc>
            </w:tr>
            <w:tr w14:paraId="38C033B5">
              <w:trPr>
                <w:trHeight w:val="919" w:hRule="exact"/>
                <w:jc w:val="center"/>
              </w:trPr>
              <w:tc>
                <w:tcPr>
                  <w:tcW w:w="426" w:type="dxa"/>
                  <w:noWrap w:val="0"/>
                  <w:vAlign w:val="center"/>
                </w:tcPr>
                <w:p w14:paraId="14882F57">
                  <w:pPr>
                    <w:numPr>
                      <w:ilvl w:val="0"/>
                      <w:numId w:val="26"/>
                    </w:numPr>
                    <w:adjustRightInd w:val="0"/>
                    <w:snapToGrid w:val="0"/>
                    <w:ind w:left="0" w:leftChars="0" w:firstLine="0" w:firstLineChars="0"/>
                    <w:jc w:val="center"/>
                    <w:rPr>
                      <w:rFonts w:ascii="Times New Roman" w:hAnsi="Times New Roman" w:eastAsia="宋体"/>
                      <w:color w:val="auto"/>
                      <w:sz w:val="21"/>
                      <w:szCs w:val="18"/>
                    </w:rPr>
                  </w:pPr>
                </w:p>
              </w:tc>
              <w:tc>
                <w:tcPr>
                  <w:tcW w:w="1504" w:type="dxa"/>
                  <w:noWrap w:val="0"/>
                  <w:vAlign w:val="center"/>
                </w:tcPr>
                <w:p w14:paraId="7DFC7A2F">
                  <w:pPr>
                    <w:pStyle w:val="17"/>
                    <w:spacing w:line="240" w:lineRule="auto"/>
                    <w:ind w:left="0" w:leftChars="0" w:firstLine="0" w:firstLineChars="0"/>
                    <w:jc w:val="center"/>
                    <w:rPr>
                      <w:rFonts w:hint="default"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污水处理污泥</w:t>
                  </w:r>
                </w:p>
              </w:tc>
              <w:tc>
                <w:tcPr>
                  <w:tcW w:w="1620" w:type="dxa"/>
                  <w:noWrap w:val="0"/>
                  <w:vAlign w:val="center"/>
                </w:tcPr>
                <w:p w14:paraId="5FF4B9DC">
                  <w:pPr>
                    <w:pStyle w:val="36"/>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olor w:val="auto"/>
                      <w:sz w:val="21"/>
                      <w:szCs w:val="18"/>
                      <w:lang w:val="en-US" w:eastAsia="zh-CN"/>
                    </w:rPr>
                  </w:pPr>
                  <w:r>
                    <w:rPr>
                      <w:rFonts w:hint="eastAsia"/>
                      <w:color w:val="auto"/>
                      <w:lang w:val="en-US" w:eastAsia="zh-CN"/>
                    </w:rPr>
                    <w:t>污水处理</w:t>
                  </w:r>
                </w:p>
              </w:tc>
              <w:tc>
                <w:tcPr>
                  <w:tcW w:w="690" w:type="dxa"/>
                  <w:vMerge w:val="continue"/>
                  <w:noWrap w:val="0"/>
                  <w:vAlign w:val="center"/>
                </w:tcPr>
                <w:p w14:paraId="3E2AACB1">
                  <w:pPr>
                    <w:adjustRightInd w:val="0"/>
                    <w:snapToGrid w:val="0"/>
                    <w:jc w:val="center"/>
                    <w:rPr>
                      <w:rFonts w:ascii="Times New Roman" w:hAnsi="Times New Roman" w:eastAsia="宋体"/>
                      <w:color w:val="auto"/>
                      <w:sz w:val="21"/>
                      <w:szCs w:val="18"/>
                    </w:rPr>
                  </w:pPr>
                </w:p>
              </w:tc>
              <w:tc>
                <w:tcPr>
                  <w:tcW w:w="465" w:type="dxa"/>
                  <w:noWrap w:val="0"/>
                  <w:vAlign w:val="center"/>
                </w:tcPr>
                <w:p w14:paraId="08E7B5FC">
                  <w:pPr>
                    <w:adjustRightInd w:val="0"/>
                    <w:snapToGrid w:val="0"/>
                    <w:jc w:val="center"/>
                    <w:rPr>
                      <w:rFonts w:hint="eastAsia" w:ascii="Times New Roman" w:hAnsi="Times New Roman" w:eastAsia="宋体"/>
                      <w:color w:val="auto"/>
                      <w:sz w:val="21"/>
                      <w:szCs w:val="18"/>
                    </w:rPr>
                  </w:pPr>
                  <w:r>
                    <w:rPr>
                      <w:rFonts w:hint="eastAsia" w:ascii="Times New Roman" w:hAnsi="Times New Roman" w:eastAsia="宋体"/>
                      <w:color w:val="auto"/>
                      <w:sz w:val="21"/>
                      <w:szCs w:val="18"/>
                    </w:rPr>
                    <w:t>固</w:t>
                  </w:r>
                </w:p>
              </w:tc>
              <w:tc>
                <w:tcPr>
                  <w:tcW w:w="1335" w:type="dxa"/>
                  <w:noWrap w:val="0"/>
                  <w:vAlign w:val="center"/>
                </w:tcPr>
                <w:p w14:paraId="02754D8A">
                  <w:pPr>
                    <w:adjustRightInd w:val="0"/>
                    <w:snapToGrid w:val="0"/>
                    <w:jc w:val="center"/>
                    <w:rPr>
                      <w:rFonts w:hint="eastAsia" w:cs="宋体"/>
                      <w:color w:val="auto"/>
                      <w:szCs w:val="18"/>
                      <w:lang w:val="en-US" w:eastAsia="zh-CN"/>
                    </w:rPr>
                  </w:pPr>
                  <w:r>
                    <w:rPr>
                      <w:rFonts w:hint="eastAsia" w:cs="宋体"/>
                      <w:color w:val="auto"/>
                      <w:szCs w:val="18"/>
                      <w:lang w:val="en-US" w:eastAsia="zh-CN"/>
                    </w:rPr>
                    <w:t>/</w:t>
                  </w:r>
                </w:p>
              </w:tc>
              <w:tc>
                <w:tcPr>
                  <w:tcW w:w="915" w:type="dxa"/>
                  <w:noWrap w:val="0"/>
                  <w:vAlign w:val="center"/>
                </w:tcPr>
                <w:p w14:paraId="7FC092B4">
                  <w:pPr>
                    <w:pStyle w:val="36"/>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auto"/>
                      <w:sz w:val="21"/>
                      <w:szCs w:val="18"/>
                      <w:lang w:val="en-US" w:eastAsia="zh-CN"/>
                    </w:rPr>
                  </w:pPr>
                  <w:r>
                    <w:rPr>
                      <w:rFonts w:hint="eastAsia" w:ascii="Times New Roman" w:hAnsi="Times New Roman" w:cs="Times New Roman"/>
                      <w:color w:val="auto"/>
                      <w:kern w:val="2"/>
                      <w:sz w:val="21"/>
                      <w:szCs w:val="21"/>
                      <w:lang w:val="en-US" w:eastAsia="zh-CN" w:bidi="ar-SA"/>
                    </w:rPr>
                    <w:t>SW07</w:t>
                  </w:r>
                </w:p>
              </w:tc>
              <w:tc>
                <w:tcPr>
                  <w:tcW w:w="1425" w:type="dxa"/>
                  <w:noWrap w:val="0"/>
                  <w:vAlign w:val="center"/>
                </w:tcPr>
                <w:p w14:paraId="01F19B21">
                  <w:pPr>
                    <w:pStyle w:val="36"/>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auto"/>
                      <w:sz w:val="21"/>
                      <w:szCs w:val="18"/>
                      <w:lang w:val="en-US" w:eastAsia="zh-CN"/>
                    </w:rPr>
                  </w:pPr>
                  <w:r>
                    <w:rPr>
                      <w:rFonts w:hint="eastAsia" w:ascii="Times New Roman" w:hAnsi="Times New Roman" w:eastAsia="宋体" w:cs="Times New Roman"/>
                      <w:color w:val="auto"/>
                      <w:kern w:val="2"/>
                      <w:sz w:val="21"/>
                      <w:szCs w:val="21"/>
                      <w:lang w:val="en-US" w:eastAsia="zh-CN" w:bidi="ar-SA"/>
                    </w:rPr>
                    <w:t>150-001-S07</w:t>
                  </w:r>
                </w:p>
              </w:tc>
              <w:tc>
                <w:tcPr>
                  <w:tcW w:w="705" w:type="dxa"/>
                  <w:noWrap w:val="0"/>
                  <w:vAlign w:val="center"/>
                </w:tcPr>
                <w:p w14:paraId="48817A8C">
                  <w:pPr>
                    <w:adjustRightInd w:val="0"/>
                    <w:snapToGrid w:val="0"/>
                    <w:jc w:val="center"/>
                    <w:rPr>
                      <w:rFonts w:hint="default" w:cs="宋体"/>
                      <w:color w:val="auto"/>
                      <w:szCs w:val="18"/>
                      <w:lang w:val="en-US" w:eastAsia="zh-CN"/>
                    </w:rPr>
                  </w:pPr>
                  <w:r>
                    <w:rPr>
                      <w:rFonts w:hint="eastAsia" w:cs="宋体"/>
                      <w:color w:val="auto"/>
                      <w:szCs w:val="18"/>
                      <w:lang w:val="en-US" w:eastAsia="zh-CN"/>
                    </w:rPr>
                    <w:t>/</w:t>
                  </w:r>
                </w:p>
              </w:tc>
              <w:tc>
                <w:tcPr>
                  <w:tcW w:w="945" w:type="dxa"/>
                  <w:noWrap w:val="0"/>
                  <w:vAlign w:val="center"/>
                </w:tcPr>
                <w:p w14:paraId="0DFEA676">
                  <w:pPr>
                    <w:adjustRightInd w:val="0"/>
                    <w:snapToGrid w:val="0"/>
                    <w:jc w:val="center"/>
                    <w:rPr>
                      <w:rFonts w:hint="default"/>
                      <w:color w:val="auto"/>
                      <w:szCs w:val="18"/>
                      <w:lang w:val="en-US" w:eastAsia="zh-CN"/>
                    </w:rPr>
                  </w:pPr>
                  <w:r>
                    <w:rPr>
                      <w:rFonts w:hint="eastAsia"/>
                      <w:color w:val="auto"/>
                      <w:szCs w:val="18"/>
                      <w:lang w:val="en-US" w:eastAsia="zh-CN"/>
                    </w:rPr>
                    <w:t>10.83</w:t>
                  </w:r>
                </w:p>
              </w:tc>
              <w:tc>
                <w:tcPr>
                  <w:tcW w:w="915" w:type="dxa"/>
                  <w:noWrap w:val="0"/>
                  <w:vAlign w:val="center"/>
                </w:tcPr>
                <w:p w14:paraId="579561C5">
                  <w:pPr>
                    <w:adjustRightInd w:val="0"/>
                    <w:snapToGrid w:val="0"/>
                    <w:jc w:val="center"/>
                    <w:rPr>
                      <w:rFonts w:hint="eastAsia"/>
                      <w:color w:val="auto"/>
                      <w:szCs w:val="18"/>
                      <w:lang w:val="en-US" w:eastAsia="zh-CN"/>
                    </w:rPr>
                  </w:pPr>
                  <w:r>
                    <w:rPr>
                      <w:rFonts w:hint="eastAsia"/>
                      <w:color w:val="auto"/>
                      <w:szCs w:val="18"/>
                      <w:lang w:val="en-US" w:eastAsia="zh-CN"/>
                    </w:rPr>
                    <w:t>10.83</w:t>
                  </w:r>
                </w:p>
              </w:tc>
              <w:tc>
                <w:tcPr>
                  <w:tcW w:w="900" w:type="dxa"/>
                  <w:noWrap w:val="0"/>
                  <w:vAlign w:val="center"/>
                </w:tcPr>
                <w:p w14:paraId="285544E2">
                  <w:pPr>
                    <w:adjustRightInd w:val="0"/>
                    <w:snapToGrid w:val="0"/>
                    <w:jc w:val="center"/>
                    <w:rPr>
                      <w:rFonts w:hint="default"/>
                      <w:color w:val="auto"/>
                      <w:szCs w:val="18"/>
                      <w:lang w:val="en-US" w:eastAsia="zh-CN"/>
                    </w:rPr>
                  </w:pPr>
                  <w:r>
                    <w:rPr>
                      <w:rFonts w:hint="eastAsia"/>
                      <w:color w:val="auto"/>
                      <w:szCs w:val="18"/>
                      <w:lang w:val="en-US" w:eastAsia="zh-CN"/>
                    </w:rPr>
                    <w:t>0</w:t>
                  </w:r>
                </w:p>
              </w:tc>
              <w:tc>
                <w:tcPr>
                  <w:tcW w:w="1125" w:type="dxa"/>
                  <w:noWrap w:val="0"/>
                  <w:vAlign w:val="center"/>
                </w:tcPr>
                <w:p w14:paraId="5E83F334">
                  <w:pPr>
                    <w:adjustRightInd w:val="0"/>
                    <w:snapToGrid w:val="0"/>
                    <w:jc w:val="center"/>
                    <w:rPr>
                      <w:rFonts w:hint="default"/>
                      <w:color w:val="auto"/>
                      <w:szCs w:val="18"/>
                      <w:lang w:val="en-US" w:eastAsia="zh-CN"/>
                    </w:rPr>
                  </w:pPr>
                  <w:r>
                    <w:rPr>
                      <w:rFonts w:hint="eastAsia"/>
                      <w:color w:val="auto"/>
                      <w:szCs w:val="18"/>
                      <w:lang w:val="en-US" w:eastAsia="zh-CN"/>
                    </w:rPr>
                    <w:t>桶装</w:t>
                  </w:r>
                </w:p>
              </w:tc>
              <w:tc>
                <w:tcPr>
                  <w:tcW w:w="1653" w:type="dxa"/>
                  <w:noWrap w:val="0"/>
                  <w:vAlign w:val="center"/>
                </w:tcPr>
                <w:p w14:paraId="42957705">
                  <w:pPr>
                    <w:adjustRightInd w:val="0"/>
                    <w:snapToGrid w:val="0"/>
                    <w:jc w:val="center"/>
                    <w:rPr>
                      <w:rFonts w:ascii="Times New Roman" w:hAnsi="Times New Roman" w:eastAsia="宋体"/>
                      <w:color w:val="auto"/>
                      <w:sz w:val="21"/>
                      <w:szCs w:val="18"/>
                    </w:rPr>
                  </w:pPr>
                  <w:r>
                    <w:rPr>
                      <w:rFonts w:hint="eastAsia"/>
                      <w:color w:val="auto"/>
                      <w:szCs w:val="18"/>
                    </w:rPr>
                    <w:t>委托一般污泥处置单位利用处置</w:t>
                  </w:r>
                </w:p>
              </w:tc>
            </w:tr>
            <w:tr w14:paraId="45AB873B">
              <w:trPr>
                <w:trHeight w:val="454" w:hRule="exact"/>
                <w:jc w:val="center"/>
              </w:trPr>
              <w:tc>
                <w:tcPr>
                  <w:tcW w:w="426" w:type="dxa"/>
                  <w:noWrap w:val="0"/>
                  <w:vAlign w:val="center"/>
                </w:tcPr>
                <w:p w14:paraId="787125F6">
                  <w:pPr>
                    <w:numPr>
                      <w:ilvl w:val="0"/>
                      <w:numId w:val="26"/>
                    </w:numPr>
                    <w:adjustRightInd w:val="0"/>
                    <w:snapToGrid w:val="0"/>
                    <w:ind w:left="0" w:leftChars="0" w:firstLine="0" w:firstLineChars="0"/>
                    <w:jc w:val="center"/>
                    <w:rPr>
                      <w:rFonts w:hint="eastAsia" w:ascii="Times New Roman" w:hAnsi="Times New Roman" w:eastAsia="宋体"/>
                      <w:color w:val="auto"/>
                      <w:kern w:val="2"/>
                      <w:sz w:val="21"/>
                      <w:szCs w:val="18"/>
                      <w:lang w:val="en-US" w:eastAsia="zh-CN" w:bidi="ar-SA"/>
                    </w:rPr>
                  </w:pPr>
                </w:p>
              </w:tc>
              <w:tc>
                <w:tcPr>
                  <w:tcW w:w="1504" w:type="dxa"/>
                  <w:noWrap w:val="0"/>
                  <w:vAlign w:val="center"/>
                </w:tcPr>
                <w:p w14:paraId="4248B826">
                  <w:pPr>
                    <w:pStyle w:val="17"/>
                    <w:spacing w:line="240" w:lineRule="auto"/>
                    <w:ind w:left="0" w:leftChars="0" w:firstLine="0" w:firstLineChars="0"/>
                    <w:jc w:val="center"/>
                    <w:rPr>
                      <w:rFonts w:ascii="Times New Roman" w:hAnsi="Times New Roman" w:eastAsia="宋体" w:cs="Times New Roman"/>
                      <w:b w:val="0"/>
                      <w:color w:val="auto"/>
                      <w:sz w:val="21"/>
                      <w:szCs w:val="18"/>
                    </w:rPr>
                  </w:pPr>
                  <w:r>
                    <w:rPr>
                      <w:rFonts w:hint="eastAsia" w:ascii="Times New Roman" w:hAnsi="Times New Roman" w:eastAsia="宋体" w:cs="Times New Roman"/>
                      <w:b w:val="0"/>
                      <w:color w:val="auto"/>
                      <w:sz w:val="21"/>
                      <w:szCs w:val="18"/>
                    </w:rPr>
                    <w:t>废活性炭</w:t>
                  </w:r>
                </w:p>
              </w:tc>
              <w:tc>
                <w:tcPr>
                  <w:tcW w:w="1620" w:type="dxa"/>
                  <w:noWrap w:val="0"/>
                  <w:vAlign w:val="center"/>
                </w:tcPr>
                <w:p w14:paraId="08B6FDCD">
                  <w:pPr>
                    <w:adjustRightInd w:val="0"/>
                    <w:snapToGrid w:val="0"/>
                    <w:jc w:val="center"/>
                    <w:rPr>
                      <w:rFonts w:ascii="Times New Roman" w:hAnsi="Times New Roman" w:eastAsia="宋体"/>
                      <w:color w:val="auto"/>
                      <w:sz w:val="21"/>
                      <w:szCs w:val="18"/>
                    </w:rPr>
                  </w:pPr>
                  <w:r>
                    <w:rPr>
                      <w:rFonts w:hint="eastAsia" w:ascii="Times New Roman" w:hAnsi="Times New Roman" w:eastAsia="宋体"/>
                      <w:color w:val="auto"/>
                      <w:sz w:val="21"/>
                      <w:szCs w:val="18"/>
                    </w:rPr>
                    <w:t>有机废气治理</w:t>
                  </w:r>
                </w:p>
              </w:tc>
              <w:tc>
                <w:tcPr>
                  <w:tcW w:w="690" w:type="dxa"/>
                  <w:vMerge w:val="restart"/>
                  <w:noWrap w:val="0"/>
                  <w:vAlign w:val="center"/>
                </w:tcPr>
                <w:p w14:paraId="47A123CA">
                  <w:pPr>
                    <w:adjustRightInd w:val="0"/>
                    <w:snapToGrid w:val="0"/>
                    <w:jc w:val="center"/>
                    <w:rPr>
                      <w:rFonts w:ascii="Times New Roman" w:hAnsi="Times New Roman" w:eastAsia="宋体"/>
                      <w:color w:val="auto"/>
                      <w:sz w:val="21"/>
                      <w:szCs w:val="18"/>
                    </w:rPr>
                  </w:pPr>
                  <w:r>
                    <w:rPr>
                      <w:rFonts w:hint="eastAsia" w:ascii="Times New Roman" w:hAnsi="Times New Roman" w:eastAsia="宋体"/>
                      <w:color w:val="auto"/>
                      <w:sz w:val="21"/>
                      <w:szCs w:val="18"/>
                    </w:rPr>
                    <w:t>危险</w:t>
                  </w:r>
                </w:p>
                <w:p w14:paraId="6DD43E95">
                  <w:pPr>
                    <w:adjustRightInd w:val="0"/>
                    <w:snapToGrid w:val="0"/>
                    <w:jc w:val="center"/>
                    <w:rPr>
                      <w:rFonts w:hint="default" w:ascii="Times New Roman" w:hAnsi="Times New Roman" w:eastAsia="宋体"/>
                      <w:color w:val="auto"/>
                      <w:sz w:val="21"/>
                      <w:szCs w:val="18"/>
                      <w:lang w:val="en-US" w:eastAsia="zh-CN"/>
                    </w:rPr>
                  </w:pPr>
                  <w:r>
                    <w:rPr>
                      <w:rFonts w:hint="eastAsia" w:ascii="Times New Roman" w:hAnsi="Times New Roman" w:eastAsia="宋体"/>
                      <w:color w:val="auto"/>
                      <w:sz w:val="21"/>
                      <w:szCs w:val="18"/>
                    </w:rPr>
                    <w:t>废物</w:t>
                  </w:r>
                </w:p>
              </w:tc>
              <w:tc>
                <w:tcPr>
                  <w:tcW w:w="465" w:type="dxa"/>
                  <w:noWrap w:val="0"/>
                  <w:vAlign w:val="center"/>
                </w:tcPr>
                <w:p w14:paraId="4AEF9EDA">
                  <w:pPr>
                    <w:adjustRightInd w:val="0"/>
                    <w:snapToGrid w:val="0"/>
                    <w:jc w:val="center"/>
                    <w:rPr>
                      <w:rFonts w:ascii="Times New Roman" w:hAnsi="Times New Roman" w:eastAsia="宋体"/>
                      <w:color w:val="auto"/>
                      <w:sz w:val="21"/>
                      <w:szCs w:val="18"/>
                    </w:rPr>
                  </w:pPr>
                  <w:r>
                    <w:rPr>
                      <w:rFonts w:hint="eastAsia" w:ascii="Times New Roman" w:hAnsi="Times New Roman" w:eastAsia="宋体"/>
                      <w:color w:val="auto"/>
                      <w:sz w:val="21"/>
                      <w:szCs w:val="18"/>
                    </w:rPr>
                    <w:t>固</w:t>
                  </w:r>
                </w:p>
              </w:tc>
              <w:tc>
                <w:tcPr>
                  <w:tcW w:w="1335" w:type="dxa"/>
                  <w:noWrap w:val="0"/>
                  <w:vAlign w:val="center"/>
                </w:tcPr>
                <w:p w14:paraId="5D8AAFCF">
                  <w:pPr>
                    <w:adjustRightInd w:val="0"/>
                    <w:snapToGrid w:val="0"/>
                    <w:jc w:val="center"/>
                    <w:rPr>
                      <w:rFonts w:ascii="Times New Roman" w:hAnsi="Times New Roman" w:eastAsia="宋体"/>
                      <w:color w:val="auto"/>
                      <w:sz w:val="21"/>
                      <w:szCs w:val="18"/>
                    </w:rPr>
                  </w:pPr>
                  <w:r>
                    <w:rPr>
                      <w:rFonts w:hint="eastAsia" w:ascii="Times New Roman" w:hAnsi="Times New Roman" w:eastAsia="宋体"/>
                      <w:color w:val="auto"/>
                      <w:sz w:val="21"/>
                      <w:szCs w:val="18"/>
                    </w:rPr>
                    <w:t>有机废气</w:t>
                  </w:r>
                </w:p>
              </w:tc>
              <w:tc>
                <w:tcPr>
                  <w:tcW w:w="915" w:type="dxa"/>
                  <w:noWrap w:val="0"/>
                  <w:vAlign w:val="center"/>
                </w:tcPr>
                <w:p w14:paraId="71E68511">
                  <w:pPr>
                    <w:adjustRightInd w:val="0"/>
                    <w:snapToGrid w:val="0"/>
                    <w:jc w:val="center"/>
                    <w:rPr>
                      <w:rFonts w:ascii="Times New Roman" w:hAnsi="Times New Roman" w:eastAsia="宋体"/>
                      <w:color w:val="auto"/>
                      <w:spacing w:val="-11"/>
                      <w:sz w:val="21"/>
                      <w:szCs w:val="18"/>
                    </w:rPr>
                  </w:pPr>
                  <w:r>
                    <w:rPr>
                      <w:rFonts w:hint="eastAsia" w:ascii="Times New Roman" w:hAnsi="Times New Roman" w:eastAsia="宋体"/>
                      <w:color w:val="auto"/>
                      <w:spacing w:val="-11"/>
                      <w:sz w:val="21"/>
                      <w:szCs w:val="18"/>
                    </w:rPr>
                    <w:t>HW49</w:t>
                  </w:r>
                </w:p>
              </w:tc>
              <w:tc>
                <w:tcPr>
                  <w:tcW w:w="1425" w:type="dxa"/>
                  <w:noWrap w:val="0"/>
                  <w:vAlign w:val="center"/>
                </w:tcPr>
                <w:p w14:paraId="7287EF65">
                  <w:pPr>
                    <w:adjustRightInd w:val="0"/>
                    <w:snapToGrid w:val="0"/>
                    <w:jc w:val="center"/>
                    <w:rPr>
                      <w:rFonts w:hint="eastAsia" w:ascii="Times New Roman" w:hAnsi="Times New Roman" w:eastAsia="宋体" w:cs="Times New Roman"/>
                      <w:color w:val="auto"/>
                      <w:sz w:val="21"/>
                      <w:szCs w:val="18"/>
                      <w:lang w:val="en-US" w:eastAsia="zh-CN"/>
                    </w:rPr>
                  </w:pPr>
                  <w:r>
                    <w:rPr>
                      <w:rFonts w:hint="eastAsia" w:ascii="Times New Roman" w:hAnsi="Times New Roman" w:eastAsia="宋体" w:cs="Times New Roman"/>
                      <w:color w:val="auto"/>
                      <w:sz w:val="21"/>
                      <w:szCs w:val="18"/>
                      <w:lang w:val="en-US" w:eastAsia="zh-CN"/>
                    </w:rPr>
                    <w:t>900-039-49</w:t>
                  </w:r>
                </w:p>
              </w:tc>
              <w:tc>
                <w:tcPr>
                  <w:tcW w:w="705" w:type="dxa"/>
                  <w:noWrap w:val="0"/>
                  <w:vAlign w:val="center"/>
                </w:tcPr>
                <w:p w14:paraId="3261EF35">
                  <w:pPr>
                    <w:adjustRightInd w:val="0"/>
                    <w:snapToGrid w:val="0"/>
                    <w:jc w:val="center"/>
                    <w:rPr>
                      <w:rFonts w:hint="eastAsia" w:ascii="Times New Roman" w:hAnsi="Times New Roman" w:eastAsia="宋体" w:cs="Times New Roman"/>
                      <w:color w:val="auto"/>
                      <w:sz w:val="21"/>
                      <w:szCs w:val="18"/>
                      <w:lang w:val="en-US" w:eastAsia="zh-CN"/>
                    </w:rPr>
                  </w:pPr>
                  <w:r>
                    <w:rPr>
                      <w:rFonts w:hint="eastAsia" w:ascii="Times New Roman" w:hAnsi="Times New Roman" w:eastAsia="宋体" w:cs="Times New Roman"/>
                      <w:color w:val="auto"/>
                      <w:sz w:val="21"/>
                      <w:szCs w:val="18"/>
                      <w:lang w:val="en-US" w:eastAsia="zh-CN"/>
                    </w:rPr>
                    <w:t>T</w:t>
                  </w:r>
                </w:p>
              </w:tc>
              <w:tc>
                <w:tcPr>
                  <w:tcW w:w="945" w:type="dxa"/>
                  <w:noWrap w:val="0"/>
                  <w:vAlign w:val="center"/>
                </w:tcPr>
                <w:p w14:paraId="5A57468D">
                  <w:pPr>
                    <w:adjustRightInd w:val="0"/>
                    <w:snapToGrid w:val="0"/>
                    <w:jc w:val="center"/>
                    <w:rPr>
                      <w:rFonts w:hint="default" w:ascii="Times New Roman" w:hAnsi="Times New Roman" w:eastAsia="宋体" w:cs="Times New Roman"/>
                      <w:color w:val="auto"/>
                      <w:sz w:val="21"/>
                      <w:szCs w:val="18"/>
                      <w:lang w:val="en-US" w:eastAsia="zh-CN"/>
                    </w:rPr>
                  </w:pPr>
                  <w:r>
                    <w:rPr>
                      <w:rFonts w:hint="eastAsia" w:cs="Times New Roman"/>
                      <w:color w:val="auto"/>
                      <w:sz w:val="21"/>
                      <w:szCs w:val="18"/>
                      <w:lang w:val="en-US" w:eastAsia="zh-CN"/>
                    </w:rPr>
                    <w:t>7.155</w:t>
                  </w:r>
                </w:p>
              </w:tc>
              <w:tc>
                <w:tcPr>
                  <w:tcW w:w="915" w:type="dxa"/>
                  <w:noWrap w:val="0"/>
                  <w:vAlign w:val="center"/>
                </w:tcPr>
                <w:p w14:paraId="16526455">
                  <w:pPr>
                    <w:adjustRightInd w:val="0"/>
                    <w:snapToGrid w:val="0"/>
                    <w:jc w:val="center"/>
                    <w:rPr>
                      <w:rFonts w:hint="eastAsia" w:ascii="Times New Roman" w:hAnsi="Times New Roman" w:eastAsia="宋体" w:cs="Times New Roman"/>
                      <w:color w:val="auto"/>
                      <w:sz w:val="21"/>
                      <w:szCs w:val="18"/>
                      <w:lang w:val="en-US" w:eastAsia="zh-CN"/>
                    </w:rPr>
                  </w:pPr>
                  <w:r>
                    <w:rPr>
                      <w:rFonts w:hint="eastAsia" w:ascii="Times New Roman" w:hAnsi="Times New Roman" w:eastAsia="宋体" w:cs="Times New Roman"/>
                      <w:color w:val="auto"/>
                      <w:sz w:val="21"/>
                      <w:szCs w:val="18"/>
                      <w:lang w:val="en-US" w:eastAsia="zh-CN"/>
                    </w:rPr>
                    <w:t>0</w:t>
                  </w:r>
                </w:p>
              </w:tc>
              <w:tc>
                <w:tcPr>
                  <w:tcW w:w="900" w:type="dxa"/>
                  <w:noWrap w:val="0"/>
                  <w:vAlign w:val="center"/>
                </w:tcPr>
                <w:p w14:paraId="35ABCE0E">
                  <w:pPr>
                    <w:adjustRightInd w:val="0"/>
                    <w:snapToGrid w:val="0"/>
                    <w:jc w:val="center"/>
                    <w:rPr>
                      <w:rFonts w:hint="default" w:ascii="Times New Roman" w:hAnsi="Times New Roman" w:eastAsia="宋体"/>
                      <w:color w:val="auto"/>
                      <w:sz w:val="21"/>
                      <w:szCs w:val="18"/>
                      <w:lang w:val="en-US" w:eastAsia="zh-CN"/>
                    </w:rPr>
                  </w:pPr>
                  <w:r>
                    <w:rPr>
                      <w:rFonts w:hint="eastAsia" w:cs="Times New Roman"/>
                      <w:color w:val="auto"/>
                      <w:sz w:val="21"/>
                      <w:szCs w:val="18"/>
                      <w:lang w:val="en-US" w:eastAsia="zh-CN"/>
                    </w:rPr>
                    <w:t>7.155</w:t>
                  </w:r>
                </w:p>
              </w:tc>
              <w:tc>
                <w:tcPr>
                  <w:tcW w:w="1125" w:type="dxa"/>
                  <w:noWrap w:val="0"/>
                  <w:vAlign w:val="center"/>
                </w:tcPr>
                <w:p w14:paraId="7EB09B7A">
                  <w:pPr>
                    <w:adjustRightInd w:val="0"/>
                    <w:snapToGrid w:val="0"/>
                    <w:jc w:val="center"/>
                    <w:rPr>
                      <w:rFonts w:ascii="Times New Roman" w:hAnsi="Times New Roman" w:eastAsia="宋体"/>
                      <w:color w:val="auto"/>
                      <w:sz w:val="21"/>
                      <w:szCs w:val="18"/>
                    </w:rPr>
                  </w:pPr>
                  <w:r>
                    <w:rPr>
                      <w:rFonts w:hint="eastAsia" w:ascii="Times New Roman" w:hAnsi="Times New Roman" w:eastAsia="宋体"/>
                      <w:color w:val="auto"/>
                      <w:sz w:val="21"/>
                      <w:szCs w:val="18"/>
                    </w:rPr>
                    <w:t>袋装</w:t>
                  </w:r>
                </w:p>
              </w:tc>
              <w:tc>
                <w:tcPr>
                  <w:tcW w:w="1653" w:type="dxa"/>
                  <w:vMerge w:val="restart"/>
                  <w:noWrap w:val="0"/>
                  <w:vAlign w:val="center"/>
                </w:tcPr>
                <w:p w14:paraId="79CEBC3F">
                  <w:pPr>
                    <w:adjustRightInd w:val="0"/>
                    <w:snapToGrid w:val="0"/>
                    <w:jc w:val="center"/>
                    <w:rPr>
                      <w:rFonts w:ascii="Times New Roman" w:hAnsi="Times New Roman" w:eastAsia="宋体"/>
                      <w:color w:val="auto"/>
                      <w:sz w:val="21"/>
                      <w:szCs w:val="18"/>
                    </w:rPr>
                  </w:pPr>
                  <w:r>
                    <w:rPr>
                      <w:rFonts w:hint="eastAsia" w:ascii="Times New Roman" w:hAnsi="Times New Roman" w:eastAsia="宋体"/>
                      <w:color w:val="auto"/>
                      <w:sz w:val="21"/>
                      <w:szCs w:val="18"/>
                    </w:rPr>
                    <w:t>委托有危废处置资质单位处置</w:t>
                  </w:r>
                </w:p>
              </w:tc>
            </w:tr>
            <w:tr w14:paraId="0A0390AE">
              <w:trPr>
                <w:trHeight w:val="454" w:hRule="exact"/>
                <w:jc w:val="center"/>
              </w:trPr>
              <w:tc>
                <w:tcPr>
                  <w:tcW w:w="426" w:type="dxa"/>
                  <w:noWrap w:val="0"/>
                  <w:vAlign w:val="center"/>
                </w:tcPr>
                <w:p w14:paraId="570B547B">
                  <w:pPr>
                    <w:numPr>
                      <w:ilvl w:val="0"/>
                      <w:numId w:val="26"/>
                    </w:numPr>
                    <w:adjustRightInd w:val="0"/>
                    <w:snapToGrid w:val="0"/>
                    <w:ind w:left="0" w:leftChars="0" w:firstLine="0" w:firstLineChars="0"/>
                    <w:jc w:val="center"/>
                    <w:rPr>
                      <w:rFonts w:hint="default" w:ascii="Times New Roman" w:hAnsi="Times New Roman" w:eastAsia="宋体"/>
                      <w:color w:val="auto"/>
                      <w:sz w:val="21"/>
                      <w:szCs w:val="18"/>
                      <w:lang w:val="en-US" w:eastAsia="zh-CN"/>
                    </w:rPr>
                  </w:pPr>
                </w:p>
              </w:tc>
              <w:tc>
                <w:tcPr>
                  <w:tcW w:w="1504" w:type="dxa"/>
                  <w:noWrap w:val="0"/>
                  <w:vAlign w:val="center"/>
                </w:tcPr>
                <w:p w14:paraId="53719194">
                  <w:pPr>
                    <w:pStyle w:val="17"/>
                    <w:spacing w:line="240" w:lineRule="auto"/>
                    <w:ind w:left="0" w:leftChars="0" w:firstLine="0" w:firstLineChars="0"/>
                    <w:jc w:val="center"/>
                    <w:rPr>
                      <w:rFonts w:hint="default" w:ascii="Times New Roman" w:hAnsi="Times New Roman" w:eastAsia="宋体"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废包装桶</w:t>
                  </w:r>
                </w:p>
              </w:tc>
              <w:tc>
                <w:tcPr>
                  <w:tcW w:w="1620" w:type="dxa"/>
                  <w:noWrap w:val="0"/>
                  <w:vAlign w:val="center"/>
                </w:tcPr>
                <w:p w14:paraId="1815315B">
                  <w:pPr>
                    <w:keepNext w:val="0"/>
                    <w:keepLines w:val="0"/>
                    <w:suppressLineNumbers w:val="0"/>
                    <w:adjustRightInd w:val="0"/>
                    <w:snapToGrid w:val="0"/>
                    <w:spacing w:before="0" w:beforeAutospacing="0" w:after="0" w:afterAutospacing="0"/>
                    <w:ind w:left="0" w:leftChars="0" w:right="0" w:rightChars="0"/>
                    <w:jc w:val="center"/>
                    <w:rPr>
                      <w:rFonts w:hint="default" w:eastAsia="宋体"/>
                      <w:color w:val="auto"/>
                      <w:kern w:val="2"/>
                      <w:sz w:val="21"/>
                      <w:szCs w:val="18"/>
                      <w:lang w:val="en-US" w:eastAsia="zh-CN" w:bidi="ar-SA"/>
                    </w:rPr>
                  </w:pPr>
                  <w:r>
                    <w:rPr>
                      <w:rFonts w:hint="eastAsia"/>
                      <w:color w:val="auto"/>
                      <w:szCs w:val="18"/>
                      <w:lang w:val="en-US" w:eastAsia="zh-CN"/>
                    </w:rPr>
                    <w:t>润滑油</w:t>
                  </w:r>
                </w:p>
              </w:tc>
              <w:tc>
                <w:tcPr>
                  <w:tcW w:w="690" w:type="dxa"/>
                  <w:vMerge w:val="continue"/>
                  <w:noWrap w:val="0"/>
                  <w:vAlign w:val="center"/>
                </w:tcPr>
                <w:p w14:paraId="7DCFD906">
                  <w:pPr>
                    <w:keepNext w:val="0"/>
                    <w:keepLines w:val="0"/>
                    <w:suppressLineNumbers w:val="0"/>
                    <w:adjustRightInd w:val="0"/>
                    <w:snapToGrid w:val="0"/>
                    <w:spacing w:before="0" w:beforeAutospacing="0" w:after="0" w:afterAutospacing="0"/>
                    <w:ind w:left="0" w:leftChars="0" w:right="0" w:rightChars="0"/>
                    <w:jc w:val="center"/>
                    <w:rPr>
                      <w:rFonts w:hint="eastAsia"/>
                      <w:color w:val="auto"/>
                      <w:kern w:val="2"/>
                      <w:sz w:val="21"/>
                      <w:szCs w:val="18"/>
                      <w:lang w:val="en-US" w:eastAsia="zh-CN" w:bidi="ar-SA"/>
                    </w:rPr>
                  </w:pPr>
                </w:p>
              </w:tc>
              <w:tc>
                <w:tcPr>
                  <w:tcW w:w="465" w:type="dxa"/>
                  <w:noWrap w:val="0"/>
                  <w:vAlign w:val="center"/>
                </w:tcPr>
                <w:p w14:paraId="790628EA">
                  <w:pPr>
                    <w:keepNext w:val="0"/>
                    <w:keepLines w:val="0"/>
                    <w:suppressLineNumbers w:val="0"/>
                    <w:adjustRightInd w:val="0"/>
                    <w:snapToGrid w:val="0"/>
                    <w:spacing w:before="0" w:beforeAutospacing="0" w:after="0" w:afterAutospacing="0"/>
                    <w:ind w:left="0" w:leftChars="0" w:right="0" w:rightChars="0"/>
                    <w:jc w:val="center"/>
                    <w:rPr>
                      <w:rFonts w:hint="eastAsia"/>
                      <w:color w:val="auto"/>
                      <w:kern w:val="2"/>
                      <w:sz w:val="21"/>
                      <w:szCs w:val="18"/>
                      <w:lang w:val="en-US" w:eastAsia="zh-CN" w:bidi="ar-SA"/>
                    </w:rPr>
                  </w:pPr>
                  <w:r>
                    <w:rPr>
                      <w:rFonts w:hint="eastAsia"/>
                      <w:color w:val="auto"/>
                      <w:szCs w:val="18"/>
                    </w:rPr>
                    <w:t>固</w:t>
                  </w:r>
                </w:p>
              </w:tc>
              <w:tc>
                <w:tcPr>
                  <w:tcW w:w="1335" w:type="dxa"/>
                  <w:noWrap w:val="0"/>
                  <w:vAlign w:val="center"/>
                </w:tcPr>
                <w:p w14:paraId="151D358E">
                  <w:pPr>
                    <w:keepNext w:val="0"/>
                    <w:keepLines w:val="0"/>
                    <w:suppressLineNumbers w:val="0"/>
                    <w:adjustRightInd w:val="0"/>
                    <w:snapToGrid w:val="0"/>
                    <w:spacing w:before="0" w:beforeAutospacing="0" w:after="0" w:afterAutospacing="0"/>
                    <w:ind w:left="0" w:leftChars="0" w:right="0" w:rightChars="0"/>
                    <w:jc w:val="center"/>
                    <w:rPr>
                      <w:rFonts w:hint="default" w:eastAsia="宋体"/>
                      <w:color w:val="auto"/>
                      <w:kern w:val="2"/>
                      <w:sz w:val="21"/>
                      <w:szCs w:val="18"/>
                      <w:lang w:val="en-US" w:eastAsia="zh-CN" w:bidi="ar-SA"/>
                    </w:rPr>
                  </w:pPr>
                  <w:r>
                    <w:rPr>
                      <w:rFonts w:hint="eastAsia"/>
                      <w:color w:val="auto"/>
                      <w:szCs w:val="18"/>
                      <w:lang w:val="en-US" w:eastAsia="zh-CN"/>
                    </w:rPr>
                    <w:t>润滑油</w:t>
                  </w:r>
                </w:p>
              </w:tc>
              <w:tc>
                <w:tcPr>
                  <w:tcW w:w="915" w:type="dxa"/>
                  <w:noWrap w:val="0"/>
                  <w:vAlign w:val="center"/>
                </w:tcPr>
                <w:p w14:paraId="75801F95">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spacing w:val="-11"/>
                      <w:kern w:val="2"/>
                      <w:sz w:val="21"/>
                      <w:szCs w:val="18"/>
                      <w:lang w:val="en-US" w:eastAsia="zh-CN" w:bidi="ar-SA"/>
                    </w:rPr>
                  </w:pPr>
                  <w:r>
                    <w:rPr>
                      <w:rFonts w:hint="eastAsia"/>
                      <w:color w:val="auto"/>
                      <w:spacing w:val="-11"/>
                      <w:szCs w:val="18"/>
                    </w:rPr>
                    <w:t>HW</w:t>
                  </w:r>
                  <w:r>
                    <w:rPr>
                      <w:rFonts w:hint="eastAsia"/>
                      <w:color w:val="auto"/>
                      <w:spacing w:val="-11"/>
                      <w:szCs w:val="18"/>
                      <w:lang w:val="en-US" w:eastAsia="zh-CN"/>
                    </w:rPr>
                    <w:t>49</w:t>
                  </w:r>
                </w:p>
              </w:tc>
              <w:tc>
                <w:tcPr>
                  <w:tcW w:w="1425" w:type="dxa"/>
                  <w:noWrap w:val="0"/>
                  <w:vAlign w:val="center"/>
                </w:tcPr>
                <w:p w14:paraId="1150B1F8">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spacing w:val="-11"/>
                      <w:kern w:val="2"/>
                      <w:sz w:val="21"/>
                      <w:szCs w:val="18"/>
                      <w:lang w:val="en-US" w:eastAsia="zh-CN" w:bidi="ar-SA"/>
                    </w:rPr>
                  </w:pPr>
                  <w:r>
                    <w:rPr>
                      <w:rFonts w:hint="eastAsia"/>
                      <w:color w:val="auto"/>
                      <w:spacing w:val="-11"/>
                      <w:szCs w:val="18"/>
                    </w:rPr>
                    <w:t>900-</w:t>
                  </w:r>
                  <w:r>
                    <w:rPr>
                      <w:rFonts w:hint="eastAsia"/>
                      <w:color w:val="auto"/>
                      <w:spacing w:val="-11"/>
                      <w:szCs w:val="18"/>
                      <w:lang w:val="en-US" w:eastAsia="zh-CN"/>
                    </w:rPr>
                    <w:t>041</w:t>
                  </w:r>
                  <w:r>
                    <w:rPr>
                      <w:rFonts w:hint="eastAsia"/>
                      <w:color w:val="auto"/>
                      <w:spacing w:val="-11"/>
                      <w:szCs w:val="18"/>
                    </w:rPr>
                    <w:t>-</w:t>
                  </w:r>
                  <w:r>
                    <w:rPr>
                      <w:rFonts w:hint="eastAsia"/>
                      <w:color w:val="auto"/>
                      <w:spacing w:val="-11"/>
                      <w:szCs w:val="18"/>
                      <w:lang w:val="en-US" w:eastAsia="zh-CN"/>
                    </w:rPr>
                    <w:t>49</w:t>
                  </w:r>
                </w:p>
              </w:tc>
              <w:tc>
                <w:tcPr>
                  <w:tcW w:w="705" w:type="dxa"/>
                  <w:noWrap w:val="0"/>
                  <w:vAlign w:val="center"/>
                </w:tcPr>
                <w:p w14:paraId="5B155322">
                  <w:pPr>
                    <w:keepNext w:val="0"/>
                    <w:keepLines w:val="0"/>
                    <w:suppressLineNumbers w:val="0"/>
                    <w:adjustRightInd w:val="0"/>
                    <w:snapToGrid w:val="0"/>
                    <w:spacing w:before="0" w:beforeAutospacing="0" w:after="0" w:afterAutospacing="0"/>
                    <w:ind w:left="0" w:leftChars="0" w:right="0" w:rightChars="0"/>
                    <w:jc w:val="center"/>
                    <w:rPr>
                      <w:rFonts w:hint="eastAsia" w:eastAsia="宋体"/>
                      <w:color w:val="auto"/>
                      <w:kern w:val="2"/>
                      <w:sz w:val="21"/>
                      <w:szCs w:val="18"/>
                      <w:lang w:val="en-US" w:eastAsia="zh-CN" w:bidi="ar-SA"/>
                    </w:rPr>
                  </w:pPr>
                  <w:r>
                    <w:rPr>
                      <w:rFonts w:hint="eastAsia"/>
                      <w:color w:val="auto"/>
                      <w:szCs w:val="18"/>
                      <w:lang w:val="en-US" w:eastAsia="zh-CN"/>
                    </w:rPr>
                    <w:t>T/In</w:t>
                  </w:r>
                </w:p>
              </w:tc>
              <w:tc>
                <w:tcPr>
                  <w:tcW w:w="945" w:type="dxa"/>
                  <w:noWrap w:val="0"/>
                  <w:vAlign w:val="center"/>
                </w:tcPr>
                <w:p w14:paraId="7D2C8061">
                  <w:pPr>
                    <w:keepNext w:val="0"/>
                    <w:keepLines w:val="0"/>
                    <w:suppressLineNumbers w:val="0"/>
                    <w:adjustRightInd w:val="0"/>
                    <w:snapToGrid w:val="0"/>
                    <w:spacing w:before="0" w:beforeAutospacing="0" w:after="0" w:afterAutospacing="0"/>
                    <w:ind w:left="0" w:leftChars="0" w:right="0" w:rightChars="0"/>
                    <w:jc w:val="center"/>
                    <w:rPr>
                      <w:rFonts w:hint="default" w:eastAsia="宋体"/>
                      <w:color w:val="auto"/>
                      <w:kern w:val="2"/>
                      <w:sz w:val="21"/>
                      <w:szCs w:val="18"/>
                      <w:lang w:val="en-US" w:eastAsia="zh-CN" w:bidi="ar-SA"/>
                    </w:rPr>
                  </w:pPr>
                  <w:r>
                    <w:rPr>
                      <w:rFonts w:hint="eastAsia"/>
                      <w:color w:val="auto"/>
                      <w:kern w:val="2"/>
                      <w:sz w:val="21"/>
                      <w:szCs w:val="18"/>
                      <w:lang w:val="en-US" w:eastAsia="zh-CN" w:bidi="ar-SA"/>
                    </w:rPr>
                    <w:t>0.02</w:t>
                  </w:r>
                </w:p>
              </w:tc>
              <w:tc>
                <w:tcPr>
                  <w:tcW w:w="915" w:type="dxa"/>
                  <w:noWrap w:val="0"/>
                  <w:vAlign w:val="center"/>
                </w:tcPr>
                <w:p w14:paraId="5CE31730">
                  <w:pPr>
                    <w:keepNext w:val="0"/>
                    <w:keepLines w:val="0"/>
                    <w:suppressLineNumbers w:val="0"/>
                    <w:adjustRightInd w:val="0"/>
                    <w:snapToGrid w:val="0"/>
                    <w:spacing w:before="0" w:beforeAutospacing="0" w:after="0" w:afterAutospacing="0"/>
                    <w:ind w:left="0" w:leftChars="0" w:right="0" w:rightChars="0"/>
                    <w:jc w:val="center"/>
                    <w:rPr>
                      <w:rFonts w:hint="eastAsia"/>
                      <w:color w:val="auto"/>
                      <w:kern w:val="2"/>
                      <w:sz w:val="21"/>
                      <w:szCs w:val="18"/>
                      <w:lang w:val="en-US" w:eastAsia="zh-CN" w:bidi="ar-SA"/>
                    </w:rPr>
                  </w:pPr>
                  <w:r>
                    <w:rPr>
                      <w:rFonts w:hint="eastAsia"/>
                      <w:color w:val="auto"/>
                      <w:szCs w:val="18"/>
                    </w:rPr>
                    <w:t>0</w:t>
                  </w:r>
                </w:p>
              </w:tc>
              <w:tc>
                <w:tcPr>
                  <w:tcW w:w="900" w:type="dxa"/>
                  <w:noWrap w:val="0"/>
                  <w:vAlign w:val="center"/>
                </w:tcPr>
                <w:p w14:paraId="60B3A093">
                  <w:pPr>
                    <w:keepNext w:val="0"/>
                    <w:keepLines w:val="0"/>
                    <w:suppressLineNumbers w:val="0"/>
                    <w:adjustRightInd w:val="0"/>
                    <w:snapToGrid w:val="0"/>
                    <w:spacing w:before="0" w:beforeAutospacing="0" w:after="0" w:afterAutospacing="0"/>
                    <w:ind w:left="0" w:leftChars="0" w:right="0" w:rightChars="0"/>
                    <w:jc w:val="center"/>
                    <w:rPr>
                      <w:rFonts w:hint="eastAsia" w:eastAsia="宋体"/>
                      <w:color w:val="auto"/>
                      <w:kern w:val="2"/>
                      <w:sz w:val="21"/>
                      <w:szCs w:val="18"/>
                      <w:lang w:val="en-US" w:eastAsia="zh-CN" w:bidi="ar-SA"/>
                    </w:rPr>
                  </w:pPr>
                  <w:r>
                    <w:rPr>
                      <w:rFonts w:hint="eastAsia"/>
                      <w:color w:val="auto"/>
                      <w:kern w:val="2"/>
                      <w:sz w:val="21"/>
                      <w:szCs w:val="18"/>
                      <w:lang w:val="en-US" w:eastAsia="zh-CN" w:bidi="ar-SA"/>
                    </w:rPr>
                    <w:t>0.02</w:t>
                  </w:r>
                </w:p>
              </w:tc>
              <w:tc>
                <w:tcPr>
                  <w:tcW w:w="1125" w:type="dxa"/>
                  <w:noWrap w:val="0"/>
                  <w:vAlign w:val="center"/>
                </w:tcPr>
                <w:p w14:paraId="234F090C">
                  <w:pPr>
                    <w:keepNext w:val="0"/>
                    <w:keepLines w:val="0"/>
                    <w:suppressLineNumbers w:val="0"/>
                    <w:adjustRightInd w:val="0"/>
                    <w:snapToGrid w:val="0"/>
                    <w:spacing w:before="0" w:beforeAutospacing="0" w:after="0" w:afterAutospacing="0"/>
                    <w:ind w:left="0" w:leftChars="0" w:right="0" w:rightChars="0"/>
                    <w:jc w:val="center"/>
                    <w:rPr>
                      <w:rFonts w:hint="eastAsia"/>
                      <w:color w:val="auto"/>
                      <w:kern w:val="2"/>
                      <w:sz w:val="21"/>
                      <w:szCs w:val="18"/>
                      <w:lang w:val="en-US" w:eastAsia="zh-CN" w:bidi="ar-SA"/>
                    </w:rPr>
                  </w:pPr>
                  <w:r>
                    <w:rPr>
                      <w:rFonts w:hint="eastAsia"/>
                      <w:color w:val="auto"/>
                      <w:szCs w:val="18"/>
                    </w:rPr>
                    <w:t>无包装</w:t>
                  </w:r>
                </w:p>
              </w:tc>
              <w:tc>
                <w:tcPr>
                  <w:tcW w:w="1653" w:type="dxa"/>
                  <w:vMerge w:val="continue"/>
                  <w:noWrap w:val="0"/>
                  <w:vAlign w:val="center"/>
                </w:tcPr>
                <w:p w14:paraId="373140E1">
                  <w:pPr>
                    <w:adjustRightInd w:val="0"/>
                    <w:snapToGrid w:val="0"/>
                    <w:jc w:val="center"/>
                    <w:rPr>
                      <w:rFonts w:hint="eastAsia" w:ascii="Times New Roman" w:hAnsi="Times New Roman" w:eastAsia="宋体"/>
                      <w:color w:val="auto"/>
                      <w:sz w:val="21"/>
                      <w:szCs w:val="18"/>
                    </w:rPr>
                  </w:pPr>
                </w:p>
              </w:tc>
            </w:tr>
            <w:tr w14:paraId="4EC1DB03">
              <w:trPr>
                <w:trHeight w:val="454" w:hRule="exact"/>
                <w:jc w:val="center"/>
              </w:trPr>
              <w:tc>
                <w:tcPr>
                  <w:tcW w:w="426" w:type="dxa"/>
                  <w:noWrap w:val="0"/>
                  <w:vAlign w:val="center"/>
                </w:tcPr>
                <w:p w14:paraId="10A46069">
                  <w:pPr>
                    <w:numPr>
                      <w:ilvl w:val="0"/>
                      <w:numId w:val="26"/>
                    </w:numPr>
                    <w:adjustRightInd w:val="0"/>
                    <w:snapToGrid w:val="0"/>
                    <w:ind w:left="0" w:leftChars="0" w:firstLine="0" w:firstLineChars="0"/>
                    <w:jc w:val="center"/>
                    <w:rPr>
                      <w:rFonts w:hint="eastAsia" w:ascii="Times New Roman" w:hAnsi="Times New Roman" w:eastAsia="宋体"/>
                      <w:color w:val="auto"/>
                      <w:kern w:val="2"/>
                      <w:sz w:val="21"/>
                      <w:szCs w:val="18"/>
                      <w:lang w:val="en-US" w:eastAsia="zh-CN" w:bidi="ar-SA"/>
                    </w:rPr>
                  </w:pPr>
                </w:p>
              </w:tc>
              <w:tc>
                <w:tcPr>
                  <w:tcW w:w="1504" w:type="dxa"/>
                  <w:noWrap w:val="0"/>
                  <w:vAlign w:val="center"/>
                </w:tcPr>
                <w:p w14:paraId="4E9A9455">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color w:val="auto"/>
                      <w:kern w:val="2"/>
                      <w:sz w:val="21"/>
                      <w:szCs w:val="18"/>
                      <w:lang w:val="en-US" w:eastAsia="zh-CN" w:bidi="ar-SA"/>
                    </w:rPr>
                  </w:pPr>
                  <w:r>
                    <w:rPr>
                      <w:rFonts w:hint="eastAsia" w:ascii="Times New Roman" w:hAnsi="Times New Roman" w:cs="Times New Roman"/>
                      <w:b w:val="0"/>
                      <w:color w:val="auto"/>
                      <w:sz w:val="21"/>
                      <w:szCs w:val="18"/>
                      <w:lang w:val="en-US" w:eastAsia="zh-CN"/>
                    </w:rPr>
                    <w:t>废润滑油</w:t>
                  </w:r>
                </w:p>
              </w:tc>
              <w:tc>
                <w:tcPr>
                  <w:tcW w:w="1620" w:type="dxa"/>
                  <w:noWrap w:val="0"/>
                  <w:vAlign w:val="center"/>
                </w:tcPr>
                <w:p w14:paraId="274E8837">
                  <w:pPr>
                    <w:keepNext w:val="0"/>
                    <w:keepLines w:val="0"/>
                    <w:suppressLineNumbers w:val="0"/>
                    <w:adjustRightInd w:val="0"/>
                    <w:snapToGrid w:val="0"/>
                    <w:spacing w:before="0" w:beforeAutospacing="0" w:after="0" w:afterAutospacing="0"/>
                    <w:ind w:left="0" w:leftChars="0" w:right="0" w:rightChars="0"/>
                    <w:jc w:val="center"/>
                    <w:rPr>
                      <w:rFonts w:hint="default" w:eastAsia="宋体"/>
                      <w:color w:val="auto"/>
                      <w:kern w:val="2"/>
                      <w:sz w:val="21"/>
                      <w:szCs w:val="18"/>
                      <w:lang w:val="en-US" w:eastAsia="zh-CN" w:bidi="ar-SA"/>
                    </w:rPr>
                  </w:pPr>
                  <w:r>
                    <w:rPr>
                      <w:rFonts w:hint="eastAsia"/>
                      <w:color w:val="auto"/>
                      <w:szCs w:val="18"/>
                      <w:lang w:val="en-US" w:eastAsia="zh-CN"/>
                    </w:rPr>
                    <w:t>设备保养</w:t>
                  </w:r>
                </w:p>
              </w:tc>
              <w:tc>
                <w:tcPr>
                  <w:tcW w:w="690" w:type="dxa"/>
                  <w:vMerge w:val="continue"/>
                  <w:noWrap w:val="0"/>
                  <w:vAlign w:val="center"/>
                </w:tcPr>
                <w:p w14:paraId="4CA78CF8">
                  <w:pPr>
                    <w:keepNext w:val="0"/>
                    <w:keepLines w:val="0"/>
                    <w:suppressLineNumbers w:val="0"/>
                    <w:adjustRightInd w:val="0"/>
                    <w:snapToGrid w:val="0"/>
                    <w:spacing w:before="0" w:beforeAutospacing="0" w:after="0" w:afterAutospacing="0"/>
                    <w:ind w:left="0" w:leftChars="0" w:right="0" w:rightChars="0"/>
                    <w:jc w:val="center"/>
                    <w:rPr>
                      <w:rFonts w:hint="eastAsia"/>
                      <w:color w:val="auto"/>
                      <w:kern w:val="2"/>
                      <w:sz w:val="21"/>
                      <w:szCs w:val="18"/>
                      <w:lang w:val="en-US" w:eastAsia="zh-CN" w:bidi="ar-SA"/>
                    </w:rPr>
                  </w:pPr>
                </w:p>
              </w:tc>
              <w:tc>
                <w:tcPr>
                  <w:tcW w:w="465" w:type="dxa"/>
                  <w:noWrap w:val="0"/>
                  <w:vAlign w:val="center"/>
                </w:tcPr>
                <w:p w14:paraId="16A414C7">
                  <w:pPr>
                    <w:keepNext w:val="0"/>
                    <w:keepLines w:val="0"/>
                    <w:suppressLineNumbers w:val="0"/>
                    <w:adjustRightInd w:val="0"/>
                    <w:snapToGrid w:val="0"/>
                    <w:spacing w:before="0" w:beforeAutospacing="0" w:after="0" w:afterAutospacing="0"/>
                    <w:ind w:left="0" w:leftChars="0" w:right="0" w:rightChars="0"/>
                    <w:jc w:val="center"/>
                    <w:rPr>
                      <w:rFonts w:hint="eastAsia" w:eastAsia="宋体"/>
                      <w:color w:val="auto"/>
                      <w:kern w:val="2"/>
                      <w:sz w:val="21"/>
                      <w:szCs w:val="18"/>
                      <w:lang w:val="en-US" w:eastAsia="zh-CN" w:bidi="ar-SA"/>
                    </w:rPr>
                  </w:pPr>
                  <w:r>
                    <w:rPr>
                      <w:rFonts w:hint="eastAsia"/>
                      <w:color w:val="auto"/>
                      <w:szCs w:val="18"/>
                      <w:lang w:val="en-US" w:eastAsia="zh-CN"/>
                    </w:rPr>
                    <w:t>液</w:t>
                  </w:r>
                </w:p>
              </w:tc>
              <w:tc>
                <w:tcPr>
                  <w:tcW w:w="1335" w:type="dxa"/>
                  <w:noWrap w:val="0"/>
                  <w:vAlign w:val="center"/>
                </w:tcPr>
                <w:p w14:paraId="28DFACC0">
                  <w:pPr>
                    <w:keepNext w:val="0"/>
                    <w:keepLines w:val="0"/>
                    <w:suppressLineNumbers w:val="0"/>
                    <w:adjustRightInd w:val="0"/>
                    <w:snapToGrid w:val="0"/>
                    <w:spacing w:before="0" w:beforeAutospacing="0" w:after="0" w:afterAutospacing="0"/>
                    <w:ind w:left="0" w:leftChars="0" w:right="0" w:rightChars="0"/>
                    <w:jc w:val="center"/>
                    <w:rPr>
                      <w:rFonts w:hint="eastAsia" w:eastAsia="宋体"/>
                      <w:color w:val="auto"/>
                      <w:kern w:val="2"/>
                      <w:sz w:val="21"/>
                      <w:szCs w:val="18"/>
                      <w:lang w:val="en-US" w:eastAsia="zh-CN" w:bidi="ar-SA"/>
                    </w:rPr>
                  </w:pPr>
                  <w:r>
                    <w:rPr>
                      <w:rFonts w:hint="eastAsia"/>
                      <w:color w:val="auto"/>
                      <w:szCs w:val="18"/>
                      <w:lang w:val="en-US" w:eastAsia="zh-CN"/>
                    </w:rPr>
                    <w:t>润滑油</w:t>
                  </w:r>
                </w:p>
              </w:tc>
              <w:tc>
                <w:tcPr>
                  <w:tcW w:w="915" w:type="dxa"/>
                  <w:noWrap w:val="0"/>
                  <w:vAlign w:val="center"/>
                </w:tcPr>
                <w:p w14:paraId="4531500E">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spacing w:val="-11"/>
                      <w:kern w:val="2"/>
                      <w:sz w:val="21"/>
                      <w:szCs w:val="18"/>
                      <w:lang w:val="en-US" w:eastAsia="zh-CN" w:bidi="ar-SA"/>
                    </w:rPr>
                  </w:pPr>
                  <w:r>
                    <w:rPr>
                      <w:rFonts w:hint="eastAsia"/>
                      <w:color w:val="auto"/>
                      <w:spacing w:val="-11"/>
                      <w:szCs w:val="18"/>
                    </w:rPr>
                    <w:t>HW08</w:t>
                  </w:r>
                </w:p>
              </w:tc>
              <w:tc>
                <w:tcPr>
                  <w:tcW w:w="1425" w:type="dxa"/>
                  <w:noWrap w:val="0"/>
                  <w:vAlign w:val="center"/>
                </w:tcPr>
                <w:p w14:paraId="763D10CA">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spacing w:val="-11"/>
                      <w:kern w:val="2"/>
                      <w:sz w:val="21"/>
                      <w:szCs w:val="18"/>
                      <w:lang w:val="en-US" w:eastAsia="zh-CN" w:bidi="ar-SA"/>
                    </w:rPr>
                  </w:pPr>
                  <w:r>
                    <w:rPr>
                      <w:rFonts w:hint="eastAsia"/>
                      <w:color w:val="auto"/>
                      <w:spacing w:val="-11"/>
                      <w:szCs w:val="18"/>
                    </w:rPr>
                    <w:t>900-217-08</w:t>
                  </w:r>
                </w:p>
              </w:tc>
              <w:tc>
                <w:tcPr>
                  <w:tcW w:w="705" w:type="dxa"/>
                  <w:noWrap w:val="0"/>
                  <w:vAlign w:val="center"/>
                </w:tcPr>
                <w:p w14:paraId="5651707A">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18"/>
                      <w:lang w:val="en-US" w:eastAsia="zh-CN" w:bidi="ar-SA"/>
                    </w:rPr>
                  </w:pPr>
                  <w:r>
                    <w:rPr>
                      <w:rFonts w:hint="eastAsia"/>
                      <w:color w:val="auto"/>
                      <w:szCs w:val="18"/>
                    </w:rPr>
                    <w:t>T</w:t>
                  </w:r>
                  <w:r>
                    <w:rPr>
                      <w:rFonts w:hint="eastAsia" w:cs="宋体"/>
                      <w:color w:val="auto"/>
                      <w:szCs w:val="18"/>
                    </w:rPr>
                    <w:t>/</w:t>
                  </w:r>
                  <w:r>
                    <w:rPr>
                      <w:rFonts w:hint="eastAsia"/>
                      <w:color w:val="auto"/>
                      <w:szCs w:val="18"/>
                    </w:rPr>
                    <w:t>I</w:t>
                  </w:r>
                </w:p>
              </w:tc>
              <w:tc>
                <w:tcPr>
                  <w:tcW w:w="945" w:type="dxa"/>
                  <w:noWrap w:val="0"/>
                  <w:vAlign w:val="center"/>
                </w:tcPr>
                <w:p w14:paraId="5900229E">
                  <w:pPr>
                    <w:keepNext w:val="0"/>
                    <w:keepLines w:val="0"/>
                    <w:suppressLineNumbers w:val="0"/>
                    <w:adjustRightInd w:val="0"/>
                    <w:snapToGrid w:val="0"/>
                    <w:spacing w:before="0" w:beforeAutospacing="0" w:after="0" w:afterAutospacing="0"/>
                    <w:ind w:left="0" w:leftChars="0" w:right="0" w:rightChars="0"/>
                    <w:jc w:val="center"/>
                    <w:rPr>
                      <w:rFonts w:hint="default" w:eastAsia="宋体"/>
                      <w:color w:val="auto"/>
                      <w:kern w:val="2"/>
                      <w:sz w:val="21"/>
                      <w:szCs w:val="18"/>
                      <w:lang w:val="en-US" w:eastAsia="zh-CN" w:bidi="ar-SA"/>
                    </w:rPr>
                  </w:pPr>
                  <w:r>
                    <w:rPr>
                      <w:rFonts w:hint="eastAsia"/>
                      <w:color w:val="auto"/>
                      <w:kern w:val="2"/>
                      <w:sz w:val="21"/>
                      <w:szCs w:val="18"/>
                      <w:lang w:val="en-US" w:eastAsia="zh-CN" w:bidi="ar-SA"/>
                    </w:rPr>
                    <w:t>0.425</w:t>
                  </w:r>
                </w:p>
              </w:tc>
              <w:tc>
                <w:tcPr>
                  <w:tcW w:w="915" w:type="dxa"/>
                  <w:noWrap w:val="0"/>
                  <w:vAlign w:val="center"/>
                </w:tcPr>
                <w:p w14:paraId="018030EB">
                  <w:pPr>
                    <w:keepNext w:val="0"/>
                    <w:keepLines w:val="0"/>
                    <w:suppressLineNumbers w:val="0"/>
                    <w:adjustRightInd w:val="0"/>
                    <w:snapToGrid w:val="0"/>
                    <w:spacing w:before="0" w:beforeAutospacing="0" w:after="0" w:afterAutospacing="0"/>
                    <w:ind w:left="0" w:leftChars="0" w:right="0" w:rightChars="0"/>
                    <w:jc w:val="center"/>
                    <w:rPr>
                      <w:rFonts w:hint="eastAsia" w:eastAsia="宋体"/>
                      <w:color w:val="auto"/>
                      <w:kern w:val="2"/>
                      <w:sz w:val="21"/>
                      <w:szCs w:val="18"/>
                      <w:lang w:val="en-US" w:eastAsia="zh-CN" w:bidi="ar-SA"/>
                    </w:rPr>
                  </w:pPr>
                  <w:r>
                    <w:rPr>
                      <w:rFonts w:hint="eastAsia"/>
                      <w:color w:val="auto"/>
                      <w:szCs w:val="18"/>
                      <w:lang w:val="en-US" w:eastAsia="zh-CN"/>
                    </w:rPr>
                    <w:t>0</w:t>
                  </w:r>
                </w:p>
              </w:tc>
              <w:tc>
                <w:tcPr>
                  <w:tcW w:w="900" w:type="dxa"/>
                  <w:noWrap w:val="0"/>
                  <w:vAlign w:val="center"/>
                </w:tcPr>
                <w:p w14:paraId="331A53D4">
                  <w:pPr>
                    <w:keepNext w:val="0"/>
                    <w:keepLines w:val="0"/>
                    <w:suppressLineNumbers w:val="0"/>
                    <w:adjustRightInd w:val="0"/>
                    <w:snapToGrid w:val="0"/>
                    <w:spacing w:before="0" w:beforeAutospacing="0" w:after="0" w:afterAutospacing="0"/>
                    <w:ind w:left="0" w:leftChars="0" w:right="0" w:rightChars="0"/>
                    <w:jc w:val="center"/>
                    <w:rPr>
                      <w:rFonts w:hint="eastAsia" w:eastAsia="宋体"/>
                      <w:color w:val="auto"/>
                      <w:kern w:val="2"/>
                      <w:sz w:val="21"/>
                      <w:szCs w:val="18"/>
                      <w:lang w:val="en-US" w:eastAsia="zh-CN" w:bidi="ar-SA"/>
                    </w:rPr>
                  </w:pPr>
                  <w:r>
                    <w:rPr>
                      <w:rFonts w:hint="eastAsia"/>
                      <w:color w:val="auto"/>
                      <w:kern w:val="2"/>
                      <w:sz w:val="21"/>
                      <w:szCs w:val="18"/>
                      <w:lang w:val="en-US" w:eastAsia="zh-CN" w:bidi="ar-SA"/>
                    </w:rPr>
                    <w:t>0.425</w:t>
                  </w:r>
                </w:p>
              </w:tc>
              <w:tc>
                <w:tcPr>
                  <w:tcW w:w="1125" w:type="dxa"/>
                  <w:noWrap w:val="0"/>
                  <w:vAlign w:val="center"/>
                </w:tcPr>
                <w:p w14:paraId="6C1BB842">
                  <w:pPr>
                    <w:keepNext w:val="0"/>
                    <w:keepLines w:val="0"/>
                    <w:suppressLineNumbers w:val="0"/>
                    <w:adjustRightInd w:val="0"/>
                    <w:snapToGrid w:val="0"/>
                    <w:spacing w:before="0" w:beforeAutospacing="0" w:after="0" w:afterAutospacing="0"/>
                    <w:ind w:left="0" w:leftChars="0" w:right="0" w:rightChars="0"/>
                    <w:jc w:val="center"/>
                    <w:rPr>
                      <w:rFonts w:hint="eastAsia" w:eastAsia="宋体"/>
                      <w:color w:val="auto"/>
                      <w:kern w:val="2"/>
                      <w:sz w:val="21"/>
                      <w:szCs w:val="18"/>
                      <w:lang w:val="en-US" w:eastAsia="zh-CN" w:bidi="ar-SA"/>
                    </w:rPr>
                  </w:pPr>
                  <w:r>
                    <w:rPr>
                      <w:rFonts w:hint="eastAsia"/>
                      <w:color w:val="auto"/>
                      <w:szCs w:val="18"/>
                      <w:lang w:val="en-US" w:eastAsia="zh-CN"/>
                    </w:rPr>
                    <w:t>桶装</w:t>
                  </w:r>
                </w:p>
              </w:tc>
              <w:tc>
                <w:tcPr>
                  <w:tcW w:w="1653" w:type="dxa"/>
                  <w:vMerge w:val="continue"/>
                  <w:noWrap w:val="0"/>
                  <w:vAlign w:val="center"/>
                </w:tcPr>
                <w:p w14:paraId="68181E5E">
                  <w:pPr>
                    <w:adjustRightInd w:val="0"/>
                    <w:snapToGrid w:val="0"/>
                    <w:jc w:val="center"/>
                    <w:rPr>
                      <w:rFonts w:hint="eastAsia" w:ascii="Times New Roman" w:hAnsi="Times New Roman" w:eastAsia="宋体"/>
                      <w:color w:val="auto"/>
                      <w:sz w:val="21"/>
                      <w:szCs w:val="18"/>
                    </w:rPr>
                  </w:pPr>
                </w:p>
              </w:tc>
            </w:tr>
            <w:tr w14:paraId="7E42FF60">
              <w:trPr>
                <w:trHeight w:val="454" w:hRule="exact"/>
                <w:jc w:val="center"/>
              </w:trPr>
              <w:tc>
                <w:tcPr>
                  <w:tcW w:w="426" w:type="dxa"/>
                  <w:noWrap w:val="0"/>
                  <w:vAlign w:val="center"/>
                </w:tcPr>
                <w:p w14:paraId="3A10A09C">
                  <w:pPr>
                    <w:numPr>
                      <w:ilvl w:val="0"/>
                      <w:numId w:val="26"/>
                    </w:numPr>
                    <w:adjustRightInd w:val="0"/>
                    <w:snapToGrid w:val="0"/>
                    <w:ind w:left="0" w:leftChars="0" w:firstLine="0" w:firstLineChars="0"/>
                    <w:jc w:val="center"/>
                    <w:rPr>
                      <w:rFonts w:hint="default" w:ascii="Times New Roman" w:hAnsi="Times New Roman" w:eastAsia="宋体"/>
                      <w:color w:val="auto"/>
                      <w:kern w:val="2"/>
                      <w:sz w:val="21"/>
                      <w:szCs w:val="18"/>
                      <w:lang w:val="en-US" w:eastAsia="zh-CN" w:bidi="ar-SA"/>
                    </w:rPr>
                  </w:pPr>
                </w:p>
              </w:tc>
              <w:tc>
                <w:tcPr>
                  <w:tcW w:w="1504" w:type="dxa"/>
                  <w:noWrap w:val="0"/>
                  <w:vAlign w:val="center"/>
                </w:tcPr>
                <w:p w14:paraId="2FA33C48">
                  <w:pPr>
                    <w:pStyle w:val="17"/>
                    <w:spacing w:line="240" w:lineRule="auto"/>
                    <w:ind w:left="0" w:leftChars="0" w:firstLine="0" w:firstLineChars="0"/>
                    <w:jc w:val="center"/>
                    <w:rPr>
                      <w:rFonts w:hint="default" w:ascii="Times New Roman" w:hAnsi="Times New Roman" w:eastAsia="宋体"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废劳保用品</w:t>
                  </w:r>
                </w:p>
              </w:tc>
              <w:tc>
                <w:tcPr>
                  <w:tcW w:w="1620" w:type="dxa"/>
                  <w:noWrap w:val="0"/>
                  <w:vAlign w:val="center"/>
                </w:tcPr>
                <w:p w14:paraId="31AFF973">
                  <w:pPr>
                    <w:adjustRightInd w:val="0"/>
                    <w:snapToGrid w:val="0"/>
                    <w:jc w:val="center"/>
                    <w:rPr>
                      <w:rFonts w:hint="default" w:ascii="Times New Roman" w:hAnsi="Times New Roman" w:eastAsia="宋体"/>
                      <w:color w:val="auto"/>
                      <w:sz w:val="21"/>
                      <w:szCs w:val="18"/>
                      <w:lang w:val="en-US" w:eastAsia="zh-CN"/>
                    </w:rPr>
                  </w:pPr>
                  <w:r>
                    <w:rPr>
                      <w:rFonts w:hint="eastAsia" w:ascii="Times New Roman" w:hAnsi="Times New Roman" w:eastAsia="宋体"/>
                      <w:color w:val="auto"/>
                      <w:sz w:val="21"/>
                      <w:szCs w:val="18"/>
                      <w:lang w:val="en-US" w:eastAsia="zh-CN"/>
                    </w:rPr>
                    <w:t>设备维修保养</w:t>
                  </w:r>
                </w:p>
              </w:tc>
              <w:tc>
                <w:tcPr>
                  <w:tcW w:w="690" w:type="dxa"/>
                  <w:vMerge w:val="continue"/>
                  <w:noWrap w:val="0"/>
                  <w:vAlign w:val="center"/>
                </w:tcPr>
                <w:p w14:paraId="298BBD54">
                  <w:pPr>
                    <w:adjustRightInd w:val="0"/>
                    <w:snapToGrid w:val="0"/>
                    <w:jc w:val="center"/>
                    <w:rPr>
                      <w:rFonts w:ascii="Times New Roman" w:hAnsi="Times New Roman" w:eastAsia="宋体"/>
                      <w:color w:val="auto"/>
                      <w:sz w:val="21"/>
                      <w:szCs w:val="18"/>
                    </w:rPr>
                  </w:pPr>
                </w:p>
              </w:tc>
              <w:tc>
                <w:tcPr>
                  <w:tcW w:w="465" w:type="dxa"/>
                  <w:noWrap w:val="0"/>
                  <w:vAlign w:val="center"/>
                </w:tcPr>
                <w:p w14:paraId="67B0AF47">
                  <w:pPr>
                    <w:adjustRightInd w:val="0"/>
                    <w:snapToGrid w:val="0"/>
                    <w:jc w:val="center"/>
                    <w:rPr>
                      <w:rFonts w:hint="default" w:ascii="Times New Roman" w:hAnsi="Times New Roman" w:eastAsia="宋体"/>
                      <w:color w:val="auto"/>
                      <w:sz w:val="21"/>
                      <w:szCs w:val="18"/>
                      <w:lang w:val="en-US" w:eastAsia="zh-CN"/>
                    </w:rPr>
                  </w:pPr>
                  <w:r>
                    <w:rPr>
                      <w:rFonts w:hint="eastAsia" w:ascii="Times New Roman" w:hAnsi="Times New Roman" w:eastAsia="宋体"/>
                      <w:color w:val="auto"/>
                      <w:sz w:val="21"/>
                      <w:szCs w:val="18"/>
                      <w:lang w:val="en-US" w:eastAsia="zh-CN"/>
                    </w:rPr>
                    <w:t>固</w:t>
                  </w:r>
                </w:p>
              </w:tc>
              <w:tc>
                <w:tcPr>
                  <w:tcW w:w="1335" w:type="dxa"/>
                  <w:noWrap w:val="0"/>
                  <w:vAlign w:val="center"/>
                </w:tcPr>
                <w:p w14:paraId="1929E89E">
                  <w:pPr>
                    <w:adjustRightInd w:val="0"/>
                    <w:snapToGrid w:val="0"/>
                    <w:jc w:val="center"/>
                    <w:rPr>
                      <w:rFonts w:hint="default" w:ascii="Times New Roman" w:hAnsi="Times New Roman" w:eastAsia="宋体"/>
                      <w:color w:val="auto"/>
                      <w:kern w:val="2"/>
                      <w:sz w:val="21"/>
                      <w:szCs w:val="18"/>
                      <w:lang w:val="en-US" w:eastAsia="zh-CN" w:bidi="ar-SA"/>
                    </w:rPr>
                  </w:pPr>
                  <w:r>
                    <w:rPr>
                      <w:rFonts w:hint="eastAsia"/>
                      <w:color w:val="auto"/>
                      <w:sz w:val="21"/>
                      <w:szCs w:val="18"/>
                      <w:lang w:val="en-US" w:eastAsia="zh-CN"/>
                    </w:rPr>
                    <w:t>润滑油</w:t>
                  </w:r>
                </w:p>
              </w:tc>
              <w:tc>
                <w:tcPr>
                  <w:tcW w:w="915" w:type="dxa"/>
                  <w:noWrap w:val="0"/>
                  <w:vAlign w:val="center"/>
                </w:tcPr>
                <w:p w14:paraId="5D5B760C">
                  <w:pPr>
                    <w:adjustRightInd w:val="0"/>
                    <w:snapToGrid w:val="0"/>
                    <w:jc w:val="center"/>
                    <w:rPr>
                      <w:rFonts w:hint="eastAsia" w:ascii="Times New Roman" w:hAnsi="Times New Roman" w:eastAsia="宋体"/>
                      <w:color w:val="auto"/>
                      <w:spacing w:val="-11"/>
                      <w:kern w:val="2"/>
                      <w:sz w:val="21"/>
                      <w:szCs w:val="18"/>
                      <w:lang w:val="en-US" w:eastAsia="zh-CN" w:bidi="ar-SA"/>
                    </w:rPr>
                  </w:pPr>
                  <w:r>
                    <w:rPr>
                      <w:rFonts w:hint="eastAsia" w:ascii="Times New Roman" w:hAnsi="Times New Roman" w:eastAsia="宋体"/>
                      <w:color w:val="auto"/>
                      <w:spacing w:val="-11"/>
                      <w:sz w:val="21"/>
                      <w:szCs w:val="18"/>
                    </w:rPr>
                    <w:t>HW49</w:t>
                  </w:r>
                </w:p>
              </w:tc>
              <w:tc>
                <w:tcPr>
                  <w:tcW w:w="1425" w:type="dxa"/>
                  <w:noWrap w:val="0"/>
                  <w:vAlign w:val="center"/>
                </w:tcPr>
                <w:p w14:paraId="3AB66A84">
                  <w:pPr>
                    <w:adjustRightInd w:val="0"/>
                    <w:snapToGrid w:val="0"/>
                    <w:jc w:val="center"/>
                    <w:rPr>
                      <w:rFonts w:hint="eastAsia" w:ascii="Times New Roman" w:hAnsi="Times New Roman" w:eastAsia="宋体"/>
                      <w:color w:val="auto"/>
                      <w:spacing w:val="-11"/>
                      <w:kern w:val="2"/>
                      <w:sz w:val="21"/>
                      <w:szCs w:val="18"/>
                      <w:lang w:val="en-US" w:eastAsia="zh-CN" w:bidi="ar-SA"/>
                    </w:rPr>
                  </w:pPr>
                  <w:r>
                    <w:rPr>
                      <w:rFonts w:hint="eastAsia" w:ascii="Times New Roman" w:hAnsi="Times New Roman" w:eastAsia="宋体" w:cs="Times New Roman"/>
                      <w:color w:val="auto"/>
                      <w:sz w:val="21"/>
                      <w:szCs w:val="18"/>
                      <w:lang w:val="en-US" w:eastAsia="zh-CN"/>
                    </w:rPr>
                    <w:t>900-041-49</w:t>
                  </w:r>
                </w:p>
              </w:tc>
              <w:tc>
                <w:tcPr>
                  <w:tcW w:w="705" w:type="dxa"/>
                  <w:noWrap w:val="0"/>
                  <w:vAlign w:val="center"/>
                </w:tcPr>
                <w:p w14:paraId="6DDBCD12">
                  <w:pPr>
                    <w:adjustRightInd w:val="0"/>
                    <w:snapToGrid w:val="0"/>
                    <w:jc w:val="center"/>
                    <w:rPr>
                      <w:rFonts w:hint="default" w:ascii="Times New Roman" w:hAnsi="Times New Roman" w:eastAsia="宋体"/>
                      <w:color w:val="auto"/>
                      <w:kern w:val="2"/>
                      <w:sz w:val="21"/>
                      <w:szCs w:val="18"/>
                      <w:lang w:val="en-US" w:eastAsia="zh-CN" w:bidi="ar-SA"/>
                    </w:rPr>
                  </w:pPr>
                  <w:r>
                    <w:rPr>
                      <w:rFonts w:hint="eastAsia" w:ascii="Times New Roman" w:hAnsi="Times New Roman" w:eastAsia="宋体" w:cs="Times New Roman"/>
                      <w:color w:val="auto"/>
                      <w:sz w:val="21"/>
                      <w:szCs w:val="18"/>
                      <w:lang w:val="en-US" w:eastAsia="zh-CN"/>
                    </w:rPr>
                    <w:t>T</w:t>
                  </w:r>
                  <w:r>
                    <w:rPr>
                      <w:rFonts w:hint="eastAsia" w:ascii="Times New Roman" w:hAnsi="Times New Roman" w:eastAsia="宋体"/>
                      <w:color w:val="auto"/>
                      <w:sz w:val="21"/>
                      <w:szCs w:val="18"/>
                    </w:rPr>
                    <w:t>/</w:t>
                  </w:r>
                  <w:r>
                    <w:rPr>
                      <w:rFonts w:hint="eastAsia" w:ascii="Times New Roman" w:hAnsi="Times New Roman" w:eastAsia="宋体"/>
                      <w:color w:val="auto"/>
                      <w:sz w:val="21"/>
                      <w:szCs w:val="18"/>
                      <w:lang w:val="en-US" w:eastAsia="zh-CN"/>
                    </w:rPr>
                    <w:t>In</w:t>
                  </w:r>
                </w:p>
              </w:tc>
              <w:tc>
                <w:tcPr>
                  <w:tcW w:w="945" w:type="dxa"/>
                  <w:noWrap w:val="0"/>
                  <w:vAlign w:val="center"/>
                </w:tcPr>
                <w:p w14:paraId="66AC6C37">
                  <w:pPr>
                    <w:adjustRightInd w:val="0"/>
                    <w:snapToGrid w:val="0"/>
                    <w:jc w:val="center"/>
                    <w:rPr>
                      <w:rFonts w:hint="default" w:ascii="Times New Roman" w:hAnsi="Times New Roman" w:eastAsia="宋体" w:cs="Times New Roman"/>
                      <w:color w:val="auto"/>
                      <w:sz w:val="21"/>
                      <w:szCs w:val="18"/>
                      <w:lang w:val="en-US" w:eastAsia="zh-CN"/>
                    </w:rPr>
                  </w:pPr>
                  <w:r>
                    <w:rPr>
                      <w:rFonts w:hint="eastAsia" w:cs="Times New Roman"/>
                      <w:color w:val="auto"/>
                      <w:sz w:val="21"/>
                      <w:szCs w:val="18"/>
                      <w:lang w:val="en-US" w:eastAsia="zh-CN"/>
                    </w:rPr>
                    <w:t>0.1</w:t>
                  </w:r>
                </w:p>
              </w:tc>
              <w:tc>
                <w:tcPr>
                  <w:tcW w:w="915" w:type="dxa"/>
                  <w:noWrap w:val="0"/>
                  <w:vAlign w:val="center"/>
                </w:tcPr>
                <w:p w14:paraId="519EB24D">
                  <w:pPr>
                    <w:adjustRightInd w:val="0"/>
                    <w:snapToGrid w:val="0"/>
                    <w:jc w:val="center"/>
                    <w:rPr>
                      <w:rFonts w:hint="default" w:ascii="Times New Roman" w:hAnsi="Times New Roman" w:eastAsia="宋体" w:cs="Times New Roman"/>
                      <w:color w:val="auto"/>
                      <w:sz w:val="21"/>
                      <w:szCs w:val="18"/>
                      <w:lang w:val="en-US" w:eastAsia="zh-CN"/>
                    </w:rPr>
                  </w:pPr>
                  <w:r>
                    <w:rPr>
                      <w:rFonts w:hint="eastAsia" w:ascii="Times New Roman" w:hAnsi="Times New Roman" w:eastAsia="宋体" w:cs="Times New Roman"/>
                      <w:color w:val="auto"/>
                      <w:sz w:val="21"/>
                      <w:szCs w:val="18"/>
                      <w:lang w:val="en-US" w:eastAsia="zh-CN"/>
                    </w:rPr>
                    <w:t>0</w:t>
                  </w:r>
                </w:p>
              </w:tc>
              <w:tc>
                <w:tcPr>
                  <w:tcW w:w="900" w:type="dxa"/>
                  <w:noWrap w:val="0"/>
                  <w:vAlign w:val="center"/>
                </w:tcPr>
                <w:p w14:paraId="7EB7DC5D">
                  <w:pPr>
                    <w:adjustRightInd w:val="0"/>
                    <w:snapToGrid w:val="0"/>
                    <w:jc w:val="center"/>
                    <w:rPr>
                      <w:rFonts w:hint="default" w:ascii="Times New Roman" w:hAnsi="Times New Roman" w:eastAsia="宋体"/>
                      <w:color w:val="auto"/>
                      <w:sz w:val="21"/>
                      <w:szCs w:val="18"/>
                      <w:lang w:val="en-US" w:eastAsia="zh-CN"/>
                    </w:rPr>
                  </w:pPr>
                  <w:r>
                    <w:rPr>
                      <w:rFonts w:hint="eastAsia" w:cs="Times New Roman"/>
                      <w:color w:val="auto"/>
                      <w:sz w:val="21"/>
                      <w:szCs w:val="18"/>
                      <w:lang w:val="en-US" w:eastAsia="zh-CN"/>
                    </w:rPr>
                    <w:t>0.1</w:t>
                  </w:r>
                </w:p>
              </w:tc>
              <w:tc>
                <w:tcPr>
                  <w:tcW w:w="1125" w:type="dxa"/>
                  <w:noWrap w:val="0"/>
                  <w:vAlign w:val="center"/>
                </w:tcPr>
                <w:p w14:paraId="47EB4B14">
                  <w:pPr>
                    <w:adjustRightInd w:val="0"/>
                    <w:snapToGrid w:val="0"/>
                    <w:jc w:val="center"/>
                    <w:rPr>
                      <w:rFonts w:hint="default" w:ascii="Times New Roman" w:hAnsi="Times New Roman" w:eastAsia="宋体"/>
                      <w:color w:val="auto"/>
                      <w:sz w:val="21"/>
                      <w:szCs w:val="18"/>
                      <w:lang w:val="en-US" w:eastAsia="zh-CN"/>
                    </w:rPr>
                  </w:pPr>
                  <w:r>
                    <w:rPr>
                      <w:rFonts w:hint="eastAsia" w:ascii="Times New Roman" w:hAnsi="Times New Roman" w:eastAsia="宋体"/>
                      <w:color w:val="auto"/>
                      <w:sz w:val="21"/>
                      <w:szCs w:val="18"/>
                      <w:lang w:val="en-US" w:eastAsia="zh-CN"/>
                    </w:rPr>
                    <w:t>袋装</w:t>
                  </w:r>
                </w:p>
              </w:tc>
              <w:tc>
                <w:tcPr>
                  <w:tcW w:w="1653" w:type="dxa"/>
                  <w:vMerge w:val="continue"/>
                  <w:noWrap w:val="0"/>
                  <w:vAlign w:val="center"/>
                </w:tcPr>
                <w:p w14:paraId="548A2523">
                  <w:pPr>
                    <w:adjustRightInd w:val="0"/>
                    <w:snapToGrid w:val="0"/>
                    <w:jc w:val="center"/>
                    <w:rPr>
                      <w:rFonts w:hint="default" w:ascii="Times New Roman" w:hAnsi="Times New Roman" w:eastAsia="宋体"/>
                      <w:color w:val="auto"/>
                      <w:sz w:val="21"/>
                      <w:szCs w:val="18"/>
                      <w:lang w:val="en-US" w:eastAsia="zh-CN"/>
                    </w:rPr>
                  </w:pPr>
                </w:p>
              </w:tc>
            </w:tr>
            <w:tr w14:paraId="43BC29EE">
              <w:trPr>
                <w:trHeight w:val="639" w:hRule="exact"/>
                <w:jc w:val="center"/>
              </w:trPr>
              <w:tc>
                <w:tcPr>
                  <w:tcW w:w="426" w:type="dxa"/>
                  <w:noWrap w:val="0"/>
                  <w:vAlign w:val="center"/>
                </w:tcPr>
                <w:p w14:paraId="0965E7EE">
                  <w:pPr>
                    <w:numPr>
                      <w:ilvl w:val="0"/>
                      <w:numId w:val="26"/>
                    </w:numPr>
                    <w:adjustRightInd w:val="0"/>
                    <w:snapToGrid w:val="0"/>
                    <w:ind w:left="0" w:leftChars="0" w:firstLine="0" w:firstLineChars="0"/>
                    <w:jc w:val="center"/>
                    <w:rPr>
                      <w:rFonts w:hint="default" w:ascii="Times New Roman" w:hAnsi="Times New Roman" w:eastAsia="宋体"/>
                      <w:color w:val="auto"/>
                      <w:kern w:val="2"/>
                      <w:sz w:val="21"/>
                      <w:szCs w:val="18"/>
                      <w:lang w:val="en-US" w:eastAsia="zh-CN" w:bidi="ar-SA"/>
                    </w:rPr>
                  </w:pPr>
                </w:p>
              </w:tc>
              <w:tc>
                <w:tcPr>
                  <w:tcW w:w="1504" w:type="dxa"/>
                  <w:noWrap w:val="0"/>
                  <w:vAlign w:val="center"/>
                </w:tcPr>
                <w:p w14:paraId="179BE156">
                  <w:pPr>
                    <w:pStyle w:val="17"/>
                    <w:spacing w:line="240" w:lineRule="auto"/>
                    <w:ind w:left="0" w:leftChars="0" w:firstLine="0" w:firstLineChars="0"/>
                    <w:jc w:val="center"/>
                    <w:rPr>
                      <w:rFonts w:hint="default"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化学品包装材料</w:t>
                  </w:r>
                </w:p>
              </w:tc>
              <w:tc>
                <w:tcPr>
                  <w:tcW w:w="1620" w:type="dxa"/>
                  <w:noWrap w:val="0"/>
                  <w:vAlign w:val="center"/>
                </w:tcPr>
                <w:p w14:paraId="7A3E59F6">
                  <w:pPr>
                    <w:adjustRightInd w:val="0"/>
                    <w:snapToGrid w:val="0"/>
                    <w:jc w:val="center"/>
                    <w:rPr>
                      <w:rFonts w:hint="default" w:ascii="Times New Roman" w:hAnsi="Times New Roman" w:eastAsia="宋体"/>
                      <w:color w:val="auto"/>
                      <w:sz w:val="21"/>
                      <w:szCs w:val="18"/>
                      <w:lang w:val="en-US" w:eastAsia="zh-CN"/>
                    </w:rPr>
                  </w:pPr>
                  <w:r>
                    <w:rPr>
                      <w:rFonts w:hint="eastAsia"/>
                      <w:color w:val="auto"/>
                      <w:sz w:val="21"/>
                      <w:szCs w:val="18"/>
                      <w:lang w:val="en-US" w:eastAsia="zh-CN"/>
                    </w:rPr>
                    <w:t>化学品包装</w:t>
                  </w:r>
                </w:p>
              </w:tc>
              <w:tc>
                <w:tcPr>
                  <w:tcW w:w="690" w:type="dxa"/>
                  <w:vMerge w:val="continue"/>
                  <w:noWrap w:val="0"/>
                  <w:vAlign w:val="center"/>
                </w:tcPr>
                <w:p w14:paraId="7ABA2DCE">
                  <w:pPr>
                    <w:adjustRightInd w:val="0"/>
                    <w:snapToGrid w:val="0"/>
                    <w:jc w:val="center"/>
                    <w:rPr>
                      <w:rFonts w:ascii="Times New Roman" w:hAnsi="Times New Roman" w:eastAsia="宋体"/>
                      <w:color w:val="auto"/>
                      <w:sz w:val="21"/>
                      <w:szCs w:val="18"/>
                    </w:rPr>
                  </w:pPr>
                </w:p>
              </w:tc>
              <w:tc>
                <w:tcPr>
                  <w:tcW w:w="465" w:type="dxa"/>
                  <w:noWrap w:val="0"/>
                  <w:vAlign w:val="center"/>
                </w:tcPr>
                <w:p w14:paraId="64BA6749">
                  <w:pPr>
                    <w:adjustRightInd w:val="0"/>
                    <w:snapToGrid w:val="0"/>
                    <w:jc w:val="center"/>
                    <w:rPr>
                      <w:rFonts w:hint="default" w:ascii="Times New Roman" w:hAnsi="Times New Roman" w:eastAsia="宋体"/>
                      <w:color w:val="auto"/>
                      <w:sz w:val="21"/>
                      <w:szCs w:val="18"/>
                      <w:lang w:val="en-US" w:eastAsia="zh-CN"/>
                    </w:rPr>
                  </w:pPr>
                  <w:r>
                    <w:rPr>
                      <w:rFonts w:hint="eastAsia"/>
                      <w:color w:val="auto"/>
                      <w:sz w:val="21"/>
                      <w:szCs w:val="18"/>
                      <w:lang w:val="en-US" w:eastAsia="zh-CN"/>
                    </w:rPr>
                    <w:t>固</w:t>
                  </w:r>
                </w:p>
              </w:tc>
              <w:tc>
                <w:tcPr>
                  <w:tcW w:w="1335" w:type="dxa"/>
                  <w:noWrap w:val="0"/>
                  <w:vAlign w:val="center"/>
                </w:tcPr>
                <w:p w14:paraId="53A3DA8E">
                  <w:pPr>
                    <w:adjustRightInd w:val="0"/>
                    <w:snapToGrid w:val="0"/>
                    <w:jc w:val="center"/>
                    <w:rPr>
                      <w:rFonts w:hint="default" w:ascii="Times New Roman" w:hAnsi="Times New Roman" w:eastAsia="宋体"/>
                      <w:color w:val="auto"/>
                      <w:sz w:val="21"/>
                      <w:szCs w:val="18"/>
                      <w:lang w:val="en-US" w:eastAsia="zh-CN"/>
                    </w:rPr>
                  </w:pPr>
                  <w:r>
                    <w:rPr>
                      <w:rFonts w:hint="eastAsia"/>
                      <w:color w:val="auto"/>
                      <w:sz w:val="21"/>
                      <w:szCs w:val="18"/>
                      <w:lang w:val="en-US" w:eastAsia="zh-CN"/>
                    </w:rPr>
                    <w:t>化学品</w:t>
                  </w:r>
                </w:p>
              </w:tc>
              <w:tc>
                <w:tcPr>
                  <w:tcW w:w="915" w:type="dxa"/>
                  <w:noWrap w:val="0"/>
                  <w:vAlign w:val="center"/>
                </w:tcPr>
                <w:p w14:paraId="4FFFE9C8">
                  <w:pPr>
                    <w:pStyle w:val="36"/>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olor w:val="auto"/>
                      <w:spacing w:val="-11"/>
                      <w:sz w:val="21"/>
                      <w:szCs w:val="18"/>
                      <w:lang w:val="en-US" w:eastAsia="zh-CN"/>
                    </w:rPr>
                  </w:pPr>
                  <w:r>
                    <w:rPr>
                      <w:rFonts w:hint="eastAsia" w:ascii="Times New Roman" w:hAnsi="Times New Roman"/>
                      <w:color w:val="auto"/>
                      <w:sz w:val="21"/>
                    </w:rPr>
                    <w:t>HW49</w:t>
                  </w:r>
                </w:p>
              </w:tc>
              <w:tc>
                <w:tcPr>
                  <w:tcW w:w="1425" w:type="dxa"/>
                  <w:noWrap w:val="0"/>
                  <w:vAlign w:val="center"/>
                </w:tcPr>
                <w:p w14:paraId="1013BC84">
                  <w:pPr>
                    <w:pStyle w:val="36"/>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18"/>
                      <w:lang w:val="en-US" w:eastAsia="zh-CN"/>
                    </w:rPr>
                  </w:pPr>
                  <w:r>
                    <w:rPr>
                      <w:rFonts w:hint="eastAsia" w:ascii="Times New Roman" w:hAnsi="Times New Roman"/>
                      <w:color w:val="auto"/>
                      <w:sz w:val="21"/>
                    </w:rPr>
                    <w:t>900-041-49</w:t>
                  </w:r>
                </w:p>
              </w:tc>
              <w:tc>
                <w:tcPr>
                  <w:tcW w:w="705" w:type="dxa"/>
                  <w:noWrap w:val="0"/>
                  <w:vAlign w:val="center"/>
                </w:tcPr>
                <w:p w14:paraId="483B54A9">
                  <w:pPr>
                    <w:pStyle w:val="36"/>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18"/>
                      <w:lang w:val="en-US" w:eastAsia="zh-CN"/>
                    </w:rPr>
                  </w:pPr>
                  <w:r>
                    <w:rPr>
                      <w:rFonts w:hint="eastAsia" w:ascii="Times New Roman" w:hAnsi="Times New Roman"/>
                      <w:color w:val="auto"/>
                      <w:sz w:val="21"/>
                      <w:lang w:val="en-US" w:eastAsia="zh-CN"/>
                    </w:rPr>
                    <w:t>T/In</w:t>
                  </w:r>
                </w:p>
              </w:tc>
              <w:tc>
                <w:tcPr>
                  <w:tcW w:w="945" w:type="dxa"/>
                  <w:noWrap w:val="0"/>
                  <w:vAlign w:val="center"/>
                </w:tcPr>
                <w:p w14:paraId="2F5EB950">
                  <w:pPr>
                    <w:adjustRightInd w:val="0"/>
                    <w:snapToGrid w:val="0"/>
                    <w:jc w:val="center"/>
                    <w:rPr>
                      <w:rFonts w:hint="default" w:ascii="Times New Roman" w:hAnsi="Times New Roman" w:eastAsia="宋体" w:cs="Times New Roman"/>
                      <w:color w:val="auto"/>
                      <w:sz w:val="21"/>
                      <w:szCs w:val="18"/>
                      <w:lang w:val="en-US" w:eastAsia="zh-CN"/>
                    </w:rPr>
                  </w:pPr>
                  <w:r>
                    <w:rPr>
                      <w:rFonts w:hint="eastAsia" w:cs="Times New Roman"/>
                      <w:color w:val="auto"/>
                      <w:sz w:val="21"/>
                      <w:szCs w:val="18"/>
                      <w:lang w:val="en-US" w:eastAsia="zh-CN"/>
                    </w:rPr>
                    <w:t>0.2</w:t>
                  </w:r>
                </w:p>
              </w:tc>
              <w:tc>
                <w:tcPr>
                  <w:tcW w:w="915" w:type="dxa"/>
                  <w:noWrap w:val="0"/>
                  <w:vAlign w:val="center"/>
                </w:tcPr>
                <w:p w14:paraId="5BFECD75">
                  <w:pPr>
                    <w:adjustRightInd w:val="0"/>
                    <w:snapToGrid w:val="0"/>
                    <w:jc w:val="center"/>
                    <w:rPr>
                      <w:rFonts w:hint="default" w:ascii="Times New Roman" w:hAnsi="Times New Roman" w:eastAsia="宋体" w:cs="Times New Roman"/>
                      <w:color w:val="auto"/>
                      <w:sz w:val="21"/>
                      <w:szCs w:val="18"/>
                      <w:lang w:val="en-US" w:eastAsia="zh-CN"/>
                    </w:rPr>
                  </w:pPr>
                  <w:r>
                    <w:rPr>
                      <w:rFonts w:hint="eastAsia" w:cs="Times New Roman"/>
                      <w:color w:val="auto"/>
                      <w:sz w:val="21"/>
                      <w:szCs w:val="18"/>
                      <w:lang w:val="en-US" w:eastAsia="zh-CN"/>
                    </w:rPr>
                    <w:t>0</w:t>
                  </w:r>
                </w:p>
              </w:tc>
              <w:tc>
                <w:tcPr>
                  <w:tcW w:w="900" w:type="dxa"/>
                  <w:noWrap w:val="0"/>
                  <w:vAlign w:val="center"/>
                </w:tcPr>
                <w:p w14:paraId="07C68FEC">
                  <w:pPr>
                    <w:adjustRightInd w:val="0"/>
                    <w:snapToGrid w:val="0"/>
                    <w:jc w:val="center"/>
                    <w:rPr>
                      <w:rFonts w:hint="default" w:ascii="Times New Roman" w:hAnsi="Times New Roman" w:eastAsia="宋体"/>
                      <w:color w:val="auto"/>
                      <w:sz w:val="21"/>
                      <w:szCs w:val="18"/>
                      <w:lang w:val="en-US" w:eastAsia="zh-CN"/>
                    </w:rPr>
                  </w:pPr>
                  <w:r>
                    <w:rPr>
                      <w:rFonts w:hint="eastAsia" w:cs="Times New Roman"/>
                      <w:color w:val="auto"/>
                      <w:sz w:val="21"/>
                      <w:szCs w:val="18"/>
                      <w:lang w:val="en-US" w:eastAsia="zh-CN"/>
                    </w:rPr>
                    <w:t>0.2</w:t>
                  </w:r>
                </w:p>
              </w:tc>
              <w:tc>
                <w:tcPr>
                  <w:tcW w:w="1125" w:type="dxa"/>
                  <w:noWrap w:val="0"/>
                  <w:vAlign w:val="center"/>
                </w:tcPr>
                <w:p w14:paraId="7BECC101">
                  <w:pPr>
                    <w:adjustRightInd w:val="0"/>
                    <w:snapToGrid w:val="0"/>
                    <w:jc w:val="center"/>
                    <w:rPr>
                      <w:rFonts w:hint="default" w:ascii="Times New Roman" w:hAnsi="Times New Roman" w:eastAsia="宋体"/>
                      <w:color w:val="auto"/>
                      <w:sz w:val="21"/>
                      <w:szCs w:val="18"/>
                      <w:lang w:val="en-US" w:eastAsia="zh-CN"/>
                    </w:rPr>
                  </w:pPr>
                  <w:r>
                    <w:rPr>
                      <w:rFonts w:hint="eastAsia"/>
                      <w:color w:val="auto"/>
                      <w:sz w:val="21"/>
                      <w:szCs w:val="18"/>
                      <w:lang w:val="en-US" w:eastAsia="zh-CN"/>
                    </w:rPr>
                    <w:t>桶装</w:t>
                  </w:r>
                </w:p>
              </w:tc>
              <w:tc>
                <w:tcPr>
                  <w:tcW w:w="1653" w:type="dxa"/>
                  <w:vMerge w:val="continue"/>
                  <w:noWrap w:val="0"/>
                  <w:vAlign w:val="center"/>
                </w:tcPr>
                <w:p w14:paraId="79173423">
                  <w:pPr>
                    <w:adjustRightInd w:val="0"/>
                    <w:snapToGrid w:val="0"/>
                    <w:jc w:val="center"/>
                    <w:rPr>
                      <w:rFonts w:hint="default" w:ascii="Times New Roman" w:hAnsi="Times New Roman" w:eastAsia="宋体"/>
                      <w:color w:val="auto"/>
                      <w:sz w:val="21"/>
                      <w:szCs w:val="18"/>
                      <w:lang w:val="en-US" w:eastAsia="zh-CN"/>
                    </w:rPr>
                  </w:pPr>
                </w:p>
              </w:tc>
            </w:tr>
            <w:tr w14:paraId="03A0496F">
              <w:trPr>
                <w:trHeight w:val="729" w:hRule="exact"/>
                <w:jc w:val="center"/>
              </w:trPr>
              <w:tc>
                <w:tcPr>
                  <w:tcW w:w="426" w:type="dxa"/>
                  <w:noWrap w:val="0"/>
                  <w:vAlign w:val="center"/>
                </w:tcPr>
                <w:p w14:paraId="12FA4B2E">
                  <w:pPr>
                    <w:numPr>
                      <w:ilvl w:val="0"/>
                      <w:numId w:val="26"/>
                    </w:numPr>
                    <w:adjustRightInd w:val="0"/>
                    <w:snapToGrid w:val="0"/>
                    <w:ind w:left="0" w:leftChars="0" w:firstLine="0" w:firstLineChars="0"/>
                    <w:jc w:val="center"/>
                    <w:rPr>
                      <w:rFonts w:hint="default" w:ascii="Times New Roman" w:hAnsi="Times New Roman" w:eastAsia="宋体"/>
                      <w:color w:val="auto"/>
                      <w:kern w:val="2"/>
                      <w:sz w:val="21"/>
                      <w:szCs w:val="18"/>
                      <w:lang w:val="en-US" w:eastAsia="zh-CN" w:bidi="ar-SA"/>
                    </w:rPr>
                  </w:pPr>
                </w:p>
              </w:tc>
              <w:tc>
                <w:tcPr>
                  <w:tcW w:w="1504" w:type="dxa"/>
                  <w:noWrap w:val="0"/>
                  <w:vAlign w:val="center"/>
                </w:tcPr>
                <w:p w14:paraId="6BD950C7">
                  <w:pPr>
                    <w:pStyle w:val="17"/>
                    <w:spacing w:line="240" w:lineRule="auto"/>
                    <w:ind w:left="0" w:leftChars="0" w:firstLine="0" w:firstLineChars="0"/>
                    <w:jc w:val="center"/>
                    <w:rPr>
                      <w:rFonts w:ascii="Times New Roman" w:hAnsi="Times New Roman" w:eastAsia="宋体" w:cs="Times New Roman"/>
                      <w:b w:val="0"/>
                      <w:color w:val="auto"/>
                      <w:sz w:val="21"/>
                      <w:szCs w:val="18"/>
                    </w:rPr>
                  </w:pPr>
                  <w:r>
                    <w:rPr>
                      <w:rFonts w:hint="eastAsia" w:ascii="Times New Roman" w:hAnsi="Times New Roman" w:eastAsia="宋体" w:cs="Times New Roman"/>
                      <w:b w:val="0"/>
                      <w:color w:val="auto"/>
                      <w:sz w:val="21"/>
                      <w:szCs w:val="18"/>
                    </w:rPr>
                    <w:t>生活垃圾</w:t>
                  </w:r>
                </w:p>
              </w:tc>
              <w:tc>
                <w:tcPr>
                  <w:tcW w:w="1620" w:type="dxa"/>
                  <w:noWrap w:val="0"/>
                  <w:vAlign w:val="center"/>
                </w:tcPr>
                <w:p w14:paraId="1D32CCC6">
                  <w:pPr>
                    <w:adjustRightInd w:val="0"/>
                    <w:snapToGrid w:val="0"/>
                    <w:jc w:val="center"/>
                    <w:rPr>
                      <w:rFonts w:ascii="Times New Roman" w:hAnsi="Times New Roman" w:eastAsia="宋体"/>
                      <w:color w:val="auto"/>
                      <w:sz w:val="21"/>
                      <w:szCs w:val="18"/>
                    </w:rPr>
                  </w:pPr>
                  <w:r>
                    <w:rPr>
                      <w:rFonts w:hint="eastAsia" w:ascii="Times New Roman" w:hAnsi="Times New Roman" w:eastAsia="宋体"/>
                      <w:color w:val="auto"/>
                      <w:sz w:val="21"/>
                      <w:szCs w:val="18"/>
                    </w:rPr>
                    <w:t>员工工作、生活</w:t>
                  </w:r>
                </w:p>
              </w:tc>
              <w:tc>
                <w:tcPr>
                  <w:tcW w:w="690" w:type="dxa"/>
                  <w:noWrap w:val="0"/>
                  <w:vAlign w:val="center"/>
                </w:tcPr>
                <w:p w14:paraId="73614058">
                  <w:pPr>
                    <w:adjustRightInd w:val="0"/>
                    <w:snapToGrid w:val="0"/>
                    <w:jc w:val="center"/>
                    <w:rPr>
                      <w:rFonts w:ascii="Times New Roman" w:hAnsi="Times New Roman" w:eastAsia="宋体"/>
                      <w:color w:val="auto"/>
                      <w:sz w:val="21"/>
                      <w:szCs w:val="18"/>
                    </w:rPr>
                  </w:pPr>
                  <w:r>
                    <w:rPr>
                      <w:rFonts w:hint="eastAsia" w:ascii="Times New Roman" w:hAnsi="Times New Roman" w:eastAsia="宋体"/>
                      <w:color w:val="auto"/>
                      <w:sz w:val="21"/>
                      <w:szCs w:val="18"/>
                    </w:rPr>
                    <w:t>生活固废</w:t>
                  </w:r>
                </w:p>
              </w:tc>
              <w:tc>
                <w:tcPr>
                  <w:tcW w:w="465" w:type="dxa"/>
                  <w:noWrap w:val="0"/>
                  <w:vAlign w:val="center"/>
                </w:tcPr>
                <w:p w14:paraId="1D569697">
                  <w:pPr>
                    <w:adjustRightInd w:val="0"/>
                    <w:snapToGrid w:val="0"/>
                    <w:jc w:val="center"/>
                    <w:rPr>
                      <w:rFonts w:ascii="Times New Roman" w:hAnsi="Times New Roman" w:eastAsia="宋体"/>
                      <w:color w:val="auto"/>
                      <w:sz w:val="21"/>
                      <w:szCs w:val="18"/>
                    </w:rPr>
                  </w:pPr>
                  <w:r>
                    <w:rPr>
                      <w:rFonts w:hint="eastAsia" w:ascii="Times New Roman" w:hAnsi="Times New Roman" w:eastAsia="宋体"/>
                      <w:color w:val="auto"/>
                      <w:sz w:val="21"/>
                      <w:szCs w:val="18"/>
                    </w:rPr>
                    <w:t>固</w:t>
                  </w:r>
                </w:p>
              </w:tc>
              <w:tc>
                <w:tcPr>
                  <w:tcW w:w="1335" w:type="dxa"/>
                  <w:noWrap w:val="0"/>
                  <w:vAlign w:val="center"/>
                </w:tcPr>
                <w:p w14:paraId="2E1C3171">
                  <w:pPr>
                    <w:adjustRightInd w:val="0"/>
                    <w:snapToGrid w:val="0"/>
                    <w:jc w:val="center"/>
                    <w:rPr>
                      <w:rFonts w:ascii="Times New Roman" w:hAnsi="Times New Roman" w:eastAsia="宋体"/>
                      <w:color w:val="auto"/>
                      <w:sz w:val="21"/>
                      <w:szCs w:val="18"/>
                    </w:rPr>
                  </w:pPr>
                  <w:r>
                    <w:rPr>
                      <w:rFonts w:hint="eastAsia" w:ascii="Times New Roman" w:hAnsi="Times New Roman" w:eastAsia="宋体"/>
                      <w:color w:val="auto"/>
                      <w:sz w:val="21"/>
                      <w:szCs w:val="18"/>
                    </w:rPr>
                    <w:t>/</w:t>
                  </w:r>
                </w:p>
              </w:tc>
              <w:tc>
                <w:tcPr>
                  <w:tcW w:w="915" w:type="dxa"/>
                  <w:noWrap w:val="0"/>
                  <w:vAlign w:val="center"/>
                </w:tcPr>
                <w:p w14:paraId="31BB3301">
                  <w:pPr>
                    <w:adjustRightInd w:val="0"/>
                    <w:snapToGrid w:val="0"/>
                    <w:jc w:val="center"/>
                    <w:rPr>
                      <w:rFonts w:ascii="Times New Roman" w:hAnsi="Times New Roman" w:eastAsia="宋体"/>
                      <w:color w:val="auto"/>
                      <w:spacing w:val="-11"/>
                      <w:sz w:val="21"/>
                      <w:szCs w:val="18"/>
                    </w:rPr>
                  </w:pPr>
                  <w:r>
                    <w:rPr>
                      <w:rFonts w:hint="eastAsia" w:ascii="Times New Roman" w:hAnsi="Times New Roman" w:eastAsia="宋体"/>
                      <w:color w:val="auto"/>
                      <w:spacing w:val="-11"/>
                      <w:sz w:val="21"/>
                      <w:szCs w:val="18"/>
                    </w:rPr>
                    <w:t>/</w:t>
                  </w:r>
                </w:p>
              </w:tc>
              <w:tc>
                <w:tcPr>
                  <w:tcW w:w="1425" w:type="dxa"/>
                  <w:noWrap w:val="0"/>
                  <w:vAlign w:val="center"/>
                </w:tcPr>
                <w:p w14:paraId="66E2F55C">
                  <w:pPr>
                    <w:adjustRightInd w:val="0"/>
                    <w:snapToGrid w:val="0"/>
                    <w:jc w:val="center"/>
                    <w:rPr>
                      <w:rFonts w:ascii="Times New Roman" w:hAnsi="Times New Roman" w:eastAsia="宋体"/>
                      <w:color w:val="auto"/>
                      <w:spacing w:val="-11"/>
                      <w:sz w:val="21"/>
                      <w:szCs w:val="18"/>
                    </w:rPr>
                  </w:pPr>
                  <w:r>
                    <w:rPr>
                      <w:rFonts w:hint="eastAsia" w:ascii="Times New Roman" w:hAnsi="Times New Roman" w:eastAsia="宋体"/>
                      <w:color w:val="auto"/>
                      <w:spacing w:val="-11"/>
                      <w:sz w:val="21"/>
                      <w:szCs w:val="18"/>
                    </w:rPr>
                    <w:t>/</w:t>
                  </w:r>
                </w:p>
              </w:tc>
              <w:tc>
                <w:tcPr>
                  <w:tcW w:w="705" w:type="dxa"/>
                  <w:noWrap w:val="0"/>
                  <w:vAlign w:val="center"/>
                </w:tcPr>
                <w:p w14:paraId="28484FE7">
                  <w:pPr>
                    <w:adjustRightInd w:val="0"/>
                    <w:snapToGrid w:val="0"/>
                    <w:jc w:val="center"/>
                    <w:rPr>
                      <w:rFonts w:ascii="Times New Roman" w:hAnsi="Times New Roman" w:eastAsia="宋体"/>
                      <w:color w:val="auto"/>
                      <w:sz w:val="21"/>
                      <w:szCs w:val="18"/>
                    </w:rPr>
                  </w:pPr>
                  <w:r>
                    <w:rPr>
                      <w:rFonts w:hint="eastAsia" w:ascii="Times New Roman" w:hAnsi="Times New Roman" w:eastAsia="宋体"/>
                      <w:color w:val="auto"/>
                      <w:sz w:val="21"/>
                      <w:szCs w:val="18"/>
                    </w:rPr>
                    <w:t>/</w:t>
                  </w:r>
                </w:p>
              </w:tc>
              <w:tc>
                <w:tcPr>
                  <w:tcW w:w="945" w:type="dxa"/>
                  <w:noWrap w:val="0"/>
                  <w:vAlign w:val="center"/>
                </w:tcPr>
                <w:p w14:paraId="5B35E405">
                  <w:pPr>
                    <w:adjustRightInd w:val="0"/>
                    <w:snapToGrid w:val="0"/>
                    <w:jc w:val="center"/>
                    <w:rPr>
                      <w:rFonts w:hint="default" w:ascii="Times New Roman" w:hAnsi="Times New Roman" w:eastAsia="宋体"/>
                      <w:color w:val="auto"/>
                      <w:sz w:val="21"/>
                      <w:szCs w:val="18"/>
                      <w:lang w:val="en-US" w:eastAsia="zh-CN"/>
                    </w:rPr>
                  </w:pPr>
                  <w:r>
                    <w:rPr>
                      <w:rFonts w:hint="eastAsia"/>
                      <w:color w:val="auto"/>
                      <w:sz w:val="21"/>
                      <w:szCs w:val="18"/>
                      <w:lang w:val="en-US" w:eastAsia="zh-CN"/>
                    </w:rPr>
                    <w:t>8.25</w:t>
                  </w:r>
                </w:p>
              </w:tc>
              <w:tc>
                <w:tcPr>
                  <w:tcW w:w="915" w:type="dxa"/>
                  <w:noWrap w:val="0"/>
                  <w:vAlign w:val="center"/>
                </w:tcPr>
                <w:p w14:paraId="7C94E72C">
                  <w:pPr>
                    <w:adjustRightInd w:val="0"/>
                    <w:snapToGrid w:val="0"/>
                    <w:jc w:val="center"/>
                    <w:rPr>
                      <w:rFonts w:ascii="Times New Roman" w:hAnsi="Times New Roman" w:eastAsia="宋体"/>
                      <w:color w:val="auto"/>
                      <w:sz w:val="21"/>
                      <w:szCs w:val="18"/>
                    </w:rPr>
                  </w:pPr>
                  <w:r>
                    <w:rPr>
                      <w:rFonts w:hint="eastAsia" w:ascii="Times New Roman" w:hAnsi="Times New Roman" w:eastAsia="宋体"/>
                      <w:color w:val="auto"/>
                      <w:sz w:val="21"/>
                      <w:szCs w:val="18"/>
                    </w:rPr>
                    <w:t>0</w:t>
                  </w:r>
                </w:p>
              </w:tc>
              <w:tc>
                <w:tcPr>
                  <w:tcW w:w="900" w:type="dxa"/>
                  <w:noWrap w:val="0"/>
                  <w:vAlign w:val="center"/>
                </w:tcPr>
                <w:p w14:paraId="57BA70A1">
                  <w:pPr>
                    <w:adjustRightInd w:val="0"/>
                    <w:snapToGrid w:val="0"/>
                    <w:jc w:val="center"/>
                    <w:rPr>
                      <w:rFonts w:hint="default" w:ascii="Times New Roman" w:hAnsi="Times New Roman" w:eastAsia="宋体"/>
                      <w:color w:val="auto"/>
                      <w:sz w:val="21"/>
                      <w:szCs w:val="18"/>
                      <w:lang w:val="en-US" w:eastAsia="zh-CN"/>
                    </w:rPr>
                  </w:pPr>
                  <w:r>
                    <w:rPr>
                      <w:rFonts w:hint="eastAsia"/>
                      <w:color w:val="auto"/>
                      <w:sz w:val="21"/>
                      <w:szCs w:val="18"/>
                      <w:lang w:val="en-US" w:eastAsia="zh-CN"/>
                    </w:rPr>
                    <w:t>8.25</w:t>
                  </w:r>
                </w:p>
              </w:tc>
              <w:tc>
                <w:tcPr>
                  <w:tcW w:w="1125" w:type="dxa"/>
                  <w:noWrap w:val="0"/>
                  <w:vAlign w:val="center"/>
                </w:tcPr>
                <w:p w14:paraId="0E464836">
                  <w:pPr>
                    <w:adjustRightInd w:val="0"/>
                    <w:snapToGrid w:val="0"/>
                    <w:jc w:val="center"/>
                    <w:rPr>
                      <w:rFonts w:ascii="Times New Roman" w:hAnsi="Times New Roman" w:eastAsia="宋体"/>
                      <w:color w:val="auto"/>
                      <w:sz w:val="21"/>
                      <w:szCs w:val="18"/>
                    </w:rPr>
                  </w:pPr>
                  <w:r>
                    <w:rPr>
                      <w:rFonts w:hint="eastAsia"/>
                      <w:color w:val="auto"/>
                      <w:lang w:val="en-US" w:eastAsia="zh-CN"/>
                    </w:rPr>
                    <w:t>垃圾</w:t>
                  </w:r>
                  <w:r>
                    <w:rPr>
                      <w:rFonts w:hint="eastAsia" w:ascii="Times New Roman" w:hAnsi="Times New Roman" w:eastAsia="宋体"/>
                      <w:color w:val="auto"/>
                      <w:sz w:val="21"/>
                      <w:szCs w:val="18"/>
                      <w:lang w:val="en-US" w:eastAsia="zh-CN"/>
                    </w:rPr>
                    <w:t>桶装</w:t>
                  </w:r>
                </w:p>
              </w:tc>
              <w:tc>
                <w:tcPr>
                  <w:tcW w:w="1653" w:type="dxa"/>
                  <w:noWrap w:val="0"/>
                  <w:vAlign w:val="center"/>
                </w:tcPr>
                <w:p w14:paraId="49BBC372">
                  <w:pPr>
                    <w:adjustRightInd w:val="0"/>
                    <w:snapToGrid w:val="0"/>
                    <w:jc w:val="center"/>
                    <w:rPr>
                      <w:rFonts w:hint="default" w:ascii="Times New Roman" w:hAnsi="Times New Roman" w:eastAsia="宋体"/>
                      <w:color w:val="auto"/>
                      <w:sz w:val="21"/>
                      <w:szCs w:val="18"/>
                      <w:lang w:val="en-US" w:eastAsia="zh-CN"/>
                    </w:rPr>
                  </w:pPr>
                  <w:r>
                    <w:rPr>
                      <w:rFonts w:hint="eastAsia" w:ascii="Times New Roman" w:hAnsi="Times New Roman" w:eastAsia="宋体"/>
                      <w:color w:val="auto"/>
                      <w:sz w:val="21"/>
                      <w:szCs w:val="18"/>
                      <w:lang w:val="en-US" w:eastAsia="zh-CN"/>
                    </w:rPr>
                    <w:t>由环卫部门统一清运</w:t>
                  </w:r>
                </w:p>
              </w:tc>
            </w:tr>
          </w:tbl>
          <w:p w14:paraId="44780E30">
            <w:pPr>
              <w:pStyle w:val="16"/>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ascii="宋体" w:hAnsi="宋体" w:cs="宋体"/>
                <w:color w:val="auto"/>
                <w:spacing w:val="-11"/>
                <w:sz w:val="21"/>
                <w:szCs w:val="21"/>
              </w:rPr>
            </w:pPr>
            <w:r>
              <w:rPr>
                <w:rFonts w:hint="eastAsia"/>
                <w:color w:val="auto"/>
              </w:rPr>
              <w:t>综上分析，本项目产生的各类固体废物均得到妥善处置，不会产生二次污染，可以实现零排放，不会对周围环境造成明显影响。</w:t>
            </w:r>
          </w:p>
        </w:tc>
      </w:tr>
    </w:tbl>
    <w:p w14:paraId="271B6433">
      <w:pPr>
        <w:adjustRightInd w:val="0"/>
        <w:snapToGrid w:val="0"/>
        <w:jc w:val="center"/>
        <w:rPr>
          <w:rFonts w:ascii="宋体" w:hAnsi="宋体" w:cs="宋体"/>
          <w:color w:val="auto"/>
          <w:szCs w:val="21"/>
        </w:rPr>
        <w:sectPr>
          <w:pgSz w:w="16838" w:h="11905" w:orient="landscape"/>
          <w:pgMar w:top="1531" w:right="1701" w:bottom="1531" w:left="2126" w:header="851" w:footer="850" w:gutter="0"/>
          <w:pgBorders>
            <w:top w:val="none" w:sz="0" w:space="0"/>
            <w:left w:val="none" w:sz="0" w:space="0"/>
            <w:bottom w:val="none" w:sz="0" w:space="0"/>
            <w:right w:val="none" w:sz="0" w:space="0"/>
          </w:pgBorders>
          <w:pgNumType w:fmt="decimal"/>
          <w:cols w:space="720" w:num="1"/>
          <w:rtlGutter w:val="0"/>
          <w:docGrid w:linePitch="312" w:charSpace="0"/>
        </w:sectPr>
      </w:pPr>
    </w:p>
    <w:tbl>
      <w:tblPr>
        <w:tblStyle w:val="21"/>
        <w:tblW w:w="8575" w:type="dxa"/>
        <w:tblInd w:w="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
        <w:gridCol w:w="8054"/>
      </w:tblGrid>
      <w:tr w14:paraId="71735323">
        <w:trPr>
          <w:trHeight w:val="12822" w:hRule="atLeast"/>
        </w:trPr>
        <w:tc>
          <w:tcPr>
            <w:tcW w:w="521" w:type="dxa"/>
            <w:noWrap w:val="0"/>
            <w:vAlign w:val="top"/>
          </w:tcPr>
          <w:p w14:paraId="224EA7B4">
            <w:pPr>
              <w:pStyle w:val="14"/>
              <w:spacing w:before="0" w:beforeAutospacing="0" w:after="0" w:afterAutospacing="0"/>
              <w:jc w:val="center"/>
              <w:outlineLvl w:val="0"/>
              <w:rPr>
                <w:rFonts w:cs="宋体"/>
                <w:snapToGrid w:val="0"/>
                <w:color w:val="auto"/>
                <w:sz w:val="21"/>
                <w:szCs w:val="21"/>
              </w:rPr>
            </w:pPr>
          </w:p>
        </w:tc>
        <w:tc>
          <w:tcPr>
            <w:tcW w:w="8054" w:type="dxa"/>
            <w:noWrap w:val="0"/>
            <w:vAlign w:val="top"/>
          </w:tcPr>
          <w:p w14:paraId="4DBAAF40">
            <w:pPr>
              <w:pStyle w:val="14"/>
              <w:keepNext w:val="0"/>
              <w:keepLines w:val="0"/>
              <w:pageBreakBefore w:val="0"/>
              <w:kinsoku/>
              <w:wordWrap/>
              <w:overflowPunct/>
              <w:topLinePunct w:val="0"/>
              <w:autoSpaceDE/>
              <w:autoSpaceDN/>
              <w:bidi w:val="0"/>
              <w:spacing w:before="0" w:beforeAutospacing="0" w:after="0" w:afterAutospacing="0" w:line="360" w:lineRule="auto"/>
              <w:ind w:firstLine="480" w:firstLineChars="200"/>
              <w:textAlignment w:val="auto"/>
              <w:outlineLvl w:val="0"/>
              <w:rPr>
                <w:rFonts w:ascii="Times New Roman" w:hAnsi="Times New Roman"/>
                <w:snapToGrid w:val="0"/>
                <w:color w:val="auto"/>
                <w:szCs w:val="24"/>
              </w:rPr>
            </w:pPr>
            <w:r>
              <w:rPr>
                <w:rFonts w:hint="eastAsia" w:ascii="Times New Roman" w:hAnsi="Times New Roman"/>
                <w:snapToGrid w:val="0"/>
                <w:color w:val="auto"/>
                <w:szCs w:val="24"/>
                <w:lang w:eastAsia="zh-CN"/>
              </w:rPr>
              <w:t>2.</w:t>
            </w:r>
            <w:r>
              <w:rPr>
                <w:rFonts w:ascii="Times New Roman" w:hAnsi="Times New Roman"/>
                <w:snapToGrid w:val="0"/>
                <w:color w:val="auto"/>
                <w:szCs w:val="24"/>
              </w:rPr>
              <w:t>固废管理要求</w:t>
            </w:r>
          </w:p>
          <w:p w14:paraId="0FF6F12F">
            <w:pPr>
              <w:pStyle w:val="14"/>
              <w:keepNext w:val="0"/>
              <w:keepLines w:val="0"/>
              <w:pageBreakBefore w:val="0"/>
              <w:kinsoku/>
              <w:wordWrap/>
              <w:overflowPunct/>
              <w:topLinePunct w:val="0"/>
              <w:autoSpaceDE/>
              <w:autoSpaceDN/>
              <w:bidi w:val="0"/>
              <w:spacing w:before="0" w:beforeAutospacing="0" w:after="0" w:afterAutospacing="0" w:line="360" w:lineRule="auto"/>
              <w:ind w:firstLine="480" w:firstLineChars="200"/>
              <w:textAlignment w:val="auto"/>
              <w:outlineLvl w:val="0"/>
              <w:rPr>
                <w:rFonts w:cs="宋体"/>
                <w:snapToGrid w:val="0"/>
                <w:color w:val="auto"/>
                <w:szCs w:val="24"/>
              </w:rPr>
            </w:pPr>
            <w:r>
              <w:rPr>
                <w:rFonts w:hint="eastAsia" w:cs="宋体"/>
                <w:snapToGrid w:val="0"/>
                <w:color w:val="auto"/>
                <w:szCs w:val="24"/>
              </w:rPr>
              <w:t>（1）一般固废管理要求</w:t>
            </w:r>
          </w:p>
          <w:p w14:paraId="6B22CD8F">
            <w:pPr>
              <w:pStyle w:val="3"/>
              <w:keepNext w:val="0"/>
              <w:keepLines w:val="0"/>
              <w:pageBreakBefore w:val="0"/>
              <w:kinsoku/>
              <w:wordWrap/>
              <w:overflowPunct/>
              <w:topLinePunct w:val="0"/>
              <w:autoSpaceDE/>
              <w:autoSpaceDN/>
              <w:bidi w:val="0"/>
              <w:adjustRightInd w:val="0"/>
              <w:snapToGrid w:val="0"/>
              <w:spacing w:line="360" w:lineRule="auto"/>
              <w:ind w:firstLine="480"/>
              <w:textAlignment w:val="auto"/>
              <w:rPr>
                <w:color w:val="auto"/>
                <w:sz w:val="24"/>
                <w:szCs w:val="24"/>
              </w:rPr>
            </w:pPr>
            <w:r>
              <w:rPr>
                <w:rFonts w:hint="eastAsia"/>
                <w:color w:val="auto"/>
                <w:sz w:val="24"/>
                <w:szCs w:val="24"/>
              </w:rPr>
              <w:t>本项目产生的一般工业固废包括一般包装材料、废滤渣、茶叶渣、废石英砂及滤膜、污水处理站污泥</w:t>
            </w:r>
            <w:r>
              <w:rPr>
                <w:rFonts w:hint="eastAsia"/>
                <w:color w:val="auto"/>
                <w:sz w:val="24"/>
                <w:szCs w:val="24"/>
                <w:lang w:eastAsia="zh-CN"/>
              </w:rPr>
              <w:t>。</w:t>
            </w:r>
            <w:r>
              <w:rPr>
                <w:rFonts w:hint="eastAsia"/>
                <w:color w:val="auto"/>
                <w:sz w:val="24"/>
                <w:szCs w:val="24"/>
              </w:rPr>
              <w:t>一般包装材料、</w:t>
            </w:r>
            <w:r>
              <w:rPr>
                <w:rFonts w:hint="eastAsia"/>
                <w:color w:val="auto"/>
                <w:sz w:val="24"/>
                <w:szCs w:val="24"/>
                <w:lang w:val="en-US" w:eastAsia="zh-CN"/>
              </w:rPr>
              <w:t>废滤渣、</w:t>
            </w:r>
            <w:r>
              <w:rPr>
                <w:rFonts w:hint="eastAsia"/>
                <w:color w:val="auto"/>
                <w:sz w:val="24"/>
                <w:szCs w:val="24"/>
              </w:rPr>
              <w:t>茶叶渣收集后外售给废旧资源回收公司综合利用</w:t>
            </w:r>
            <w:r>
              <w:rPr>
                <w:rFonts w:hint="eastAsia"/>
                <w:color w:val="auto"/>
                <w:sz w:val="24"/>
                <w:szCs w:val="24"/>
                <w:lang w:eastAsia="zh-CN"/>
              </w:rPr>
              <w:t>，</w:t>
            </w:r>
            <w:r>
              <w:rPr>
                <w:rFonts w:hint="eastAsia"/>
                <w:color w:val="auto"/>
                <w:sz w:val="24"/>
                <w:szCs w:val="24"/>
              </w:rPr>
              <w:t>废石英砂</w:t>
            </w:r>
            <w:r>
              <w:rPr>
                <w:rFonts w:hint="eastAsia"/>
                <w:color w:val="auto"/>
                <w:sz w:val="24"/>
                <w:szCs w:val="24"/>
                <w:lang w:eastAsia="zh-CN"/>
              </w:rPr>
              <w:t>、</w:t>
            </w:r>
            <w:r>
              <w:rPr>
                <w:rFonts w:hint="eastAsia"/>
                <w:color w:val="auto"/>
                <w:sz w:val="24"/>
                <w:szCs w:val="24"/>
                <w:lang w:val="en-US" w:eastAsia="zh-CN"/>
              </w:rPr>
              <w:t>活性炭</w:t>
            </w:r>
            <w:r>
              <w:rPr>
                <w:rFonts w:hint="eastAsia"/>
                <w:color w:val="auto"/>
                <w:sz w:val="24"/>
                <w:szCs w:val="24"/>
              </w:rPr>
              <w:t>及滤膜由厂家回收，污水处理站污泥委托一般污泥处置单位利用。一般工业固废收集后暂存</w:t>
            </w:r>
            <w:r>
              <w:rPr>
                <w:color w:val="auto"/>
                <w:sz w:val="24"/>
                <w:szCs w:val="24"/>
              </w:rPr>
              <w:t>于</w:t>
            </w:r>
            <w:r>
              <w:rPr>
                <w:rFonts w:hint="eastAsia"/>
                <w:color w:val="auto"/>
                <w:sz w:val="24"/>
                <w:szCs w:val="24"/>
                <w:lang w:val="en-US" w:eastAsia="zh-CN"/>
              </w:rPr>
              <w:t>成品库西南角设置的一般固废暂存区</w:t>
            </w:r>
            <w:r>
              <w:rPr>
                <w:rFonts w:hint="eastAsia"/>
                <w:color w:val="auto"/>
                <w:sz w:val="24"/>
                <w:szCs w:val="24"/>
              </w:rPr>
              <w:t>，一般固废暂存区面积</w:t>
            </w:r>
            <w:r>
              <w:rPr>
                <w:rFonts w:hint="eastAsia"/>
                <w:color w:val="auto"/>
                <w:sz w:val="24"/>
                <w:szCs w:val="24"/>
                <w:lang w:val="en-US" w:eastAsia="zh-CN"/>
              </w:rPr>
              <w:t>150</w:t>
            </w:r>
            <w:r>
              <w:rPr>
                <w:rFonts w:hint="eastAsia"/>
                <w:color w:val="auto"/>
                <w:sz w:val="24"/>
                <w:szCs w:val="24"/>
              </w:rPr>
              <w:t>m</w:t>
            </w:r>
            <w:r>
              <w:rPr>
                <w:rFonts w:hint="eastAsia"/>
                <w:color w:val="auto"/>
                <w:sz w:val="24"/>
                <w:szCs w:val="24"/>
                <w:vertAlign w:val="superscript"/>
              </w:rPr>
              <w:t>2</w:t>
            </w:r>
            <w:r>
              <w:rPr>
                <w:color w:val="auto"/>
                <w:sz w:val="24"/>
                <w:szCs w:val="24"/>
              </w:rPr>
              <w:t>。</w:t>
            </w:r>
            <w:r>
              <w:rPr>
                <w:rFonts w:hint="eastAsia"/>
                <w:color w:val="auto"/>
                <w:sz w:val="24"/>
                <w:szCs w:val="24"/>
              </w:rPr>
              <w:t>一般固废暂存区</w:t>
            </w:r>
            <w:r>
              <w:rPr>
                <w:color w:val="auto"/>
                <w:sz w:val="24"/>
                <w:szCs w:val="24"/>
              </w:rPr>
              <w:t>应按《</w:t>
            </w:r>
            <w:r>
              <w:rPr>
                <w:rFonts w:hint="eastAsia"/>
                <w:color w:val="auto"/>
                <w:sz w:val="24"/>
                <w:szCs w:val="24"/>
              </w:rPr>
              <w:t>一般工业固体废物贮存和填埋污染控制标准</w:t>
            </w:r>
            <w:r>
              <w:rPr>
                <w:color w:val="auto"/>
                <w:sz w:val="24"/>
                <w:szCs w:val="24"/>
              </w:rPr>
              <w:t>》（GB18599-2020）要求设置</w:t>
            </w:r>
            <w:r>
              <w:rPr>
                <w:rFonts w:hint="eastAsia"/>
                <w:color w:val="auto"/>
                <w:sz w:val="24"/>
                <w:szCs w:val="24"/>
              </w:rPr>
              <w:t>，</w:t>
            </w:r>
            <w:r>
              <w:rPr>
                <w:color w:val="auto"/>
                <w:sz w:val="24"/>
                <w:szCs w:val="24"/>
              </w:rPr>
              <w:t>具体如下：</w:t>
            </w:r>
          </w:p>
          <w:p w14:paraId="5291FD50">
            <w:pPr>
              <w:pStyle w:val="3"/>
              <w:keepNext w:val="0"/>
              <w:keepLines w:val="0"/>
              <w:pageBreakBefore w:val="0"/>
              <w:kinsoku/>
              <w:wordWrap/>
              <w:overflowPunct/>
              <w:topLinePunct w:val="0"/>
              <w:autoSpaceDE/>
              <w:autoSpaceDN/>
              <w:bidi w:val="0"/>
              <w:adjustRightInd w:val="0"/>
              <w:snapToGrid w:val="0"/>
              <w:spacing w:line="360" w:lineRule="auto"/>
              <w:ind w:firstLine="480"/>
              <w:textAlignment w:val="auto"/>
              <w:rPr>
                <w:color w:val="auto"/>
                <w:sz w:val="24"/>
                <w:szCs w:val="24"/>
              </w:rPr>
            </w:pPr>
            <w:r>
              <w:rPr>
                <w:color w:val="auto"/>
                <w:sz w:val="24"/>
                <w:szCs w:val="24"/>
              </w:rPr>
              <w:t>①必须与将要</w:t>
            </w:r>
            <w:r>
              <w:rPr>
                <w:rFonts w:hint="eastAsia"/>
                <w:color w:val="auto"/>
                <w:sz w:val="24"/>
                <w:szCs w:val="24"/>
              </w:rPr>
              <w:t>暂存</w:t>
            </w:r>
            <w:r>
              <w:rPr>
                <w:color w:val="auto"/>
                <w:sz w:val="24"/>
                <w:szCs w:val="24"/>
              </w:rPr>
              <w:t>的一般工业</w:t>
            </w:r>
            <w:r>
              <w:rPr>
                <w:rFonts w:hint="eastAsia"/>
                <w:color w:val="auto"/>
                <w:sz w:val="24"/>
                <w:szCs w:val="24"/>
              </w:rPr>
              <w:t>固废</w:t>
            </w:r>
            <w:r>
              <w:rPr>
                <w:color w:val="auto"/>
                <w:sz w:val="24"/>
                <w:szCs w:val="24"/>
              </w:rPr>
              <w:t>的类别相一致。</w:t>
            </w:r>
          </w:p>
          <w:p w14:paraId="2ADD647F">
            <w:pPr>
              <w:pStyle w:val="3"/>
              <w:keepNext w:val="0"/>
              <w:keepLines w:val="0"/>
              <w:pageBreakBefore w:val="0"/>
              <w:kinsoku/>
              <w:wordWrap/>
              <w:overflowPunct/>
              <w:topLinePunct w:val="0"/>
              <w:autoSpaceDE/>
              <w:autoSpaceDN/>
              <w:bidi w:val="0"/>
              <w:adjustRightInd w:val="0"/>
              <w:snapToGrid w:val="0"/>
              <w:spacing w:line="360" w:lineRule="auto"/>
              <w:ind w:firstLine="480"/>
              <w:textAlignment w:val="auto"/>
              <w:rPr>
                <w:color w:val="auto"/>
                <w:sz w:val="24"/>
                <w:szCs w:val="24"/>
              </w:rPr>
            </w:pPr>
            <w:r>
              <w:rPr>
                <w:color w:val="auto"/>
                <w:sz w:val="24"/>
                <w:szCs w:val="24"/>
              </w:rPr>
              <w:t>②</w:t>
            </w:r>
            <w:r>
              <w:rPr>
                <w:rFonts w:hint="eastAsia"/>
                <w:color w:val="auto"/>
                <w:sz w:val="24"/>
                <w:szCs w:val="24"/>
              </w:rPr>
              <w:t>暂存区应做到防风、防雨、防扬散</w:t>
            </w:r>
            <w:r>
              <w:rPr>
                <w:color w:val="auto"/>
                <w:sz w:val="24"/>
                <w:szCs w:val="24"/>
              </w:rPr>
              <w:t>。</w:t>
            </w:r>
          </w:p>
          <w:p w14:paraId="146306B1">
            <w:pPr>
              <w:pStyle w:val="14"/>
              <w:keepNext w:val="0"/>
              <w:keepLines w:val="0"/>
              <w:pageBreakBefore w:val="0"/>
              <w:kinsoku/>
              <w:wordWrap/>
              <w:overflowPunct/>
              <w:topLinePunct w:val="0"/>
              <w:autoSpaceDE/>
              <w:autoSpaceDN/>
              <w:bidi w:val="0"/>
              <w:spacing w:before="0" w:beforeAutospacing="0" w:after="0" w:afterAutospacing="0" w:line="360" w:lineRule="auto"/>
              <w:ind w:firstLine="480" w:firstLineChars="200"/>
              <w:textAlignment w:val="auto"/>
              <w:outlineLvl w:val="0"/>
              <w:rPr>
                <w:rFonts w:cs="宋体"/>
                <w:snapToGrid w:val="0"/>
                <w:color w:val="auto"/>
                <w:szCs w:val="24"/>
              </w:rPr>
            </w:pPr>
            <w:r>
              <w:rPr>
                <w:rFonts w:ascii="Times New Roman" w:hAnsi="Times New Roman"/>
                <w:color w:val="auto"/>
                <w:kern w:val="2"/>
                <w:szCs w:val="24"/>
              </w:rPr>
              <w:t>③</w:t>
            </w:r>
            <w:r>
              <w:rPr>
                <w:rFonts w:ascii="Times New Roman" w:hAnsi="Times New Roman"/>
                <w:color w:val="auto"/>
              </w:rPr>
              <w:t>应加强监督管理，禁止危险废物和生活垃圾混入</w:t>
            </w:r>
            <w:r>
              <w:rPr>
                <w:rFonts w:hint="eastAsia" w:ascii="Times New Roman" w:hAnsi="Times New Roman"/>
                <w:color w:val="auto"/>
              </w:rPr>
              <w:t>一般固废暂存场所</w:t>
            </w:r>
            <w:r>
              <w:rPr>
                <w:rFonts w:ascii="Times New Roman" w:hAnsi="Times New Roman"/>
                <w:color w:val="auto"/>
              </w:rPr>
              <w:t>。</w:t>
            </w:r>
          </w:p>
          <w:p w14:paraId="3D90A9CA">
            <w:pPr>
              <w:pStyle w:val="14"/>
              <w:keepNext w:val="0"/>
              <w:keepLines w:val="0"/>
              <w:pageBreakBefore w:val="0"/>
              <w:kinsoku/>
              <w:wordWrap/>
              <w:overflowPunct/>
              <w:topLinePunct w:val="0"/>
              <w:autoSpaceDE/>
              <w:autoSpaceDN/>
              <w:bidi w:val="0"/>
              <w:spacing w:before="0" w:beforeAutospacing="0" w:after="0" w:afterAutospacing="0" w:line="360" w:lineRule="auto"/>
              <w:ind w:firstLine="480" w:firstLineChars="200"/>
              <w:textAlignment w:val="auto"/>
              <w:outlineLvl w:val="0"/>
              <w:rPr>
                <w:rFonts w:cs="宋体"/>
                <w:snapToGrid w:val="0"/>
                <w:color w:val="auto"/>
                <w:szCs w:val="24"/>
              </w:rPr>
            </w:pPr>
            <w:r>
              <w:rPr>
                <w:rFonts w:hint="eastAsia" w:cs="宋体"/>
                <w:snapToGrid w:val="0"/>
                <w:color w:val="auto"/>
                <w:szCs w:val="24"/>
              </w:rPr>
              <w:t>（2）危险废物管理要求</w:t>
            </w:r>
          </w:p>
          <w:p w14:paraId="4D7C2397">
            <w:pPr>
              <w:pStyle w:val="14"/>
              <w:keepNext w:val="0"/>
              <w:keepLines w:val="0"/>
              <w:pageBreakBefore w:val="0"/>
              <w:kinsoku/>
              <w:wordWrap/>
              <w:overflowPunct/>
              <w:topLinePunct w:val="0"/>
              <w:autoSpaceDE/>
              <w:autoSpaceDN/>
              <w:bidi w:val="0"/>
              <w:spacing w:before="0" w:beforeAutospacing="0" w:after="0" w:afterAutospacing="0" w:line="360" w:lineRule="auto"/>
              <w:ind w:firstLine="480" w:firstLineChars="200"/>
              <w:textAlignment w:val="auto"/>
              <w:outlineLvl w:val="0"/>
              <w:rPr>
                <w:rFonts w:cs="宋体"/>
                <w:snapToGrid w:val="0"/>
                <w:color w:val="auto"/>
                <w:szCs w:val="24"/>
              </w:rPr>
            </w:pPr>
            <w:r>
              <w:rPr>
                <w:rFonts w:hint="eastAsia" w:cs="宋体"/>
                <w:snapToGrid w:val="0"/>
                <w:color w:val="auto"/>
                <w:szCs w:val="24"/>
              </w:rPr>
              <w:t>本项目产生的危险废物为废活性炭</w:t>
            </w:r>
            <w:r>
              <w:rPr>
                <w:rFonts w:hint="eastAsia" w:cs="宋体"/>
                <w:snapToGrid w:val="0"/>
                <w:color w:val="auto"/>
                <w:szCs w:val="24"/>
                <w:lang w:eastAsia="zh-CN"/>
              </w:rPr>
              <w:t>、</w:t>
            </w:r>
            <w:r>
              <w:rPr>
                <w:rFonts w:hint="eastAsia" w:cs="宋体"/>
                <w:snapToGrid w:val="0"/>
                <w:color w:val="auto"/>
                <w:szCs w:val="24"/>
                <w:lang w:val="en-US" w:eastAsia="zh-CN"/>
              </w:rPr>
              <w:t>废包装桶、废润滑油、废劳保用品、化学品包装材料</w:t>
            </w:r>
            <w:r>
              <w:rPr>
                <w:rFonts w:hint="eastAsia" w:cs="宋体"/>
                <w:snapToGrid w:val="0"/>
                <w:color w:val="auto"/>
                <w:szCs w:val="24"/>
              </w:rPr>
              <w:t>，对危险废物应按相关要求进行分类收集，根据各类危险废物的相容性、反应性以及包装材料的相容性，选择合适的包装材料进行分类收集，避免危险废物与一般工业固废、生活垃圾等混合，从而避免收集过程的二次污染。</w:t>
            </w:r>
          </w:p>
          <w:p w14:paraId="560AEA74">
            <w:pPr>
              <w:pStyle w:val="14"/>
              <w:keepNext w:val="0"/>
              <w:keepLines w:val="0"/>
              <w:pageBreakBefore w:val="0"/>
              <w:kinsoku/>
              <w:wordWrap/>
              <w:overflowPunct/>
              <w:topLinePunct w:val="0"/>
              <w:autoSpaceDE/>
              <w:autoSpaceDN/>
              <w:bidi w:val="0"/>
              <w:spacing w:before="0" w:beforeAutospacing="0" w:after="0" w:afterAutospacing="0" w:line="360" w:lineRule="auto"/>
              <w:ind w:firstLine="480" w:firstLineChars="200"/>
              <w:textAlignment w:val="auto"/>
              <w:outlineLvl w:val="0"/>
              <w:rPr>
                <w:rFonts w:ascii="Times New Roman" w:hAnsi="Times New Roman"/>
                <w:snapToGrid w:val="0"/>
                <w:color w:val="auto"/>
                <w:szCs w:val="24"/>
              </w:rPr>
            </w:pPr>
            <w:r>
              <w:rPr>
                <w:rFonts w:ascii="Times New Roman" w:hAnsi="Times New Roman"/>
                <w:color w:val="auto"/>
                <w:kern w:val="2"/>
                <w:szCs w:val="24"/>
              </w:rPr>
              <w:t>①</w:t>
            </w:r>
            <w:r>
              <w:rPr>
                <w:rFonts w:ascii="Times New Roman" w:hAnsi="Times New Roman"/>
                <w:snapToGrid w:val="0"/>
                <w:color w:val="auto"/>
                <w:szCs w:val="24"/>
              </w:rPr>
              <w:t>选址可行性</w:t>
            </w:r>
          </w:p>
          <w:p w14:paraId="1AA03F82">
            <w:pPr>
              <w:pStyle w:val="14"/>
              <w:keepNext w:val="0"/>
              <w:keepLines w:val="0"/>
              <w:pageBreakBefore w:val="0"/>
              <w:kinsoku/>
              <w:wordWrap/>
              <w:overflowPunct/>
              <w:topLinePunct w:val="0"/>
              <w:autoSpaceDE/>
              <w:autoSpaceDN/>
              <w:bidi w:val="0"/>
              <w:spacing w:before="0" w:beforeAutospacing="0" w:after="0" w:afterAutospacing="0" w:line="360" w:lineRule="auto"/>
              <w:ind w:firstLine="480" w:firstLineChars="200"/>
              <w:textAlignment w:val="auto"/>
              <w:outlineLvl w:val="0"/>
              <w:rPr>
                <w:rFonts w:ascii="Times New Roman" w:hAnsi="Times New Roman"/>
                <w:snapToGrid w:val="0"/>
                <w:color w:val="auto"/>
                <w:szCs w:val="24"/>
              </w:rPr>
            </w:pPr>
            <w:r>
              <w:rPr>
                <w:rFonts w:ascii="Times New Roman" w:hAnsi="Times New Roman"/>
                <w:snapToGrid w:val="0"/>
                <w:color w:val="auto"/>
                <w:szCs w:val="24"/>
              </w:rPr>
              <w:t>本项目</w:t>
            </w:r>
            <w:r>
              <w:rPr>
                <w:rFonts w:hint="eastAsia" w:ascii="Times New Roman" w:hAnsi="Times New Roman"/>
                <w:snapToGrid w:val="0"/>
                <w:color w:val="auto"/>
                <w:szCs w:val="24"/>
              </w:rPr>
              <w:t>设置1个</w:t>
            </w:r>
            <w:r>
              <w:rPr>
                <w:rFonts w:hint="eastAsia" w:ascii="Times New Roman" w:hAnsi="Times New Roman"/>
                <w:snapToGrid w:val="0"/>
                <w:color w:val="auto"/>
                <w:szCs w:val="24"/>
                <w:lang w:val="en-US" w:eastAsia="zh-CN"/>
              </w:rPr>
              <w:t>危废库</w:t>
            </w:r>
            <w:r>
              <w:rPr>
                <w:rFonts w:hint="eastAsia" w:ascii="Times New Roman" w:hAnsi="Times New Roman"/>
                <w:snapToGrid w:val="0"/>
                <w:color w:val="auto"/>
                <w:szCs w:val="24"/>
              </w:rPr>
              <w:t>，</w:t>
            </w:r>
            <w:r>
              <w:rPr>
                <w:rFonts w:ascii="Times New Roman" w:hAnsi="Times New Roman"/>
                <w:snapToGrid w:val="0"/>
                <w:color w:val="auto"/>
                <w:szCs w:val="24"/>
              </w:rPr>
              <w:t>面积为</w:t>
            </w:r>
            <w:r>
              <w:rPr>
                <w:rFonts w:hint="eastAsia" w:ascii="Times New Roman" w:hAnsi="Times New Roman"/>
                <w:snapToGrid w:val="0"/>
                <w:color w:val="auto"/>
                <w:szCs w:val="24"/>
                <w:lang w:val="en-US" w:eastAsia="zh-CN"/>
              </w:rPr>
              <w:t>50</w:t>
            </w:r>
            <w:r>
              <w:rPr>
                <w:rFonts w:ascii="Times New Roman" w:hAnsi="Times New Roman"/>
                <w:snapToGrid w:val="0"/>
                <w:color w:val="auto"/>
                <w:szCs w:val="24"/>
              </w:rPr>
              <w:t>m</w:t>
            </w:r>
            <w:r>
              <w:rPr>
                <w:rFonts w:ascii="Times New Roman" w:hAnsi="Times New Roman"/>
                <w:snapToGrid w:val="0"/>
                <w:color w:val="auto"/>
                <w:szCs w:val="24"/>
                <w:vertAlign w:val="superscript"/>
              </w:rPr>
              <w:t>2</w:t>
            </w:r>
            <w:r>
              <w:rPr>
                <w:rFonts w:ascii="Times New Roman" w:hAnsi="Times New Roman"/>
                <w:snapToGrid w:val="0"/>
                <w:color w:val="auto"/>
                <w:szCs w:val="24"/>
              </w:rPr>
              <w:t>。</w:t>
            </w:r>
            <w:r>
              <w:rPr>
                <w:rFonts w:hint="eastAsia" w:ascii="Times New Roman" w:hAnsi="Times New Roman"/>
                <w:snapToGrid w:val="0"/>
                <w:color w:val="auto"/>
                <w:szCs w:val="24"/>
                <w:lang w:eastAsia="zh-CN"/>
              </w:rPr>
              <w:t>危废库</w:t>
            </w:r>
            <w:r>
              <w:rPr>
                <w:rFonts w:hint="eastAsia" w:ascii="Times New Roman" w:hAnsi="Times New Roman"/>
                <w:snapToGrid w:val="0"/>
                <w:color w:val="auto"/>
                <w:szCs w:val="24"/>
              </w:rPr>
              <w:t>设置</w:t>
            </w:r>
            <w:r>
              <w:rPr>
                <w:rFonts w:hint="eastAsia" w:ascii="Times New Roman" w:hAnsi="Times New Roman"/>
                <w:snapToGrid w:val="0"/>
                <w:color w:val="auto"/>
                <w:szCs w:val="24"/>
                <w:lang w:val="en-US" w:eastAsia="zh-CN"/>
              </w:rPr>
              <w:t>于</w:t>
            </w:r>
            <w:r>
              <w:rPr>
                <w:rFonts w:hint="eastAsia"/>
                <w:color w:val="auto"/>
                <w:lang w:val="en-US" w:eastAsia="zh-CN"/>
              </w:rPr>
              <w:t>成品库东南角</w:t>
            </w:r>
            <w:r>
              <w:rPr>
                <w:rFonts w:hint="eastAsia" w:ascii="Times New Roman" w:hAnsi="Times New Roman"/>
                <w:snapToGrid w:val="0"/>
                <w:color w:val="auto"/>
                <w:szCs w:val="24"/>
              </w:rPr>
              <w:t>。</w:t>
            </w:r>
            <w:r>
              <w:rPr>
                <w:rFonts w:ascii="Times New Roman" w:hAnsi="Times New Roman"/>
                <w:snapToGrid w:val="0"/>
                <w:color w:val="auto"/>
                <w:szCs w:val="24"/>
              </w:rPr>
              <w:t>对照</w:t>
            </w:r>
            <w:r>
              <w:rPr>
                <w:rFonts w:hint="eastAsia" w:ascii="Times New Roman" w:hAnsi="Times New Roman"/>
                <w:snapToGrid w:val="0"/>
                <w:color w:val="auto"/>
                <w:szCs w:val="24"/>
                <w:lang w:eastAsia="zh-CN"/>
              </w:rPr>
              <w:t>《危险废物贮存污染控制标准》（GB18597-2023）</w:t>
            </w:r>
            <w:r>
              <w:rPr>
                <w:rFonts w:ascii="Times New Roman" w:hAnsi="Times New Roman"/>
                <w:snapToGrid w:val="0"/>
                <w:color w:val="auto"/>
                <w:szCs w:val="24"/>
              </w:rPr>
              <w:t>，涟水县区域内无活动性断裂，历史上也未曾发生过强烈的破坏性地震，区域稳定性较好。根据《中国地震烈度区划图》（2001），本区地震烈度为7度，符合要求。枯水期调查区潜水位一般在1.7</w:t>
            </w:r>
            <w:r>
              <w:rPr>
                <w:rFonts w:hint="eastAsia" w:ascii="Times New Roman" w:hAnsi="Times New Roman"/>
                <w:snapToGrid w:val="0"/>
                <w:color w:val="auto"/>
                <w:szCs w:val="24"/>
              </w:rPr>
              <w:t>m</w:t>
            </w:r>
            <w:r>
              <w:rPr>
                <w:rFonts w:ascii="Times New Roman" w:hAnsi="Times New Roman"/>
                <w:snapToGrid w:val="0"/>
                <w:color w:val="auto"/>
                <w:szCs w:val="24"/>
              </w:rPr>
              <w:t>～2.9m之间。项目场平标高约为3.5</w:t>
            </w:r>
            <w:r>
              <w:rPr>
                <w:rFonts w:hint="eastAsia" w:ascii="Times New Roman" w:hAnsi="Times New Roman"/>
                <w:snapToGrid w:val="0"/>
                <w:color w:val="auto"/>
                <w:szCs w:val="24"/>
              </w:rPr>
              <w:t>m</w:t>
            </w:r>
            <w:r>
              <w:rPr>
                <w:rFonts w:ascii="Times New Roman" w:hAnsi="Times New Roman"/>
                <w:snapToGrid w:val="0"/>
                <w:color w:val="auto"/>
                <w:szCs w:val="24"/>
              </w:rPr>
              <w:t>～5.0</w:t>
            </w:r>
            <w:r>
              <w:rPr>
                <w:rFonts w:hint="eastAsia" w:ascii="Times New Roman" w:hAnsi="Times New Roman"/>
                <w:snapToGrid w:val="0"/>
                <w:color w:val="auto"/>
                <w:szCs w:val="24"/>
              </w:rPr>
              <w:t>m</w:t>
            </w:r>
            <w:r>
              <w:rPr>
                <w:rFonts w:ascii="Times New Roman" w:hAnsi="Times New Roman"/>
                <w:snapToGrid w:val="0"/>
                <w:color w:val="auto"/>
                <w:szCs w:val="24"/>
              </w:rPr>
              <w:t>，高于区域地下水最高水位，符合要求。</w:t>
            </w:r>
            <w:r>
              <w:rPr>
                <w:rFonts w:hint="eastAsia" w:ascii="Times New Roman" w:hAnsi="Times New Roman"/>
                <w:snapToGrid w:val="0"/>
                <w:color w:val="auto"/>
                <w:szCs w:val="24"/>
                <w:lang w:eastAsia="zh-CN"/>
              </w:rPr>
              <w:t>危废库</w:t>
            </w:r>
            <w:r>
              <w:rPr>
                <w:rFonts w:ascii="Times New Roman" w:hAnsi="Times New Roman"/>
                <w:snapToGrid w:val="0"/>
                <w:color w:val="auto"/>
                <w:szCs w:val="24"/>
              </w:rPr>
              <w:t>按照苏环办〔2019〕327号</w:t>
            </w:r>
            <w:r>
              <w:rPr>
                <w:rFonts w:hint="eastAsia" w:ascii="Times New Roman" w:hAnsi="Times New Roman"/>
                <w:snapToGrid w:val="0"/>
                <w:color w:val="auto"/>
                <w:szCs w:val="24"/>
              </w:rPr>
              <w:t>文件</w:t>
            </w:r>
            <w:r>
              <w:rPr>
                <w:rFonts w:hint="eastAsia" w:ascii="Times New Roman" w:hAnsi="Times New Roman"/>
                <w:snapToGrid w:val="0"/>
                <w:color w:val="auto"/>
                <w:szCs w:val="24"/>
                <w:lang w:eastAsia="zh-CN"/>
              </w:rPr>
              <w:t>〈</w:t>
            </w:r>
            <w:r>
              <w:rPr>
                <w:rFonts w:ascii="Times New Roman" w:hAnsi="Times New Roman"/>
                <w:snapToGrid w:val="0"/>
                <w:color w:val="auto"/>
                <w:szCs w:val="24"/>
              </w:rPr>
              <w:t>省生态环境厅关于进一步加强危险废物污染防治工作的实施意见</w:t>
            </w:r>
            <w:r>
              <w:rPr>
                <w:rFonts w:hint="eastAsia" w:ascii="Times New Roman" w:hAnsi="Times New Roman"/>
                <w:snapToGrid w:val="0"/>
                <w:color w:val="auto"/>
                <w:szCs w:val="24"/>
                <w:lang w:eastAsia="zh-CN"/>
              </w:rPr>
              <w:t>〉</w:t>
            </w:r>
            <w:r>
              <w:rPr>
                <w:rFonts w:hint="eastAsia" w:ascii="Times New Roman" w:hAnsi="Times New Roman"/>
                <w:snapToGrid w:val="0"/>
                <w:color w:val="auto"/>
                <w:szCs w:val="24"/>
              </w:rPr>
              <w:t>中</w:t>
            </w:r>
            <w:r>
              <w:rPr>
                <w:rFonts w:ascii="Times New Roman" w:hAnsi="Times New Roman"/>
                <w:snapToGrid w:val="0"/>
                <w:color w:val="auto"/>
                <w:szCs w:val="24"/>
              </w:rPr>
              <w:t>的</w:t>
            </w:r>
            <w:r>
              <w:rPr>
                <w:rFonts w:hint="eastAsia" w:ascii="Times New Roman" w:hAnsi="Times New Roman"/>
                <w:snapToGrid w:val="0"/>
                <w:color w:val="auto"/>
                <w:szCs w:val="24"/>
              </w:rPr>
              <w:t>要求</w:t>
            </w:r>
            <w:r>
              <w:rPr>
                <w:rFonts w:ascii="Times New Roman" w:hAnsi="Times New Roman"/>
                <w:snapToGrid w:val="0"/>
                <w:color w:val="auto"/>
                <w:szCs w:val="24"/>
              </w:rPr>
              <w:t>进行设计。</w:t>
            </w:r>
          </w:p>
          <w:p w14:paraId="318B93F2">
            <w:pPr>
              <w:pStyle w:val="14"/>
              <w:keepNext w:val="0"/>
              <w:keepLines w:val="0"/>
              <w:pageBreakBefore w:val="0"/>
              <w:kinsoku/>
              <w:wordWrap/>
              <w:overflowPunct/>
              <w:topLinePunct w:val="0"/>
              <w:autoSpaceDE/>
              <w:autoSpaceDN/>
              <w:bidi w:val="0"/>
              <w:spacing w:before="0" w:beforeAutospacing="0" w:after="0" w:afterAutospacing="0" w:line="360" w:lineRule="auto"/>
              <w:ind w:firstLine="480" w:firstLineChars="200"/>
              <w:textAlignment w:val="auto"/>
              <w:outlineLvl w:val="0"/>
              <w:rPr>
                <w:rFonts w:ascii="Times New Roman" w:hAnsi="Times New Roman"/>
                <w:snapToGrid w:val="0"/>
                <w:color w:val="auto"/>
                <w:szCs w:val="24"/>
              </w:rPr>
            </w:pPr>
            <w:r>
              <w:rPr>
                <w:rFonts w:hint="eastAsia" w:ascii="Times New Roman" w:hAnsi="Times New Roman"/>
                <w:snapToGrid w:val="0"/>
                <w:color w:val="auto"/>
                <w:szCs w:val="24"/>
              </w:rPr>
              <w:t>因此</w:t>
            </w:r>
            <w:r>
              <w:rPr>
                <w:rFonts w:ascii="Times New Roman" w:hAnsi="Times New Roman"/>
                <w:snapToGrid w:val="0"/>
                <w:color w:val="auto"/>
                <w:szCs w:val="24"/>
              </w:rPr>
              <w:t>，本项目危险废物暂存场所选址是可行的。</w:t>
            </w:r>
          </w:p>
          <w:p w14:paraId="6D41E21D">
            <w:pPr>
              <w:pStyle w:val="14"/>
              <w:keepNext w:val="0"/>
              <w:keepLines w:val="0"/>
              <w:pageBreakBefore w:val="0"/>
              <w:kinsoku/>
              <w:wordWrap/>
              <w:overflowPunct/>
              <w:topLinePunct w:val="0"/>
              <w:autoSpaceDE/>
              <w:autoSpaceDN/>
              <w:bidi w:val="0"/>
              <w:spacing w:before="0" w:beforeAutospacing="0" w:after="0" w:afterAutospacing="0" w:line="360" w:lineRule="auto"/>
              <w:ind w:firstLine="480" w:firstLineChars="200"/>
              <w:textAlignment w:val="auto"/>
              <w:outlineLvl w:val="0"/>
              <w:rPr>
                <w:rFonts w:ascii="Times New Roman" w:hAnsi="Times New Roman"/>
                <w:snapToGrid w:val="0"/>
                <w:color w:val="auto"/>
                <w:szCs w:val="24"/>
              </w:rPr>
            </w:pPr>
            <w:r>
              <w:rPr>
                <w:rFonts w:ascii="Times New Roman" w:hAnsi="Times New Roman"/>
                <w:color w:val="auto"/>
                <w:kern w:val="2"/>
                <w:szCs w:val="24"/>
              </w:rPr>
              <w:t>②</w:t>
            </w:r>
            <w:r>
              <w:rPr>
                <w:rFonts w:ascii="Times New Roman" w:hAnsi="Times New Roman"/>
                <w:snapToGrid w:val="0"/>
                <w:color w:val="auto"/>
                <w:szCs w:val="24"/>
              </w:rPr>
              <w:t>危废暂存场所能力分析</w:t>
            </w:r>
          </w:p>
          <w:p w14:paraId="15CD8421">
            <w:pPr>
              <w:pStyle w:val="14"/>
              <w:keepNext w:val="0"/>
              <w:keepLines w:val="0"/>
              <w:pageBreakBefore w:val="0"/>
              <w:kinsoku/>
              <w:wordWrap/>
              <w:overflowPunct/>
              <w:topLinePunct w:val="0"/>
              <w:autoSpaceDE/>
              <w:autoSpaceDN/>
              <w:bidi w:val="0"/>
              <w:spacing w:before="0" w:beforeAutospacing="0" w:after="0" w:afterAutospacing="0" w:line="360" w:lineRule="auto"/>
              <w:ind w:firstLine="480" w:firstLineChars="200"/>
              <w:textAlignment w:val="auto"/>
              <w:outlineLvl w:val="0"/>
              <w:rPr>
                <w:rFonts w:ascii="Times New Roman" w:hAnsi="Times New Roman"/>
                <w:snapToGrid w:val="0"/>
                <w:color w:val="auto"/>
                <w:szCs w:val="24"/>
              </w:rPr>
            </w:pPr>
            <w:r>
              <w:rPr>
                <w:rFonts w:hint="eastAsia" w:cs="宋体"/>
                <w:snapToGrid w:val="0"/>
                <w:color w:val="auto"/>
                <w:szCs w:val="24"/>
              </w:rPr>
              <w:t>本项目</w:t>
            </w:r>
            <w:r>
              <w:rPr>
                <w:rFonts w:hint="eastAsia" w:ascii="Times New Roman" w:hAnsi="Times New Roman"/>
                <w:snapToGrid w:val="0"/>
                <w:color w:val="auto"/>
                <w:szCs w:val="24"/>
                <w:lang w:eastAsia="zh-CN"/>
              </w:rPr>
              <w:t>危废库</w:t>
            </w:r>
            <w:r>
              <w:rPr>
                <w:rFonts w:ascii="Times New Roman" w:hAnsi="Times New Roman"/>
                <w:snapToGrid w:val="0"/>
                <w:color w:val="auto"/>
                <w:szCs w:val="24"/>
              </w:rPr>
              <w:t>面积为</w:t>
            </w:r>
            <w:r>
              <w:rPr>
                <w:rFonts w:hint="eastAsia" w:ascii="Times New Roman" w:hAnsi="Times New Roman"/>
                <w:snapToGrid w:val="0"/>
                <w:color w:val="auto"/>
                <w:szCs w:val="24"/>
                <w:lang w:val="en-US" w:eastAsia="zh-CN"/>
              </w:rPr>
              <w:t>50</w:t>
            </w:r>
            <w:r>
              <w:rPr>
                <w:rFonts w:ascii="Times New Roman" w:hAnsi="Times New Roman"/>
                <w:snapToGrid w:val="0"/>
                <w:color w:val="auto"/>
                <w:szCs w:val="24"/>
              </w:rPr>
              <w:t>m</w:t>
            </w:r>
            <w:r>
              <w:rPr>
                <w:rFonts w:ascii="Times New Roman" w:hAnsi="Times New Roman"/>
                <w:snapToGrid w:val="0"/>
                <w:color w:val="auto"/>
                <w:szCs w:val="24"/>
                <w:vertAlign w:val="superscript"/>
              </w:rPr>
              <w:t>2</w:t>
            </w:r>
            <w:r>
              <w:rPr>
                <w:rFonts w:ascii="Times New Roman" w:hAnsi="Times New Roman"/>
                <w:snapToGrid w:val="0"/>
                <w:color w:val="auto"/>
                <w:szCs w:val="24"/>
              </w:rPr>
              <w:t>，</w:t>
            </w:r>
            <w:r>
              <w:rPr>
                <w:rFonts w:hint="eastAsia" w:ascii="Times New Roman" w:hAnsi="Times New Roman"/>
                <w:snapToGrid w:val="0"/>
                <w:color w:val="auto"/>
                <w:szCs w:val="24"/>
              </w:rPr>
              <w:t>建设项目危险废物贮存场所基本情况见</w:t>
            </w:r>
            <w:r>
              <w:rPr>
                <w:rFonts w:hint="eastAsia" w:ascii="Times New Roman" w:hAnsi="Times New Roman"/>
                <w:snapToGrid w:val="0"/>
                <w:color w:val="auto"/>
                <w:szCs w:val="24"/>
                <w:lang w:val="en-US" w:eastAsia="zh-CN"/>
              </w:rPr>
              <w:t>下表</w:t>
            </w:r>
            <w:r>
              <w:rPr>
                <w:rFonts w:hint="eastAsia" w:ascii="Times New Roman" w:hAnsi="Times New Roman"/>
                <w:snapToGrid w:val="0"/>
                <w:color w:val="auto"/>
                <w:szCs w:val="24"/>
              </w:rPr>
              <w:t>。</w:t>
            </w:r>
          </w:p>
          <w:p w14:paraId="288066AB">
            <w:pPr>
              <w:pStyle w:val="14"/>
              <w:spacing w:before="0" w:beforeAutospacing="0" w:after="0" w:afterAutospacing="0" w:line="240" w:lineRule="auto"/>
              <w:ind w:firstLine="422" w:firstLineChars="200"/>
              <w:jc w:val="center"/>
              <w:outlineLvl w:val="0"/>
              <w:rPr>
                <w:rFonts w:ascii="Times New Roman" w:hAnsi="Times New Roman"/>
                <w:b/>
                <w:bCs/>
                <w:snapToGrid w:val="0"/>
                <w:color w:val="auto"/>
                <w:sz w:val="21"/>
                <w:szCs w:val="21"/>
              </w:rPr>
            </w:pPr>
            <w:r>
              <w:rPr>
                <w:rFonts w:hint="eastAsia" w:ascii="Times New Roman" w:hAnsi="Times New Roman"/>
                <w:b/>
                <w:bCs/>
                <w:snapToGrid w:val="0"/>
                <w:color w:val="auto"/>
                <w:sz w:val="21"/>
                <w:szCs w:val="21"/>
              </w:rPr>
              <w:t>表4-</w:t>
            </w:r>
            <w:r>
              <w:rPr>
                <w:rFonts w:hint="eastAsia" w:ascii="Times New Roman" w:hAnsi="Times New Roman"/>
                <w:b/>
                <w:bCs/>
                <w:snapToGrid w:val="0"/>
                <w:color w:val="auto"/>
                <w:sz w:val="21"/>
                <w:szCs w:val="21"/>
                <w:lang w:val="en-US" w:eastAsia="zh-CN"/>
              </w:rPr>
              <w:t xml:space="preserve">24  </w:t>
            </w:r>
            <w:r>
              <w:rPr>
                <w:rFonts w:hint="eastAsia" w:ascii="Times New Roman" w:hAnsi="Times New Roman"/>
                <w:b/>
                <w:bCs/>
                <w:snapToGrid w:val="0"/>
                <w:color w:val="auto"/>
                <w:sz w:val="21"/>
                <w:szCs w:val="21"/>
              </w:rPr>
              <w:t>建设项目危险废物贮存场所基本情况</w:t>
            </w:r>
          </w:p>
          <w:tbl>
            <w:tblPr>
              <w:tblStyle w:val="21"/>
              <w:tblW w:w="7873"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52"/>
              <w:gridCol w:w="1275"/>
              <w:gridCol w:w="776"/>
              <w:gridCol w:w="1196"/>
              <w:gridCol w:w="854"/>
              <w:gridCol w:w="613"/>
              <w:gridCol w:w="822"/>
              <w:gridCol w:w="684"/>
              <w:gridCol w:w="775"/>
            </w:tblGrid>
            <w:tr w14:paraId="018C6639">
              <w:trPr>
                <w:trHeight w:val="996" w:hRule="atLeast"/>
              </w:trPr>
              <w:tc>
                <w:tcPr>
                  <w:tcW w:w="426" w:type="dxa"/>
                  <w:noWrap w:val="0"/>
                  <w:vAlign w:val="center"/>
                </w:tcPr>
                <w:p w14:paraId="6F9B7D2F">
                  <w:pPr>
                    <w:pStyle w:val="14"/>
                    <w:spacing w:before="0" w:beforeAutospacing="0" w:after="0" w:afterAutospacing="0"/>
                    <w:jc w:val="center"/>
                    <w:outlineLvl w:val="0"/>
                    <w:rPr>
                      <w:rFonts w:ascii="Times New Roman" w:hAnsi="Times New Roman"/>
                      <w:snapToGrid w:val="0"/>
                      <w:color w:val="auto"/>
                      <w:sz w:val="21"/>
                      <w:szCs w:val="24"/>
                    </w:rPr>
                  </w:pPr>
                  <w:r>
                    <w:rPr>
                      <w:rFonts w:hint="eastAsia" w:ascii="Times New Roman" w:hAnsi="Times New Roman"/>
                      <w:snapToGrid w:val="0"/>
                      <w:color w:val="auto"/>
                      <w:sz w:val="21"/>
                      <w:szCs w:val="24"/>
                    </w:rPr>
                    <w:t>序</w:t>
                  </w:r>
                </w:p>
                <w:p w14:paraId="3BB64AAC">
                  <w:pPr>
                    <w:pStyle w:val="14"/>
                    <w:spacing w:before="0" w:beforeAutospacing="0" w:after="0" w:afterAutospacing="0"/>
                    <w:jc w:val="center"/>
                    <w:outlineLvl w:val="0"/>
                    <w:rPr>
                      <w:rFonts w:ascii="Times New Roman" w:hAnsi="Times New Roman"/>
                      <w:snapToGrid w:val="0"/>
                      <w:color w:val="auto"/>
                      <w:sz w:val="21"/>
                      <w:szCs w:val="24"/>
                    </w:rPr>
                  </w:pPr>
                  <w:r>
                    <w:rPr>
                      <w:rFonts w:hint="eastAsia" w:ascii="Times New Roman" w:hAnsi="Times New Roman"/>
                      <w:snapToGrid w:val="0"/>
                      <w:color w:val="auto"/>
                      <w:sz w:val="21"/>
                      <w:szCs w:val="24"/>
                    </w:rPr>
                    <w:t>号</w:t>
                  </w:r>
                </w:p>
              </w:tc>
              <w:tc>
                <w:tcPr>
                  <w:tcW w:w="452" w:type="dxa"/>
                  <w:noWrap w:val="0"/>
                  <w:vAlign w:val="center"/>
                </w:tcPr>
                <w:p w14:paraId="25A3CFAC">
                  <w:pPr>
                    <w:pStyle w:val="14"/>
                    <w:spacing w:before="0" w:beforeAutospacing="0" w:after="0" w:afterAutospacing="0"/>
                    <w:jc w:val="center"/>
                    <w:outlineLvl w:val="0"/>
                    <w:rPr>
                      <w:rFonts w:ascii="Times New Roman" w:hAnsi="Times New Roman"/>
                      <w:snapToGrid w:val="0"/>
                      <w:color w:val="auto"/>
                      <w:sz w:val="21"/>
                      <w:szCs w:val="24"/>
                    </w:rPr>
                  </w:pPr>
                  <w:r>
                    <w:rPr>
                      <w:rFonts w:hint="eastAsia" w:ascii="Times New Roman" w:hAnsi="Times New Roman"/>
                      <w:snapToGrid w:val="0"/>
                      <w:color w:val="auto"/>
                      <w:sz w:val="21"/>
                      <w:szCs w:val="24"/>
                    </w:rPr>
                    <w:t>名称</w:t>
                  </w:r>
                </w:p>
              </w:tc>
              <w:tc>
                <w:tcPr>
                  <w:tcW w:w="1275" w:type="dxa"/>
                  <w:noWrap w:val="0"/>
                  <w:vAlign w:val="center"/>
                </w:tcPr>
                <w:p w14:paraId="400CB0ED">
                  <w:pPr>
                    <w:pStyle w:val="14"/>
                    <w:spacing w:before="0" w:beforeAutospacing="0" w:after="0" w:afterAutospacing="0"/>
                    <w:jc w:val="center"/>
                    <w:outlineLvl w:val="0"/>
                    <w:rPr>
                      <w:rFonts w:ascii="Times New Roman" w:hAnsi="Times New Roman"/>
                      <w:snapToGrid w:val="0"/>
                      <w:color w:val="auto"/>
                      <w:sz w:val="21"/>
                      <w:szCs w:val="24"/>
                    </w:rPr>
                  </w:pPr>
                  <w:r>
                    <w:rPr>
                      <w:rFonts w:hint="eastAsia" w:ascii="Times New Roman" w:hAnsi="Times New Roman"/>
                      <w:snapToGrid w:val="0"/>
                      <w:color w:val="auto"/>
                      <w:sz w:val="21"/>
                      <w:szCs w:val="24"/>
                    </w:rPr>
                    <w:t>危险废物</w:t>
                  </w:r>
                </w:p>
                <w:p w14:paraId="2F0BF9ED">
                  <w:pPr>
                    <w:pStyle w:val="14"/>
                    <w:spacing w:before="0" w:beforeAutospacing="0" w:after="0" w:afterAutospacing="0"/>
                    <w:jc w:val="center"/>
                    <w:outlineLvl w:val="0"/>
                    <w:rPr>
                      <w:rFonts w:ascii="Times New Roman" w:hAnsi="Times New Roman"/>
                      <w:snapToGrid w:val="0"/>
                      <w:color w:val="auto"/>
                      <w:sz w:val="21"/>
                      <w:szCs w:val="24"/>
                    </w:rPr>
                  </w:pPr>
                  <w:r>
                    <w:rPr>
                      <w:rFonts w:hint="eastAsia" w:ascii="Times New Roman" w:hAnsi="Times New Roman"/>
                      <w:snapToGrid w:val="0"/>
                      <w:color w:val="auto"/>
                      <w:sz w:val="21"/>
                      <w:szCs w:val="24"/>
                    </w:rPr>
                    <w:t>名称</w:t>
                  </w:r>
                </w:p>
              </w:tc>
              <w:tc>
                <w:tcPr>
                  <w:tcW w:w="776" w:type="dxa"/>
                  <w:noWrap w:val="0"/>
                  <w:vAlign w:val="center"/>
                </w:tcPr>
                <w:p w14:paraId="41EEE934">
                  <w:pPr>
                    <w:pStyle w:val="14"/>
                    <w:spacing w:before="0" w:beforeAutospacing="0" w:after="0" w:afterAutospacing="0"/>
                    <w:jc w:val="center"/>
                    <w:outlineLvl w:val="0"/>
                    <w:rPr>
                      <w:rFonts w:ascii="Times New Roman" w:hAnsi="Times New Roman"/>
                      <w:snapToGrid w:val="0"/>
                      <w:color w:val="auto"/>
                      <w:sz w:val="21"/>
                      <w:szCs w:val="24"/>
                    </w:rPr>
                  </w:pPr>
                  <w:r>
                    <w:rPr>
                      <w:rFonts w:hint="eastAsia" w:ascii="Times New Roman" w:hAnsi="Times New Roman"/>
                      <w:snapToGrid w:val="0"/>
                      <w:color w:val="auto"/>
                      <w:sz w:val="21"/>
                      <w:szCs w:val="24"/>
                    </w:rPr>
                    <w:t>危险</w:t>
                  </w:r>
                </w:p>
                <w:p w14:paraId="14F3F163">
                  <w:pPr>
                    <w:pStyle w:val="14"/>
                    <w:spacing w:before="0" w:beforeAutospacing="0" w:after="0" w:afterAutospacing="0"/>
                    <w:jc w:val="center"/>
                    <w:outlineLvl w:val="0"/>
                    <w:rPr>
                      <w:rFonts w:ascii="Times New Roman" w:hAnsi="Times New Roman"/>
                      <w:snapToGrid w:val="0"/>
                      <w:color w:val="auto"/>
                      <w:sz w:val="21"/>
                      <w:szCs w:val="24"/>
                    </w:rPr>
                  </w:pPr>
                  <w:r>
                    <w:rPr>
                      <w:rFonts w:hint="eastAsia" w:ascii="Times New Roman" w:hAnsi="Times New Roman"/>
                      <w:snapToGrid w:val="0"/>
                      <w:color w:val="auto"/>
                      <w:sz w:val="21"/>
                      <w:szCs w:val="24"/>
                    </w:rPr>
                    <w:t>废物</w:t>
                  </w:r>
                </w:p>
                <w:p w14:paraId="7800CEA8">
                  <w:pPr>
                    <w:pStyle w:val="14"/>
                    <w:spacing w:before="0" w:beforeAutospacing="0" w:after="0" w:afterAutospacing="0"/>
                    <w:jc w:val="center"/>
                    <w:outlineLvl w:val="0"/>
                    <w:rPr>
                      <w:rFonts w:ascii="Times New Roman" w:hAnsi="Times New Roman"/>
                      <w:snapToGrid w:val="0"/>
                      <w:color w:val="auto"/>
                      <w:sz w:val="21"/>
                      <w:szCs w:val="24"/>
                    </w:rPr>
                  </w:pPr>
                  <w:r>
                    <w:rPr>
                      <w:rFonts w:hint="eastAsia" w:ascii="Times New Roman" w:hAnsi="Times New Roman"/>
                      <w:snapToGrid w:val="0"/>
                      <w:color w:val="auto"/>
                      <w:sz w:val="21"/>
                      <w:szCs w:val="24"/>
                    </w:rPr>
                    <w:t>类别</w:t>
                  </w:r>
                </w:p>
              </w:tc>
              <w:tc>
                <w:tcPr>
                  <w:tcW w:w="1196" w:type="dxa"/>
                  <w:noWrap w:val="0"/>
                  <w:vAlign w:val="center"/>
                </w:tcPr>
                <w:p w14:paraId="4EDAAB38">
                  <w:pPr>
                    <w:pStyle w:val="14"/>
                    <w:spacing w:before="0" w:beforeAutospacing="0" w:after="0" w:afterAutospacing="0"/>
                    <w:jc w:val="center"/>
                    <w:outlineLvl w:val="0"/>
                    <w:rPr>
                      <w:rFonts w:ascii="Times New Roman" w:hAnsi="Times New Roman"/>
                      <w:snapToGrid w:val="0"/>
                      <w:color w:val="auto"/>
                      <w:sz w:val="21"/>
                      <w:szCs w:val="24"/>
                    </w:rPr>
                  </w:pPr>
                  <w:r>
                    <w:rPr>
                      <w:rFonts w:hint="eastAsia" w:ascii="Times New Roman" w:hAnsi="Times New Roman"/>
                      <w:snapToGrid w:val="0"/>
                      <w:color w:val="auto"/>
                      <w:sz w:val="21"/>
                      <w:szCs w:val="24"/>
                    </w:rPr>
                    <w:t>危险废物</w:t>
                  </w:r>
                </w:p>
                <w:p w14:paraId="2289C5E8">
                  <w:pPr>
                    <w:pStyle w:val="14"/>
                    <w:spacing w:before="0" w:beforeAutospacing="0" w:after="0" w:afterAutospacing="0"/>
                    <w:jc w:val="center"/>
                    <w:outlineLvl w:val="0"/>
                    <w:rPr>
                      <w:rFonts w:ascii="Times New Roman" w:hAnsi="Times New Roman"/>
                      <w:snapToGrid w:val="0"/>
                      <w:color w:val="auto"/>
                      <w:sz w:val="21"/>
                      <w:szCs w:val="24"/>
                    </w:rPr>
                  </w:pPr>
                  <w:r>
                    <w:rPr>
                      <w:rFonts w:hint="eastAsia" w:ascii="Times New Roman" w:hAnsi="Times New Roman"/>
                      <w:snapToGrid w:val="0"/>
                      <w:color w:val="auto"/>
                      <w:sz w:val="21"/>
                      <w:szCs w:val="24"/>
                    </w:rPr>
                    <w:t>代码</w:t>
                  </w:r>
                </w:p>
              </w:tc>
              <w:tc>
                <w:tcPr>
                  <w:tcW w:w="854" w:type="dxa"/>
                  <w:noWrap w:val="0"/>
                  <w:vAlign w:val="center"/>
                </w:tcPr>
                <w:p w14:paraId="1D62813D">
                  <w:pPr>
                    <w:pStyle w:val="14"/>
                    <w:spacing w:before="0" w:beforeAutospacing="0" w:after="0" w:afterAutospacing="0"/>
                    <w:jc w:val="center"/>
                    <w:outlineLvl w:val="0"/>
                    <w:rPr>
                      <w:rFonts w:ascii="Times New Roman" w:hAnsi="Times New Roman"/>
                      <w:snapToGrid w:val="0"/>
                      <w:color w:val="auto"/>
                      <w:sz w:val="21"/>
                      <w:szCs w:val="24"/>
                    </w:rPr>
                  </w:pPr>
                  <w:r>
                    <w:rPr>
                      <w:rFonts w:hint="eastAsia" w:ascii="Times New Roman" w:hAnsi="Times New Roman"/>
                      <w:snapToGrid w:val="0"/>
                      <w:color w:val="auto"/>
                      <w:sz w:val="21"/>
                      <w:szCs w:val="24"/>
                    </w:rPr>
                    <w:t>贮存</w:t>
                  </w:r>
                </w:p>
                <w:p w14:paraId="3A74A71F">
                  <w:pPr>
                    <w:pStyle w:val="14"/>
                    <w:spacing w:before="0" w:beforeAutospacing="0" w:after="0" w:afterAutospacing="0"/>
                    <w:jc w:val="center"/>
                    <w:outlineLvl w:val="0"/>
                    <w:rPr>
                      <w:rFonts w:ascii="Times New Roman" w:hAnsi="Times New Roman"/>
                      <w:snapToGrid w:val="0"/>
                      <w:color w:val="auto"/>
                      <w:sz w:val="21"/>
                      <w:szCs w:val="24"/>
                    </w:rPr>
                  </w:pPr>
                  <w:r>
                    <w:rPr>
                      <w:rFonts w:hint="eastAsia" w:ascii="Times New Roman" w:hAnsi="Times New Roman"/>
                      <w:snapToGrid w:val="0"/>
                      <w:color w:val="auto"/>
                      <w:sz w:val="21"/>
                      <w:szCs w:val="24"/>
                    </w:rPr>
                    <w:t>方式</w:t>
                  </w:r>
                </w:p>
              </w:tc>
              <w:tc>
                <w:tcPr>
                  <w:tcW w:w="613" w:type="dxa"/>
                  <w:noWrap w:val="0"/>
                  <w:vAlign w:val="center"/>
                </w:tcPr>
                <w:p w14:paraId="7CA0DC7B">
                  <w:pPr>
                    <w:pStyle w:val="14"/>
                    <w:spacing w:before="0" w:beforeAutospacing="0" w:after="0" w:afterAutospacing="0"/>
                    <w:jc w:val="center"/>
                    <w:outlineLvl w:val="0"/>
                    <w:rPr>
                      <w:rFonts w:ascii="Times New Roman" w:hAnsi="Times New Roman"/>
                      <w:snapToGrid w:val="0"/>
                      <w:color w:val="auto"/>
                      <w:sz w:val="21"/>
                      <w:szCs w:val="24"/>
                    </w:rPr>
                  </w:pPr>
                  <w:r>
                    <w:rPr>
                      <w:rFonts w:hint="eastAsia" w:ascii="Times New Roman" w:hAnsi="Times New Roman"/>
                      <w:snapToGrid w:val="0"/>
                      <w:color w:val="auto"/>
                      <w:sz w:val="21"/>
                      <w:szCs w:val="24"/>
                    </w:rPr>
                    <w:t>贮存</w:t>
                  </w:r>
                </w:p>
                <w:p w14:paraId="108C659A">
                  <w:pPr>
                    <w:pStyle w:val="14"/>
                    <w:spacing w:before="0" w:beforeAutospacing="0" w:after="0" w:afterAutospacing="0"/>
                    <w:jc w:val="center"/>
                    <w:outlineLvl w:val="0"/>
                    <w:rPr>
                      <w:rFonts w:ascii="Times New Roman" w:hAnsi="Times New Roman"/>
                      <w:snapToGrid w:val="0"/>
                      <w:color w:val="auto"/>
                      <w:sz w:val="21"/>
                      <w:szCs w:val="24"/>
                    </w:rPr>
                  </w:pPr>
                  <w:r>
                    <w:rPr>
                      <w:rFonts w:hint="eastAsia" w:ascii="Times New Roman" w:hAnsi="Times New Roman"/>
                      <w:snapToGrid w:val="0"/>
                      <w:color w:val="auto"/>
                      <w:sz w:val="21"/>
                      <w:szCs w:val="24"/>
                    </w:rPr>
                    <w:t>能力</w:t>
                  </w:r>
                </w:p>
              </w:tc>
              <w:tc>
                <w:tcPr>
                  <w:tcW w:w="822" w:type="dxa"/>
                  <w:noWrap w:val="0"/>
                  <w:vAlign w:val="center"/>
                </w:tcPr>
                <w:p w14:paraId="3CA497F3">
                  <w:pPr>
                    <w:pStyle w:val="14"/>
                    <w:spacing w:before="0" w:beforeAutospacing="0" w:after="0" w:afterAutospacing="0"/>
                    <w:jc w:val="center"/>
                    <w:outlineLvl w:val="0"/>
                    <w:rPr>
                      <w:rFonts w:ascii="Times New Roman" w:hAnsi="Times New Roman"/>
                      <w:snapToGrid w:val="0"/>
                      <w:color w:val="auto"/>
                      <w:sz w:val="21"/>
                      <w:szCs w:val="24"/>
                    </w:rPr>
                  </w:pPr>
                  <w:r>
                    <w:rPr>
                      <w:rFonts w:hint="eastAsia" w:ascii="Times New Roman" w:hAnsi="Times New Roman"/>
                      <w:snapToGrid w:val="0"/>
                      <w:color w:val="auto"/>
                      <w:sz w:val="21"/>
                      <w:szCs w:val="24"/>
                    </w:rPr>
                    <w:t>占地</w:t>
                  </w:r>
                </w:p>
                <w:p w14:paraId="1AE3FBBE">
                  <w:pPr>
                    <w:pStyle w:val="14"/>
                    <w:spacing w:before="0" w:beforeAutospacing="0" w:after="0" w:afterAutospacing="0"/>
                    <w:jc w:val="center"/>
                    <w:outlineLvl w:val="0"/>
                    <w:rPr>
                      <w:rFonts w:ascii="Times New Roman" w:hAnsi="Times New Roman"/>
                      <w:snapToGrid w:val="0"/>
                      <w:color w:val="auto"/>
                      <w:sz w:val="21"/>
                      <w:szCs w:val="24"/>
                    </w:rPr>
                  </w:pPr>
                  <w:r>
                    <w:rPr>
                      <w:rFonts w:hint="eastAsia" w:ascii="Times New Roman" w:hAnsi="Times New Roman"/>
                      <w:snapToGrid w:val="0"/>
                      <w:color w:val="auto"/>
                      <w:sz w:val="21"/>
                      <w:szCs w:val="24"/>
                    </w:rPr>
                    <w:t>面积</w:t>
                  </w:r>
                </w:p>
              </w:tc>
              <w:tc>
                <w:tcPr>
                  <w:tcW w:w="684" w:type="dxa"/>
                  <w:noWrap w:val="0"/>
                  <w:vAlign w:val="center"/>
                </w:tcPr>
                <w:p w14:paraId="7D13788F">
                  <w:pPr>
                    <w:pStyle w:val="14"/>
                    <w:spacing w:before="0" w:beforeAutospacing="0" w:after="0" w:afterAutospacing="0"/>
                    <w:jc w:val="center"/>
                    <w:outlineLvl w:val="0"/>
                    <w:rPr>
                      <w:rFonts w:hint="eastAsia" w:ascii="Times New Roman" w:hAnsi="Times New Roman"/>
                      <w:snapToGrid w:val="0"/>
                      <w:color w:val="auto"/>
                      <w:sz w:val="21"/>
                      <w:szCs w:val="24"/>
                    </w:rPr>
                  </w:pPr>
                  <w:r>
                    <w:rPr>
                      <w:rFonts w:hint="eastAsia" w:ascii="Times New Roman" w:hAnsi="Times New Roman"/>
                      <w:snapToGrid w:val="0"/>
                      <w:color w:val="auto"/>
                      <w:sz w:val="21"/>
                      <w:szCs w:val="24"/>
                    </w:rPr>
                    <w:t>位置</w:t>
                  </w:r>
                </w:p>
              </w:tc>
              <w:tc>
                <w:tcPr>
                  <w:tcW w:w="775" w:type="dxa"/>
                  <w:noWrap w:val="0"/>
                  <w:vAlign w:val="center"/>
                </w:tcPr>
                <w:p w14:paraId="01B90628">
                  <w:pPr>
                    <w:pStyle w:val="14"/>
                    <w:spacing w:before="0" w:beforeAutospacing="0" w:after="0" w:afterAutospacing="0"/>
                    <w:jc w:val="center"/>
                    <w:outlineLvl w:val="0"/>
                    <w:rPr>
                      <w:rFonts w:ascii="Times New Roman" w:hAnsi="Times New Roman"/>
                      <w:snapToGrid w:val="0"/>
                      <w:color w:val="auto"/>
                      <w:sz w:val="21"/>
                      <w:szCs w:val="24"/>
                    </w:rPr>
                  </w:pPr>
                  <w:r>
                    <w:rPr>
                      <w:rFonts w:hint="eastAsia" w:ascii="Times New Roman" w:hAnsi="Times New Roman"/>
                      <w:snapToGrid w:val="0"/>
                      <w:color w:val="auto"/>
                      <w:sz w:val="21"/>
                      <w:szCs w:val="24"/>
                    </w:rPr>
                    <w:t>贮存周期</w:t>
                  </w:r>
                </w:p>
              </w:tc>
            </w:tr>
            <w:tr w14:paraId="794BD521">
              <w:trPr>
                <w:trHeight w:val="521" w:hRule="exact"/>
              </w:trPr>
              <w:tc>
                <w:tcPr>
                  <w:tcW w:w="426" w:type="dxa"/>
                  <w:noWrap w:val="0"/>
                  <w:vAlign w:val="center"/>
                </w:tcPr>
                <w:p w14:paraId="54E05DA8">
                  <w:pPr>
                    <w:pStyle w:val="14"/>
                    <w:spacing w:before="0" w:beforeAutospacing="0" w:after="0" w:afterAutospacing="0"/>
                    <w:jc w:val="center"/>
                    <w:outlineLvl w:val="0"/>
                    <w:rPr>
                      <w:rFonts w:ascii="Times New Roman" w:hAnsi="Times New Roman"/>
                      <w:snapToGrid w:val="0"/>
                      <w:color w:val="auto"/>
                      <w:sz w:val="21"/>
                      <w:szCs w:val="24"/>
                    </w:rPr>
                  </w:pPr>
                  <w:r>
                    <w:rPr>
                      <w:rFonts w:hint="eastAsia" w:ascii="Times New Roman" w:hAnsi="Times New Roman"/>
                      <w:snapToGrid w:val="0"/>
                      <w:color w:val="auto"/>
                      <w:sz w:val="21"/>
                      <w:szCs w:val="24"/>
                    </w:rPr>
                    <w:t>1</w:t>
                  </w:r>
                </w:p>
              </w:tc>
              <w:tc>
                <w:tcPr>
                  <w:tcW w:w="452" w:type="dxa"/>
                  <w:vMerge w:val="restart"/>
                  <w:noWrap w:val="0"/>
                  <w:vAlign w:val="center"/>
                </w:tcPr>
                <w:p w14:paraId="6B6F2FF5">
                  <w:pPr>
                    <w:pStyle w:val="14"/>
                    <w:spacing w:before="0" w:beforeAutospacing="0" w:after="0" w:afterAutospacing="0"/>
                    <w:jc w:val="center"/>
                    <w:outlineLvl w:val="0"/>
                    <w:rPr>
                      <w:rFonts w:ascii="Times New Roman" w:hAnsi="Times New Roman"/>
                      <w:snapToGrid w:val="0"/>
                      <w:color w:val="auto"/>
                      <w:sz w:val="21"/>
                      <w:szCs w:val="24"/>
                    </w:rPr>
                  </w:pPr>
                  <w:r>
                    <w:rPr>
                      <w:rFonts w:hint="eastAsia" w:ascii="Times New Roman" w:hAnsi="Times New Roman"/>
                      <w:snapToGrid w:val="0"/>
                      <w:color w:val="auto"/>
                      <w:sz w:val="21"/>
                      <w:szCs w:val="24"/>
                    </w:rPr>
                    <w:t>危废</w:t>
                  </w:r>
                </w:p>
                <w:p w14:paraId="7499F377">
                  <w:pPr>
                    <w:pStyle w:val="14"/>
                    <w:spacing w:before="0" w:beforeAutospacing="0" w:after="0" w:afterAutospacing="0"/>
                    <w:jc w:val="center"/>
                    <w:outlineLvl w:val="0"/>
                    <w:rPr>
                      <w:rFonts w:hint="eastAsia" w:ascii="Times New Roman" w:hAnsi="Times New Roman" w:eastAsia="宋体"/>
                      <w:snapToGrid w:val="0"/>
                      <w:color w:val="auto"/>
                      <w:sz w:val="21"/>
                      <w:szCs w:val="24"/>
                      <w:lang w:eastAsia="zh-CN"/>
                    </w:rPr>
                  </w:pPr>
                  <w:r>
                    <w:rPr>
                      <w:rFonts w:hint="eastAsia" w:ascii="Times New Roman" w:hAnsi="Times New Roman"/>
                      <w:snapToGrid w:val="0"/>
                      <w:color w:val="auto"/>
                      <w:sz w:val="21"/>
                      <w:szCs w:val="24"/>
                      <w:lang w:val="en-US" w:eastAsia="zh-CN"/>
                    </w:rPr>
                    <w:t>库</w:t>
                  </w:r>
                </w:p>
              </w:tc>
              <w:tc>
                <w:tcPr>
                  <w:tcW w:w="1275" w:type="dxa"/>
                  <w:noWrap w:val="0"/>
                  <w:vAlign w:val="center"/>
                </w:tcPr>
                <w:p w14:paraId="2D1CBDB7">
                  <w:pPr>
                    <w:pStyle w:val="14"/>
                    <w:spacing w:before="0" w:beforeAutospacing="0" w:after="0" w:afterAutospacing="0"/>
                    <w:jc w:val="center"/>
                    <w:outlineLvl w:val="0"/>
                    <w:rPr>
                      <w:rFonts w:ascii="Times New Roman" w:hAnsi="Times New Roman"/>
                      <w:snapToGrid w:val="0"/>
                      <w:color w:val="auto"/>
                      <w:sz w:val="21"/>
                      <w:szCs w:val="24"/>
                    </w:rPr>
                  </w:pPr>
                  <w:r>
                    <w:rPr>
                      <w:rFonts w:hint="eastAsia" w:ascii="Times New Roman" w:hAnsi="Times New Roman"/>
                      <w:snapToGrid w:val="0"/>
                      <w:color w:val="auto"/>
                      <w:sz w:val="21"/>
                      <w:szCs w:val="24"/>
                    </w:rPr>
                    <w:t>废活性炭</w:t>
                  </w:r>
                </w:p>
              </w:tc>
              <w:tc>
                <w:tcPr>
                  <w:tcW w:w="776" w:type="dxa"/>
                  <w:noWrap w:val="0"/>
                  <w:vAlign w:val="center"/>
                </w:tcPr>
                <w:p w14:paraId="5F704F73">
                  <w:pPr>
                    <w:pStyle w:val="14"/>
                    <w:spacing w:before="0" w:beforeAutospacing="0" w:after="0" w:afterAutospacing="0"/>
                    <w:jc w:val="center"/>
                    <w:outlineLvl w:val="0"/>
                    <w:rPr>
                      <w:rFonts w:ascii="Times New Roman" w:hAnsi="Times New Roman"/>
                      <w:snapToGrid w:val="0"/>
                      <w:color w:val="auto"/>
                      <w:sz w:val="21"/>
                      <w:szCs w:val="24"/>
                    </w:rPr>
                  </w:pPr>
                  <w:r>
                    <w:rPr>
                      <w:rFonts w:hint="eastAsia" w:ascii="Times New Roman" w:hAnsi="Times New Roman"/>
                      <w:snapToGrid w:val="0"/>
                      <w:color w:val="auto"/>
                      <w:sz w:val="21"/>
                      <w:szCs w:val="24"/>
                    </w:rPr>
                    <w:t>HW49</w:t>
                  </w:r>
                </w:p>
              </w:tc>
              <w:tc>
                <w:tcPr>
                  <w:tcW w:w="1196" w:type="dxa"/>
                  <w:noWrap w:val="0"/>
                  <w:vAlign w:val="center"/>
                </w:tcPr>
                <w:p w14:paraId="23622502">
                  <w:pPr>
                    <w:pStyle w:val="14"/>
                    <w:spacing w:before="0" w:beforeAutospacing="0" w:after="0" w:afterAutospacing="0"/>
                    <w:jc w:val="center"/>
                    <w:outlineLvl w:val="0"/>
                    <w:rPr>
                      <w:rFonts w:ascii="Times New Roman" w:hAnsi="Times New Roman"/>
                      <w:snapToGrid w:val="0"/>
                      <w:color w:val="auto"/>
                      <w:sz w:val="21"/>
                      <w:szCs w:val="24"/>
                    </w:rPr>
                  </w:pPr>
                  <w:r>
                    <w:rPr>
                      <w:rFonts w:hint="eastAsia" w:ascii="Times New Roman" w:hAnsi="Times New Roman"/>
                      <w:snapToGrid w:val="0"/>
                      <w:color w:val="auto"/>
                      <w:sz w:val="21"/>
                      <w:szCs w:val="24"/>
                    </w:rPr>
                    <w:t>900-039-49</w:t>
                  </w:r>
                </w:p>
              </w:tc>
              <w:tc>
                <w:tcPr>
                  <w:tcW w:w="854" w:type="dxa"/>
                  <w:noWrap w:val="0"/>
                  <w:vAlign w:val="center"/>
                </w:tcPr>
                <w:p w14:paraId="27132909">
                  <w:pPr>
                    <w:pStyle w:val="14"/>
                    <w:spacing w:before="0" w:beforeAutospacing="0" w:after="0" w:afterAutospacing="0"/>
                    <w:jc w:val="center"/>
                    <w:outlineLvl w:val="0"/>
                    <w:rPr>
                      <w:rFonts w:ascii="Times New Roman" w:hAnsi="Times New Roman"/>
                      <w:snapToGrid w:val="0"/>
                      <w:color w:val="auto"/>
                      <w:sz w:val="21"/>
                      <w:szCs w:val="24"/>
                    </w:rPr>
                  </w:pPr>
                  <w:r>
                    <w:rPr>
                      <w:rFonts w:hint="eastAsia" w:ascii="Times New Roman" w:hAnsi="Times New Roman"/>
                      <w:snapToGrid w:val="0"/>
                      <w:color w:val="auto"/>
                      <w:sz w:val="21"/>
                      <w:szCs w:val="24"/>
                    </w:rPr>
                    <w:t>袋装</w:t>
                  </w:r>
                </w:p>
              </w:tc>
              <w:tc>
                <w:tcPr>
                  <w:tcW w:w="613" w:type="dxa"/>
                  <w:vMerge w:val="restart"/>
                  <w:noWrap w:val="0"/>
                  <w:vAlign w:val="center"/>
                </w:tcPr>
                <w:p w14:paraId="30E29939">
                  <w:pPr>
                    <w:pStyle w:val="14"/>
                    <w:spacing w:before="0" w:beforeAutospacing="0" w:after="0" w:afterAutospacing="0"/>
                    <w:jc w:val="center"/>
                    <w:outlineLvl w:val="0"/>
                    <w:rPr>
                      <w:rFonts w:ascii="Times New Roman" w:hAnsi="Times New Roman"/>
                      <w:snapToGrid w:val="0"/>
                      <w:color w:val="auto"/>
                      <w:sz w:val="21"/>
                      <w:szCs w:val="24"/>
                    </w:rPr>
                  </w:pPr>
                  <w:r>
                    <w:rPr>
                      <w:rFonts w:hint="eastAsia" w:ascii="Times New Roman" w:hAnsi="Times New Roman"/>
                      <w:snapToGrid w:val="0"/>
                      <w:color w:val="auto"/>
                      <w:sz w:val="21"/>
                      <w:szCs w:val="24"/>
                      <w:lang w:val="en-US" w:eastAsia="zh-CN"/>
                    </w:rPr>
                    <w:t>50</w:t>
                  </w:r>
                  <w:r>
                    <w:rPr>
                      <w:rFonts w:hint="eastAsia" w:ascii="Times New Roman" w:hAnsi="Times New Roman"/>
                      <w:snapToGrid w:val="0"/>
                      <w:color w:val="auto"/>
                      <w:sz w:val="21"/>
                      <w:szCs w:val="24"/>
                    </w:rPr>
                    <w:t>t</w:t>
                  </w:r>
                </w:p>
              </w:tc>
              <w:tc>
                <w:tcPr>
                  <w:tcW w:w="822" w:type="dxa"/>
                  <w:vMerge w:val="restart"/>
                  <w:noWrap w:val="0"/>
                  <w:vAlign w:val="center"/>
                </w:tcPr>
                <w:p w14:paraId="302A116D">
                  <w:pPr>
                    <w:pStyle w:val="14"/>
                    <w:spacing w:before="0" w:beforeAutospacing="0" w:after="0" w:afterAutospacing="0"/>
                    <w:jc w:val="center"/>
                    <w:outlineLvl w:val="0"/>
                    <w:rPr>
                      <w:rFonts w:ascii="Times New Roman" w:hAnsi="Times New Roman"/>
                      <w:snapToGrid w:val="0"/>
                      <w:color w:val="auto"/>
                      <w:sz w:val="21"/>
                      <w:szCs w:val="24"/>
                    </w:rPr>
                  </w:pPr>
                  <w:r>
                    <w:rPr>
                      <w:rFonts w:hint="eastAsia" w:ascii="Times New Roman" w:hAnsi="Times New Roman"/>
                      <w:snapToGrid w:val="0"/>
                      <w:color w:val="auto"/>
                      <w:sz w:val="21"/>
                      <w:szCs w:val="24"/>
                      <w:lang w:val="en-US" w:eastAsia="zh-CN"/>
                    </w:rPr>
                    <w:t>50</w:t>
                  </w:r>
                  <w:r>
                    <w:rPr>
                      <w:rFonts w:hint="eastAsia" w:ascii="Times New Roman" w:hAnsi="Times New Roman"/>
                      <w:snapToGrid w:val="0"/>
                      <w:color w:val="auto"/>
                      <w:sz w:val="21"/>
                      <w:szCs w:val="24"/>
                    </w:rPr>
                    <w:t>m</w:t>
                  </w:r>
                  <w:r>
                    <w:rPr>
                      <w:rFonts w:hint="eastAsia" w:ascii="Times New Roman" w:hAnsi="Times New Roman"/>
                      <w:snapToGrid w:val="0"/>
                      <w:color w:val="auto"/>
                      <w:sz w:val="21"/>
                      <w:szCs w:val="24"/>
                      <w:vertAlign w:val="superscript"/>
                    </w:rPr>
                    <w:t>2</w:t>
                  </w:r>
                </w:p>
              </w:tc>
              <w:tc>
                <w:tcPr>
                  <w:tcW w:w="684" w:type="dxa"/>
                  <w:vMerge w:val="restart"/>
                  <w:noWrap w:val="0"/>
                  <w:vAlign w:val="center"/>
                </w:tcPr>
                <w:p w14:paraId="0168655B">
                  <w:pPr>
                    <w:pStyle w:val="14"/>
                    <w:spacing w:before="0" w:beforeAutospacing="0" w:after="0" w:afterAutospacing="0"/>
                    <w:jc w:val="center"/>
                    <w:outlineLvl w:val="0"/>
                    <w:rPr>
                      <w:rFonts w:hint="default" w:ascii="Times New Roman" w:hAnsi="Times New Roman" w:eastAsia="宋体"/>
                      <w:snapToGrid w:val="0"/>
                      <w:color w:val="auto"/>
                      <w:sz w:val="21"/>
                      <w:szCs w:val="24"/>
                      <w:lang w:val="en-US" w:eastAsia="zh-CN"/>
                    </w:rPr>
                  </w:pPr>
                  <w:r>
                    <w:rPr>
                      <w:rFonts w:hint="eastAsia" w:ascii="Times New Roman" w:hAnsi="Times New Roman"/>
                      <w:snapToGrid w:val="0"/>
                      <w:color w:val="auto"/>
                      <w:sz w:val="21"/>
                      <w:szCs w:val="24"/>
                    </w:rPr>
                    <w:t>位于</w:t>
                  </w:r>
                  <w:r>
                    <w:rPr>
                      <w:rFonts w:hint="eastAsia" w:ascii="Times New Roman" w:hAnsi="Times New Roman"/>
                      <w:snapToGrid w:val="0"/>
                      <w:color w:val="auto"/>
                      <w:sz w:val="21"/>
                      <w:szCs w:val="24"/>
                      <w:lang w:val="en-US" w:eastAsia="zh-CN"/>
                    </w:rPr>
                    <w:t>生产厂房西南角</w:t>
                  </w:r>
                </w:p>
              </w:tc>
              <w:tc>
                <w:tcPr>
                  <w:tcW w:w="775" w:type="dxa"/>
                  <w:vMerge w:val="restart"/>
                  <w:noWrap w:val="0"/>
                  <w:vAlign w:val="center"/>
                </w:tcPr>
                <w:p w14:paraId="4525E65B">
                  <w:pPr>
                    <w:pStyle w:val="14"/>
                    <w:spacing w:before="0" w:beforeAutospacing="0" w:after="0" w:afterAutospacing="0"/>
                    <w:jc w:val="center"/>
                    <w:outlineLvl w:val="0"/>
                    <w:rPr>
                      <w:rFonts w:ascii="Times New Roman" w:hAnsi="Times New Roman"/>
                      <w:snapToGrid w:val="0"/>
                      <w:color w:val="auto"/>
                      <w:sz w:val="21"/>
                      <w:szCs w:val="24"/>
                    </w:rPr>
                  </w:pPr>
                  <w:r>
                    <w:rPr>
                      <w:rFonts w:hint="eastAsia" w:ascii="Times New Roman" w:hAnsi="Times New Roman"/>
                      <w:snapToGrid w:val="0"/>
                      <w:color w:val="auto"/>
                      <w:sz w:val="21"/>
                      <w:szCs w:val="24"/>
                      <w:lang w:val="en-US" w:eastAsia="zh-CN"/>
                    </w:rPr>
                    <w:t>12</w:t>
                  </w:r>
                  <w:r>
                    <w:rPr>
                      <w:rFonts w:hint="eastAsia" w:ascii="Times New Roman" w:hAnsi="Times New Roman"/>
                      <w:snapToGrid w:val="0"/>
                      <w:color w:val="auto"/>
                      <w:sz w:val="21"/>
                      <w:szCs w:val="24"/>
                    </w:rPr>
                    <w:t>个月</w:t>
                  </w:r>
                </w:p>
              </w:tc>
            </w:tr>
            <w:tr w14:paraId="629E45AB">
              <w:trPr>
                <w:trHeight w:val="521" w:hRule="exact"/>
              </w:trPr>
              <w:tc>
                <w:tcPr>
                  <w:tcW w:w="426" w:type="dxa"/>
                  <w:noWrap w:val="0"/>
                  <w:vAlign w:val="center"/>
                </w:tcPr>
                <w:p w14:paraId="27C999DB">
                  <w:pPr>
                    <w:pStyle w:val="14"/>
                    <w:spacing w:before="0" w:beforeAutospacing="0" w:after="0" w:afterAutospacing="0"/>
                    <w:jc w:val="center"/>
                    <w:outlineLvl w:val="0"/>
                    <w:rPr>
                      <w:rFonts w:hint="eastAsia" w:ascii="Times New Roman" w:hAnsi="Times New Roman" w:eastAsia="宋体"/>
                      <w:snapToGrid w:val="0"/>
                      <w:color w:val="auto"/>
                      <w:sz w:val="21"/>
                      <w:szCs w:val="24"/>
                      <w:lang w:val="en-US" w:eastAsia="zh-CN"/>
                    </w:rPr>
                  </w:pPr>
                  <w:r>
                    <w:rPr>
                      <w:rFonts w:hint="eastAsia" w:ascii="Times New Roman" w:hAnsi="Times New Roman"/>
                      <w:snapToGrid w:val="0"/>
                      <w:color w:val="auto"/>
                      <w:sz w:val="21"/>
                      <w:szCs w:val="24"/>
                      <w:lang w:val="en-US" w:eastAsia="zh-CN"/>
                    </w:rPr>
                    <w:t>2</w:t>
                  </w:r>
                </w:p>
              </w:tc>
              <w:tc>
                <w:tcPr>
                  <w:tcW w:w="452" w:type="dxa"/>
                  <w:vMerge w:val="continue"/>
                  <w:noWrap w:val="0"/>
                  <w:vAlign w:val="center"/>
                </w:tcPr>
                <w:p w14:paraId="20536893">
                  <w:pPr>
                    <w:pStyle w:val="14"/>
                    <w:spacing w:before="0" w:beforeAutospacing="0" w:after="0" w:afterAutospacing="0"/>
                    <w:jc w:val="center"/>
                    <w:outlineLvl w:val="0"/>
                    <w:rPr>
                      <w:rFonts w:hint="eastAsia" w:ascii="Times New Roman" w:hAnsi="Times New Roman"/>
                      <w:snapToGrid w:val="0"/>
                      <w:color w:val="auto"/>
                      <w:sz w:val="21"/>
                      <w:szCs w:val="24"/>
                    </w:rPr>
                  </w:pPr>
                </w:p>
              </w:tc>
              <w:tc>
                <w:tcPr>
                  <w:tcW w:w="1275" w:type="dxa"/>
                  <w:noWrap w:val="0"/>
                  <w:vAlign w:val="center"/>
                </w:tcPr>
                <w:p w14:paraId="4C77CCD6">
                  <w:pPr>
                    <w:pStyle w:val="14"/>
                    <w:spacing w:before="0" w:beforeAutospacing="0" w:after="0" w:afterAutospacing="0"/>
                    <w:jc w:val="center"/>
                    <w:outlineLvl w:val="0"/>
                    <w:rPr>
                      <w:rFonts w:hint="eastAsia" w:ascii="Times New Roman" w:hAnsi="Times New Roman" w:eastAsia="宋体"/>
                      <w:snapToGrid w:val="0"/>
                      <w:color w:val="auto"/>
                      <w:sz w:val="21"/>
                      <w:szCs w:val="24"/>
                      <w:lang w:val="en-US" w:eastAsia="zh-CN"/>
                    </w:rPr>
                  </w:pPr>
                  <w:r>
                    <w:rPr>
                      <w:rFonts w:hint="eastAsia" w:ascii="Times New Roman" w:hAnsi="Times New Roman"/>
                      <w:snapToGrid w:val="0"/>
                      <w:color w:val="auto"/>
                      <w:sz w:val="21"/>
                      <w:szCs w:val="24"/>
                      <w:lang w:val="en-US" w:eastAsia="zh-CN"/>
                    </w:rPr>
                    <w:t>废包装桶</w:t>
                  </w:r>
                </w:p>
              </w:tc>
              <w:tc>
                <w:tcPr>
                  <w:tcW w:w="776" w:type="dxa"/>
                  <w:noWrap w:val="0"/>
                  <w:vAlign w:val="center"/>
                </w:tcPr>
                <w:p w14:paraId="0CF1D7F3">
                  <w:pPr>
                    <w:adjustRightInd w:val="0"/>
                    <w:snapToGrid w:val="0"/>
                    <w:jc w:val="center"/>
                    <w:rPr>
                      <w:rFonts w:hint="eastAsia" w:eastAsia="宋体"/>
                      <w:color w:val="auto"/>
                      <w:spacing w:val="-11"/>
                      <w:kern w:val="2"/>
                      <w:sz w:val="21"/>
                      <w:szCs w:val="18"/>
                      <w:lang w:val="en-US" w:eastAsia="zh-CN" w:bidi="ar-SA"/>
                    </w:rPr>
                  </w:pPr>
                  <w:r>
                    <w:rPr>
                      <w:rFonts w:hint="eastAsia" w:ascii="Times New Roman" w:hAnsi="Times New Roman" w:eastAsia="宋体"/>
                      <w:color w:val="auto"/>
                      <w:spacing w:val="-11"/>
                      <w:sz w:val="21"/>
                      <w:szCs w:val="18"/>
                    </w:rPr>
                    <w:t>HW49</w:t>
                  </w:r>
                </w:p>
              </w:tc>
              <w:tc>
                <w:tcPr>
                  <w:tcW w:w="1196" w:type="dxa"/>
                  <w:noWrap w:val="0"/>
                  <w:vAlign w:val="center"/>
                </w:tcPr>
                <w:p w14:paraId="2F709241">
                  <w:pPr>
                    <w:adjustRightInd w:val="0"/>
                    <w:snapToGrid w:val="0"/>
                    <w:jc w:val="center"/>
                    <w:rPr>
                      <w:rFonts w:hint="eastAsia" w:eastAsia="宋体"/>
                      <w:color w:val="auto"/>
                      <w:spacing w:val="-11"/>
                      <w:kern w:val="2"/>
                      <w:sz w:val="21"/>
                      <w:szCs w:val="18"/>
                      <w:lang w:val="en-US" w:eastAsia="zh-CN" w:bidi="ar-SA"/>
                    </w:rPr>
                  </w:pPr>
                  <w:r>
                    <w:rPr>
                      <w:rFonts w:hint="eastAsia" w:ascii="Times New Roman" w:hAnsi="Times New Roman" w:eastAsia="宋体" w:cs="Times New Roman"/>
                      <w:color w:val="auto"/>
                      <w:sz w:val="21"/>
                      <w:szCs w:val="18"/>
                      <w:lang w:val="en-US" w:eastAsia="zh-CN"/>
                    </w:rPr>
                    <w:t>900-041-49</w:t>
                  </w:r>
                </w:p>
              </w:tc>
              <w:tc>
                <w:tcPr>
                  <w:tcW w:w="854" w:type="dxa"/>
                  <w:noWrap w:val="0"/>
                  <w:vAlign w:val="center"/>
                </w:tcPr>
                <w:p w14:paraId="15B9A9AF">
                  <w:pPr>
                    <w:pStyle w:val="14"/>
                    <w:spacing w:before="0" w:beforeAutospacing="0" w:after="0" w:afterAutospacing="0"/>
                    <w:jc w:val="center"/>
                    <w:outlineLvl w:val="0"/>
                    <w:rPr>
                      <w:rFonts w:hint="eastAsia" w:ascii="Times New Roman" w:hAnsi="Times New Roman" w:eastAsia="宋体"/>
                      <w:snapToGrid w:val="0"/>
                      <w:color w:val="auto"/>
                      <w:kern w:val="0"/>
                      <w:sz w:val="21"/>
                      <w:szCs w:val="24"/>
                      <w:lang w:val="en-US" w:eastAsia="zh-CN" w:bidi="ar-SA"/>
                    </w:rPr>
                  </w:pPr>
                  <w:r>
                    <w:rPr>
                      <w:rFonts w:hint="eastAsia" w:ascii="Times New Roman" w:hAnsi="Times New Roman"/>
                      <w:snapToGrid w:val="0"/>
                      <w:color w:val="auto"/>
                      <w:sz w:val="21"/>
                      <w:szCs w:val="24"/>
                      <w:lang w:val="en-US" w:eastAsia="zh-CN"/>
                    </w:rPr>
                    <w:t>桶装</w:t>
                  </w:r>
                </w:p>
              </w:tc>
              <w:tc>
                <w:tcPr>
                  <w:tcW w:w="613" w:type="dxa"/>
                  <w:vMerge w:val="continue"/>
                  <w:noWrap w:val="0"/>
                  <w:vAlign w:val="center"/>
                </w:tcPr>
                <w:p w14:paraId="0E07DEC3">
                  <w:pPr>
                    <w:pStyle w:val="14"/>
                    <w:spacing w:before="0" w:beforeAutospacing="0" w:after="0" w:afterAutospacing="0"/>
                    <w:jc w:val="center"/>
                    <w:outlineLvl w:val="0"/>
                    <w:rPr>
                      <w:rFonts w:hint="eastAsia" w:ascii="Times New Roman" w:hAnsi="Times New Roman"/>
                      <w:snapToGrid w:val="0"/>
                      <w:color w:val="auto"/>
                      <w:sz w:val="21"/>
                      <w:szCs w:val="24"/>
                      <w:lang w:val="en-US" w:eastAsia="zh-CN"/>
                    </w:rPr>
                  </w:pPr>
                </w:p>
              </w:tc>
              <w:tc>
                <w:tcPr>
                  <w:tcW w:w="822" w:type="dxa"/>
                  <w:vMerge w:val="continue"/>
                  <w:noWrap w:val="0"/>
                  <w:vAlign w:val="center"/>
                </w:tcPr>
                <w:p w14:paraId="0EE42950">
                  <w:pPr>
                    <w:pStyle w:val="14"/>
                    <w:spacing w:before="0" w:beforeAutospacing="0" w:after="0" w:afterAutospacing="0"/>
                    <w:jc w:val="center"/>
                    <w:outlineLvl w:val="0"/>
                    <w:rPr>
                      <w:rFonts w:hint="eastAsia" w:ascii="Times New Roman" w:hAnsi="Times New Roman"/>
                      <w:snapToGrid w:val="0"/>
                      <w:color w:val="auto"/>
                      <w:sz w:val="21"/>
                      <w:szCs w:val="24"/>
                      <w:lang w:val="en-US" w:eastAsia="zh-CN"/>
                    </w:rPr>
                  </w:pPr>
                </w:p>
              </w:tc>
              <w:tc>
                <w:tcPr>
                  <w:tcW w:w="684" w:type="dxa"/>
                  <w:vMerge w:val="continue"/>
                  <w:noWrap w:val="0"/>
                  <w:vAlign w:val="center"/>
                </w:tcPr>
                <w:p w14:paraId="1E4AA280">
                  <w:pPr>
                    <w:pStyle w:val="14"/>
                    <w:spacing w:before="0" w:beforeAutospacing="0" w:after="0" w:afterAutospacing="0"/>
                    <w:jc w:val="center"/>
                    <w:outlineLvl w:val="0"/>
                    <w:rPr>
                      <w:rFonts w:hint="eastAsia" w:ascii="Times New Roman" w:hAnsi="Times New Roman"/>
                      <w:snapToGrid w:val="0"/>
                      <w:color w:val="auto"/>
                      <w:sz w:val="21"/>
                      <w:szCs w:val="24"/>
                    </w:rPr>
                  </w:pPr>
                </w:p>
              </w:tc>
              <w:tc>
                <w:tcPr>
                  <w:tcW w:w="775" w:type="dxa"/>
                  <w:vMerge w:val="continue"/>
                  <w:noWrap w:val="0"/>
                  <w:vAlign w:val="center"/>
                </w:tcPr>
                <w:p w14:paraId="665D233D">
                  <w:pPr>
                    <w:pStyle w:val="14"/>
                    <w:spacing w:before="0" w:beforeAutospacing="0" w:after="0" w:afterAutospacing="0"/>
                    <w:jc w:val="center"/>
                    <w:outlineLvl w:val="0"/>
                    <w:rPr>
                      <w:rFonts w:hint="eastAsia" w:ascii="Times New Roman" w:hAnsi="Times New Roman"/>
                      <w:snapToGrid w:val="0"/>
                      <w:color w:val="auto"/>
                      <w:sz w:val="21"/>
                      <w:szCs w:val="24"/>
                      <w:lang w:val="en-US" w:eastAsia="zh-CN"/>
                    </w:rPr>
                  </w:pPr>
                </w:p>
              </w:tc>
            </w:tr>
            <w:tr w14:paraId="210857FA">
              <w:trPr>
                <w:trHeight w:val="521" w:hRule="exact"/>
              </w:trPr>
              <w:tc>
                <w:tcPr>
                  <w:tcW w:w="426" w:type="dxa"/>
                  <w:noWrap w:val="0"/>
                  <w:vAlign w:val="center"/>
                </w:tcPr>
                <w:p w14:paraId="46F6876B">
                  <w:pPr>
                    <w:pStyle w:val="14"/>
                    <w:spacing w:before="0" w:beforeAutospacing="0" w:after="0" w:afterAutospacing="0"/>
                    <w:jc w:val="center"/>
                    <w:outlineLvl w:val="0"/>
                    <w:rPr>
                      <w:rFonts w:hint="default" w:ascii="Times New Roman" w:hAnsi="Times New Roman"/>
                      <w:snapToGrid w:val="0"/>
                      <w:color w:val="auto"/>
                      <w:sz w:val="21"/>
                      <w:szCs w:val="24"/>
                      <w:lang w:val="en-US" w:eastAsia="zh-CN"/>
                    </w:rPr>
                  </w:pPr>
                  <w:r>
                    <w:rPr>
                      <w:rFonts w:hint="eastAsia" w:ascii="Times New Roman" w:hAnsi="Times New Roman"/>
                      <w:snapToGrid w:val="0"/>
                      <w:color w:val="auto"/>
                      <w:sz w:val="21"/>
                      <w:szCs w:val="24"/>
                      <w:lang w:val="en-US" w:eastAsia="zh-CN"/>
                    </w:rPr>
                    <w:t>3</w:t>
                  </w:r>
                </w:p>
              </w:tc>
              <w:tc>
                <w:tcPr>
                  <w:tcW w:w="452" w:type="dxa"/>
                  <w:vMerge w:val="continue"/>
                  <w:noWrap w:val="0"/>
                  <w:vAlign w:val="center"/>
                </w:tcPr>
                <w:p w14:paraId="7C37E9FE">
                  <w:pPr>
                    <w:pStyle w:val="14"/>
                    <w:spacing w:before="0" w:beforeAutospacing="0" w:after="0" w:afterAutospacing="0"/>
                    <w:jc w:val="center"/>
                    <w:outlineLvl w:val="0"/>
                    <w:rPr>
                      <w:rFonts w:hint="eastAsia" w:ascii="Times New Roman" w:hAnsi="Times New Roman"/>
                      <w:snapToGrid w:val="0"/>
                      <w:color w:val="auto"/>
                      <w:sz w:val="21"/>
                      <w:szCs w:val="24"/>
                    </w:rPr>
                  </w:pPr>
                </w:p>
              </w:tc>
              <w:tc>
                <w:tcPr>
                  <w:tcW w:w="1275" w:type="dxa"/>
                  <w:noWrap w:val="0"/>
                  <w:vAlign w:val="center"/>
                </w:tcPr>
                <w:p w14:paraId="77A74E40">
                  <w:pPr>
                    <w:pStyle w:val="14"/>
                    <w:keepNext w:val="0"/>
                    <w:keepLines w:val="0"/>
                    <w:suppressLineNumbers w:val="0"/>
                    <w:spacing w:before="0" w:beforeAutospacing="0" w:after="0" w:afterAutospacing="0"/>
                    <w:ind w:left="0" w:leftChars="0" w:right="0" w:rightChars="0"/>
                    <w:jc w:val="center"/>
                    <w:outlineLvl w:val="0"/>
                    <w:rPr>
                      <w:rFonts w:hint="default" w:ascii="Times New Roman" w:hAnsi="Times New Roman" w:eastAsia="宋体"/>
                      <w:snapToGrid w:val="0"/>
                      <w:color w:val="auto"/>
                      <w:kern w:val="0"/>
                      <w:sz w:val="21"/>
                      <w:szCs w:val="24"/>
                      <w:lang w:val="en-US" w:eastAsia="zh-CN" w:bidi="ar-SA"/>
                    </w:rPr>
                  </w:pPr>
                  <w:r>
                    <w:rPr>
                      <w:rFonts w:hint="eastAsia" w:ascii="Times New Roman" w:hAnsi="Times New Roman" w:eastAsia="宋体"/>
                      <w:snapToGrid w:val="0"/>
                      <w:color w:val="auto"/>
                      <w:sz w:val="21"/>
                      <w:szCs w:val="24"/>
                    </w:rPr>
                    <w:t>废润滑油</w:t>
                  </w:r>
                </w:p>
              </w:tc>
              <w:tc>
                <w:tcPr>
                  <w:tcW w:w="776" w:type="dxa"/>
                  <w:noWrap w:val="0"/>
                  <w:vAlign w:val="center"/>
                </w:tcPr>
                <w:p w14:paraId="115BF3D6">
                  <w:pPr>
                    <w:pStyle w:val="14"/>
                    <w:keepNext w:val="0"/>
                    <w:keepLines w:val="0"/>
                    <w:suppressLineNumbers w:val="0"/>
                    <w:spacing w:before="0" w:beforeAutospacing="0" w:after="0" w:afterAutospacing="0"/>
                    <w:ind w:left="0" w:leftChars="0" w:right="0" w:rightChars="0"/>
                    <w:jc w:val="center"/>
                    <w:outlineLvl w:val="0"/>
                    <w:rPr>
                      <w:rFonts w:hint="eastAsia" w:ascii="Times New Roman" w:hAnsi="Times New Roman" w:eastAsia="宋体"/>
                      <w:snapToGrid w:val="0"/>
                      <w:color w:val="auto"/>
                      <w:kern w:val="0"/>
                      <w:sz w:val="21"/>
                      <w:szCs w:val="24"/>
                      <w:lang w:val="en-US" w:eastAsia="zh-CN" w:bidi="ar-SA"/>
                    </w:rPr>
                  </w:pPr>
                  <w:r>
                    <w:rPr>
                      <w:rFonts w:hint="eastAsia" w:ascii="Times New Roman" w:hAnsi="Times New Roman" w:eastAsia="宋体"/>
                      <w:snapToGrid w:val="0"/>
                      <w:color w:val="auto"/>
                      <w:sz w:val="21"/>
                      <w:szCs w:val="24"/>
                    </w:rPr>
                    <w:t>HW08</w:t>
                  </w:r>
                </w:p>
              </w:tc>
              <w:tc>
                <w:tcPr>
                  <w:tcW w:w="1196" w:type="dxa"/>
                  <w:noWrap w:val="0"/>
                  <w:vAlign w:val="center"/>
                </w:tcPr>
                <w:p w14:paraId="0DCE29E7">
                  <w:pPr>
                    <w:pStyle w:val="14"/>
                    <w:keepNext w:val="0"/>
                    <w:keepLines w:val="0"/>
                    <w:suppressLineNumbers w:val="0"/>
                    <w:spacing w:before="0" w:beforeAutospacing="0" w:after="0" w:afterAutospacing="0"/>
                    <w:ind w:left="0" w:leftChars="0" w:right="0" w:rightChars="0"/>
                    <w:jc w:val="center"/>
                    <w:outlineLvl w:val="0"/>
                    <w:rPr>
                      <w:rFonts w:hint="eastAsia" w:ascii="Times New Roman" w:hAnsi="Times New Roman" w:eastAsia="宋体"/>
                      <w:snapToGrid w:val="0"/>
                      <w:color w:val="auto"/>
                      <w:kern w:val="0"/>
                      <w:sz w:val="21"/>
                      <w:szCs w:val="24"/>
                      <w:lang w:val="en-US" w:eastAsia="zh-CN" w:bidi="ar-SA"/>
                    </w:rPr>
                  </w:pPr>
                  <w:r>
                    <w:rPr>
                      <w:rFonts w:hint="eastAsia" w:ascii="Times New Roman" w:hAnsi="Times New Roman" w:eastAsia="宋体"/>
                      <w:snapToGrid w:val="0"/>
                      <w:color w:val="auto"/>
                      <w:sz w:val="21"/>
                      <w:szCs w:val="24"/>
                    </w:rPr>
                    <w:t>900-217-08</w:t>
                  </w:r>
                </w:p>
              </w:tc>
              <w:tc>
                <w:tcPr>
                  <w:tcW w:w="854" w:type="dxa"/>
                  <w:noWrap w:val="0"/>
                  <w:vAlign w:val="center"/>
                </w:tcPr>
                <w:p w14:paraId="3DAD246B">
                  <w:pPr>
                    <w:pStyle w:val="14"/>
                    <w:keepNext w:val="0"/>
                    <w:keepLines w:val="0"/>
                    <w:suppressLineNumbers w:val="0"/>
                    <w:spacing w:before="0" w:beforeAutospacing="0" w:after="0" w:afterAutospacing="0"/>
                    <w:ind w:left="0" w:leftChars="0" w:right="0" w:rightChars="0"/>
                    <w:jc w:val="center"/>
                    <w:outlineLvl w:val="0"/>
                    <w:rPr>
                      <w:rFonts w:hint="eastAsia" w:ascii="Times New Roman" w:hAnsi="Times New Roman" w:eastAsia="宋体"/>
                      <w:snapToGrid w:val="0"/>
                      <w:color w:val="auto"/>
                      <w:kern w:val="0"/>
                      <w:sz w:val="21"/>
                      <w:szCs w:val="24"/>
                      <w:lang w:val="en-US" w:eastAsia="zh-CN" w:bidi="ar-SA"/>
                    </w:rPr>
                  </w:pPr>
                  <w:r>
                    <w:rPr>
                      <w:rFonts w:hint="eastAsia" w:ascii="Times New Roman" w:hAnsi="Times New Roman" w:eastAsia="宋体"/>
                      <w:snapToGrid w:val="0"/>
                      <w:color w:val="auto"/>
                      <w:sz w:val="21"/>
                      <w:szCs w:val="24"/>
                    </w:rPr>
                    <w:t>桶装</w:t>
                  </w:r>
                </w:p>
              </w:tc>
              <w:tc>
                <w:tcPr>
                  <w:tcW w:w="613" w:type="dxa"/>
                  <w:vMerge w:val="continue"/>
                  <w:noWrap w:val="0"/>
                  <w:vAlign w:val="center"/>
                </w:tcPr>
                <w:p w14:paraId="43B12172">
                  <w:pPr>
                    <w:pStyle w:val="14"/>
                    <w:spacing w:before="0" w:beforeAutospacing="0" w:after="0" w:afterAutospacing="0"/>
                    <w:jc w:val="center"/>
                    <w:outlineLvl w:val="0"/>
                    <w:rPr>
                      <w:rFonts w:hint="eastAsia" w:ascii="Times New Roman" w:hAnsi="Times New Roman"/>
                      <w:snapToGrid w:val="0"/>
                      <w:color w:val="auto"/>
                      <w:sz w:val="21"/>
                      <w:szCs w:val="24"/>
                      <w:lang w:val="en-US" w:eastAsia="zh-CN"/>
                    </w:rPr>
                  </w:pPr>
                </w:p>
              </w:tc>
              <w:tc>
                <w:tcPr>
                  <w:tcW w:w="822" w:type="dxa"/>
                  <w:vMerge w:val="continue"/>
                  <w:noWrap w:val="0"/>
                  <w:vAlign w:val="center"/>
                </w:tcPr>
                <w:p w14:paraId="17795C20">
                  <w:pPr>
                    <w:pStyle w:val="14"/>
                    <w:spacing w:before="0" w:beforeAutospacing="0" w:after="0" w:afterAutospacing="0"/>
                    <w:jc w:val="center"/>
                    <w:outlineLvl w:val="0"/>
                    <w:rPr>
                      <w:rFonts w:hint="eastAsia" w:ascii="Times New Roman" w:hAnsi="Times New Roman"/>
                      <w:snapToGrid w:val="0"/>
                      <w:color w:val="auto"/>
                      <w:sz w:val="21"/>
                      <w:szCs w:val="24"/>
                      <w:lang w:val="en-US" w:eastAsia="zh-CN"/>
                    </w:rPr>
                  </w:pPr>
                </w:p>
              </w:tc>
              <w:tc>
                <w:tcPr>
                  <w:tcW w:w="684" w:type="dxa"/>
                  <w:vMerge w:val="continue"/>
                  <w:noWrap w:val="0"/>
                  <w:vAlign w:val="center"/>
                </w:tcPr>
                <w:p w14:paraId="09D7856D">
                  <w:pPr>
                    <w:pStyle w:val="14"/>
                    <w:spacing w:before="0" w:beforeAutospacing="0" w:after="0" w:afterAutospacing="0"/>
                    <w:jc w:val="center"/>
                    <w:outlineLvl w:val="0"/>
                    <w:rPr>
                      <w:rFonts w:hint="eastAsia" w:ascii="Times New Roman" w:hAnsi="Times New Roman"/>
                      <w:snapToGrid w:val="0"/>
                      <w:color w:val="auto"/>
                      <w:sz w:val="21"/>
                      <w:szCs w:val="24"/>
                    </w:rPr>
                  </w:pPr>
                </w:p>
              </w:tc>
              <w:tc>
                <w:tcPr>
                  <w:tcW w:w="775" w:type="dxa"/>
                  <w:vMerge w:val="continue"/>
                  <w:noWrap w:val="0"/>
                  <w:vAlign w:val="center"/>
                </w:tcPr>
                <w:p w14:paraId="34759076">
                  <w:pPr>
                    <w:pStyle w:val="14"/>
                    <w:spacing w:before="0" w:beforeAutospacing="0" w:after="0" w:afterAutospacing="0"/>
                    <w:jc w:val="center"/>
                    <w:outlineLvl w:val="0"/>
                    <w:rPr>
                      <w:rFonts w:hint="eastAsia" w:ascii="Times New Roman" w:hAnsi="Times New Roman"/>
                      <w:snapToGrid w:val="0"/>
                      <w:color w:val="auto"/>
                      <w:sz w:val="21"/>
                      <w:szCs w:val="24"/>
                      <w:lang w:val="en-US" w:eastAsia="zh-CN"/>
                    </w:rPr>
                  </w:pPr>
                </w:p>
              </w:tc>
            </w:tr>
            <w:tr w14:paraId="3BAAE615">
              <w:trPr>
                <w:trHeight w:val="547" w:hRule="exact"/>
              </w:trPr>
              <w:tc>
                <w:tcPr>
                  <w:tcW w:w="426" w:type="dxa"/>
                  <w:noWrap w:val="0"/>
                  <w:vAlign w:val="center"/>
                </w:tcPr>
                <w:p w14:paraId="31870A2E">
                  <w:pPr>
                    <w:pStyle w:val="14"/>
                    <w:spacing w:before="0" w:beforeAutospacing="0" w:after="0" w:afterAutospacing="0"/>
                    <w:jc w:val="center"/>
                    <w:outlineLvl w:val="0"/>
                    <w:rPr>
                      <w:rFonts w:hint="default" w:ascii="Times New Roman" w:hAnsi="Times New Roman" w:eastAsia="宋体"/>
                      <w:snapToGrid w:val="0"/>
                      <w:color w:val="auto"/>
                      <w:sz w:val="21"/>
                      <w:szCs w:val="24"/>
                      <w:lang w:val="en-US" w:eastAsia="zh-CN"/>
                    </w:rPr>
                  </w:pPr>
                  <w:r>
                    <w:rPr>
                      <w:rFonts w:hint="eastAsia" w:ascii="Times New Roman" w:hAnsi="Times New Roman"/>
                      <w:snapToGrid w:val="0"/>
                      <w:color w:val="auto"/>
                      <w:sz w:val="21"/>
                      <w:szCs w:val="24"/>
                      <w:lang w:val="en-US" w:eastAsia="zh-CN"/>
                    </w:rPr>
                    <w:t>4</w:t>
                  </w:r>
                </w:p>
              </w:tc>
              <w:tc>
                <w:tcPr>
                  <w:tcW w:w="452" w:type="dxa"/>
                  <w:vMerge w:val="continue"/>
                  <w:noWrap w:val="0"/>
                  <w:vAlign w:val="center"/>
                </w:tcPr>
                <w:p w14:paraId="4996B474">
                  <w:pPr>
                    <w:pStyle w:val="14"/>
                    <w:spacing w:before="0" w:beforeAutospacing="0" w:after="0" w:afterAutospacing="0"/>
                    <w:jc w:val="center"/>
                    <w:outlineLvl w:val="0"/>
                    <w:rPr>
                      <w:rFonts w:hint="eastAsia" w:ascii="Times New Roman" w:hAnsi="Times New Roman"/>
                      <w:snapToGrid w:val="0"/>
                      <w:color w:val="auto"/>
                      <w:sz w:val="21"/>
                      <w:szCs w:val="24"/>
                    </w:rPr>
                  </w:pPr>
                </w:p>
              </w:tc>
              <w:tc>
                <w:tcPr>
                  <w:tcW w:w="1275" w:type="dxa"/>
                  <w:noWrap w:val="0"/>
                  <w:vAlign w:val="center"/>
                </w:tcPr>
                <w:p w14:paraId="3AD653EE">
                  <w:pPr>
                    <w:pStyle w:val="14"/>
                    <w:spacing w:before="0" w:beforeAutospacing="0" w:after="0" w:afterAutospacing="0"/>
                    <w:jc w:val="center"/>
                    <w:outlineLvl w:val="0"/>
                    <w:rPr>
                      <w:rFonts w:hint="default" w:ascii="Times New Roman" w:hAnsi="Times New Roman" w:eastAsia="宋体"/>
                      <w:snapToGrid w:val="0"/>
                      <w:color w:val="auto"/>
                      <w:sz w:val="21"/>
                      <w:szCs w:val="24"/>
                      <w:lang w:val="en-US" w:eastAsia="zh-CN"/>
                    </w:rPr>
                  </w:pPr>
                  <w:r>
                    <w:rPr>
                      <w:rFonts w:hint="eastAsia" w:ascii="Times New Roman" w:hAnsi="Times New Roman"/>
                      <w:snapToGrid w:val="0"/>
                      <w:color w:val="auto"/>
                      <w:sz w:val="21"/>
                      <w:szCs w:val="24"/>
                      <w:lang w:val="en-US" w:eastAsia="zh-CN"/>
                    </w:rPr>
                    <w:t>废劳保用品</w:t>
                  </w:r>
                </w:p>
              </w:tc>
              <w:tc>
                <w:tcPr>
                  <w:tcW w:w="776" w:type="dxa"/>
                  <w:noWrap w:val="0"/>
                  <w:vAlign w:val="center"/>
                </w:tcPr>
                <w:p w14:paraId="1AA43663">
                  <w:pPr>
                    <w:adjustRightInd w:val="0"/>
                    <w:snapToGrid w:val="0"/>
                    <w:jc w:val="center"/>
                    <w:rPr>
                      <w:rFonts w:hint="eastAsia" w:eastAsia="宋体"/>
                      <w:color w:val="auto"/>
                      <w:spacing w:val="-11"/>
                      <w:kern w:val="2"/>
                      <w:sz w:val="21"/>
                      <w:szCs w:val="18"/>
                      <w:lang w:val="en-US" w:eastAsia="zh-CN" w:bidi="ar-SA"/>
                    </w:rPr>
                  </w:pPr>
                  <w:r>
                    <w:rPr>
                      <w:rFonts w:hint="eastAsia" w:ascii="Times New Roman" w:hAnsi="Times New Roman" w:eastAsia="宋体"/>
                      <w:color w:val="auto"/>
                      <w:spacing w:val="-11"/>
                      <w:sz w:val="21"/>
                      <w:szCs w:val="18"/>
                    </w:rPr>
                    <w:t>HW49</w:t>
                  </w:r>
                </w:p>
              </w:tc>
              <w:tc>
                <w:tcPr>
                  <w:tcW w:w="1196" w:type="dxa"/>
                  <w:noWrap w:val="0"/>
                  <w:vAlign w:val="center"/>
                </w:tcPr>
                <w:p w14:paraId="6A9238D8">
                  <w:pPr>
                    <w:adjustRightInd w:val="0"/>
                    <w:snapToGrid w:val="0"/>
                    <w:jc w:val="center"/>
                    <w:rPr>
                      <w:rFonts w:hint="eastAsia" w:eastAsia="宋体"/>
                      <w:color w:val="auto"/>
                      <w:spacing w:val="-11"/>
                      <w:kern w:val="2"/>
                      <w:sz w:val="21"/>
                      <w:szCs w:val="18"/>
                      <w:lang w:val="en-US" w:eastAsia="zh-CN" w:bidi="ar-SA"/>
                    </w:rPr>
                  </w:pPr>
                  <w:r>
                    <w:rPr>
                      <w:rFonts w:hint="eastAsia" w:ascii="Times New Roman" w:hAnsi="Times New Roman" w:eastAsia="宋体" w:cs="Times New Roman"/>
                      <w:color w:val="auto"/>
                      <w:sz w:val="21"/>
                      <w:szCs w:val="18"/>
                      <w:lang w:val="en-US" w:eastAsia="zh-CN"/>
                    </w:rPr>
                    <w:t>900-041-49</w:t>
                  </w:r>
                </w:p>
              </w:tc>
              <w:tc>
                <w:tcPr>
                  <w:tcW w:w="854" w:type="dxa"/>
                  <w:noWrap w:val="0"/>
                  <w:vAlign w:val="center"/>
                </w:tcPr>
                <w:p w14:paraId="093FC96C">
                  <w:pPr>
                    <w:pStyle w:val="14"/>
                    <w:spacing w:before="0" w:beforeAutospacing="0" w:after="0" w:afterAutospacing="0"/>
                    <w:jc w:val="center"/>
                    <w:outlineLvl w:val="0"/>
                    <w:rPr>
                      <w:rFonts w:hint="eastAsia" w:ascii="Times New Roman" w:hAnsi="Times New Roman" w:eastAsia="宋体"/>
                      <w:snapToGrid w:val="0"/>
                      <w:color w:val="auto"/>
                      <w:sz w:val="21"/>
                      <w:szCs w:val="24"/>
                      <w:lang w:val="en-US" w:eastAsia="zh-CN"/>
                    </w:rPr>
                  </w:pPr>
                  <w:r>
                    <w:rPr>
                      <w:rFonts w:hint="eastAsia" w:ascii="Times New Roman" w:hAnsi="Times New Roman"/>
                      <w:snapToGrid w:val="0"/>
                      <w:color w:val="auto"/>
                      <w:sz w:val="21"/>
                      <w:szCs w:val="24"/>
                      <w:lang w:val="en-US" w:eastAsia="zh-CN"/>
                    </w:rPr>
                    <w:t>袋装</w:t>
                  </w:r>
                </w:p>
              </w:tc>
              <w:tc>
                <w:tcPr>
                  <w:tcW w:w="613" w:type="dxa"/>
                  <w:vMerge w:val="continue"/>
                  <w:noWrap w:val="0"/>
                  <w:vAlign w:val="center"/>
                </w:tcPr>
                <w:p w14:paraId="1117D337">
                  <w:pPr>
                    <w:pStyle w:val="14"/>
                    <w:spacing w:before="0" w:beforeAutospacing="0" w:after="0" w:afterAutospacing="0"/>
                    <w:jc w:val="center"/>
                    <w:outlineLvl w:val="0"/>
                    <w:rPr>
                      <w:rFonts w:hint="eastAsia" w:ascii="Times New Roman" w:hAnsi="Times New Roman"/>
                      <w:snapToGrid w:val="0"/>
                      <w:color w:val="auto"/>
                      <w:sz w:val="21"/>
                      <w:szCs w:val="24"/>
                    </w:rPr>
                  </w:pPr>
                </w:p>
              </w:tc>
              <w:tc>
                <w:tcPr>
                  <w:tcW w:w="822" w:type="dxa"/>
                  <w:vMerge w:val="continue"/>
                  <w:noWrap w:val="0"/>
                  <w:vAlign w:val="center"/>
                </w:tcPr>
                <w:p w14:paraId="462881C7">
                  <w:pPr>
                    <w:pStyle w:val="14"/>
                    <w:spacing w:before="0" w:beforeAutospacing="0" w:after="0" w:afterAutospacing="0"/>
                    <w:jc w:val="center"/>
                    <w:outlineLvl w:val="0"/>
                    <w:rPr>
                      <w:rFonts w:hint="eastAsia" w:ascii="Times New Roman" w:hAnsi="Times New Roman"/>
                      <w:snapToGrid w:val="0"/>
                      <w:color w:val="auto"/>
                      <w:sz w:val="21"/>
                      <w:szCs w:val="24"/>
                    </w:rPr>
                  </w:pPr>
                </w:p>
              </w:tc>
              <w:tc>
                <w:tcPr>
                  <w:tcW w:w="684" w:type="dxa"/>
                  <w:vMerge w:val="continue"/>
                  <w:noWrap w:val="0"/>
                  <w:vAlign w:val="center"/>
                </w:tcPr>
                <w:p w14:paraId="48BCD14E">
                  <w:pPr>
                    <w:pStyle w:val="14"/>
                    <w:spacing w:before="0" w:beforeAutospacing="0" w:after="0" w:afterAutospacing="0"/>
                    <w:jc w:val="center"/>
                    <w:outlineLvl w:val="0"/>
                    <w:rPr>
                      <w:rFonts w:hint="eastAsia" w:ascii="Times New Roman" w:hAnsi="Times New Roman"/>
                      <w:snapToGrid w:val="0"/>
                      <w:color w:val="auto"/>
                      <w:sz w:val="21"/>
                      <w:szCs w:val="24"/>
                    </w:rPr>
                  </w:pPr>
                </w:p>
              </w:tc>
              <w:tc>
                <w:tcPr>
                  <w:tcW w:w="775" w:type="dxa"/>
                  <w:vMerge w:val="continue"/>
                  <w:noWrap w:val="0"/>
                  <w:vAlign w:val="center"/>
                </w:tcPr>
                <w:p w14:paraId="24D43971">
                  <w:pPr>
                    <w:pStyle w:val="14"/>
                    <w:spacing w:before="0" w:beforeAutospacing="0" w:after="0" w:afterAutospacing="0"/>
                    <w:jc w:val="center"/>
                    <w:outlineLvl w:val="0"/>
                    <w:rPr>
                      <w:rFonts w:hint="eastAsia" w:ascii="Times New Roman" w:hAnsi="Times New Roman"/>
                      <w:snapToGrid w:val="0"/>
                      <w:color w:val="auto"/>
                      <w:sz w:val="21"/>
                      <w:szCs w:val="24"/>
                    </w:rPr>
                  </w:pPr>
                </w:p>
              </w:tc>
            </w:tr>
            <w:tr w14:paraId="45C7D915">
              <w:trPr>
                <w:trHeight w:val="675" w:hRule="exact"/>
              </w:trPr>
              <w:tc>
                <w:tcPr>
                  <w:tcW w:w="426" w:type="dxa"/>
                  <w:noWrap w:val="0"/>
                  <w:vAlign w:val="center"/>
                </w:tcPr>
                <w:p w14:paraId="2718FC7C">
                  <w:pPr>
                    <w:pStyle w:val="14"/>
                    <w:spacing w:before="0" w:beforeAutospacing="0" w:after="0" w:afterAutospacing="0"/>
                    <w:jc w:val="center"/>
                    <w:outlineLvl w:val="0"/>
                    <w:rPr>
                      <w:rFonts w:hint="default" w:ascii="Times New Roman" w:hAnsi="Times New Roman" w:eastAsia="宋体"/>
                      <w:snapToGrid w:val="0"/>
                      <w:color w:val="auto"/>
                      <w:sz w:val="21"/>
                      <w:szCs w:val="24"/>
                      <w:lang w:val="en-US" w:eastAsia="zh-CN"/>
                    </w:rPr>
                  </w:pPr>
                  <w:r>
                    <w:rPr>
                      <w:rFonts w:hint="eastAsia" w:ascii="Times New Roman" w:hAnsi="Times New Roman"/>
                      <w:snapToGrid w:val="0"/>
                      <w:color w:val="auto"/>
                      <w:sz w:val="21"/>
                      <w:szCs w:val="24"/>
                      <w:lang w:val="en-US" w:eastAsia="zh-CN"/>
                    </w:rPr>
                    <w:t>5</w:t>
                  </w:r>
                </w:p>
              </w:tc>
              <w:tc>
                <w:tcPr>
                  <w:tcW w:w="452" w:type="dxa"/>
                  <w:vMerge w:val="continue"/>
                  <w:noWrap w:val="0"/>
                  <w:vAlign w:val="center"/>
                </w:tcPr>
                <w:p w14:paraId="37C5C845">
                  <w:pPr>
                    <w:pStyle w:val="14"/>
                    <w:spacing w:before="0" w:beforeAutospacing="0" w:after="0" w:afterAutospacing="0"/>
                    <w:jc w:val="center"/>
                    <w:outlineLvl w:val="0"/>
                    <w:rPr>
                      <w:rFonts w:hint="eastAsia" w:ascii="Times New Roman" w:hAnsi="Times New Roman"/>
                      <w:snapToGrid w:val="0"/>
                      <w:color w:val="auto"/>
                      <w:sz w:val="21"/>
                      <w:szCs w:val="24"/>
                    </w:rPr>
                  </w:pPr>
                </w:p>
              </w:tc>
              <w:tc>
                <w:tcPr>
                  <w:tcW w:w="1275" w:type="dxa"/>
                  <w:noWrap w:val="0"/>
                  <w:vAlign w:val="center"/>
                </w:tcPr>
                <w:p w14:paraId="1DE9A3B9">
                  <w:pPr>
                    <w:pStyle w:val="14"/>
                    <w:spacing w:before="0" w:beforeAutospacing="0" w:after="0" w:afterAutospacing="0"/>
                    <w:jc w:val="center"/>
                    <w:outlineLvl w:val="0"/>
                    <w:rPr>
                      <w:rFonts w:hint="default" w:ascii="Times New Roman" w:hAnsi="Times New Roman"/>
                      <w:snapToGrid w:val="0"/>
                      <w:color w:val="auto"/>
                      <w:sz w:val="21"/>
                      <w:szCs w:val="24"/>
                      <w:lang w:val="en-US" w:eastAsia="zh-CN"/>
                    </w:rPr>
                  </w:pPr>
                  <w:r>
                    <w:rPr>
                      <w:rFonts w:hint="eastAsia" w:ascii="Times New Roman" w:hAnsi="Times New Roman"/>
                      <w:snapToGrid w:val="0"/>
                      <w:color w:val="auto"/>
                      <w:sz w:val="21"/>
                      <w:szCs w:val="24"/>
                      <w:lang w:val="en-US" w:eastAsia="zh-CN"/>
                    </w:rPr>
                    <w:t>化学品包装材料</w:t>
                  </w:r>
                </w:p>
              </w:tc>
              <w:tc>
                <w:tcPr>
                  <w:tcW w:w="776" w:type="dxa"/>
                  <w:noWrap w:val="0"/>
                  <w:vAlign w:val="center"/>
                </w:tcPr>
                <w:p w14:paraId="098DCC1C">
                  <w:pPr>
                    <w:pStyle w:val="36"/>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olor w:val="auto"/>
                      <w:spacing w:val="-11"/>
                      <w:sz w:val="21"/>
                      <w:szCs w:val="18"/>
                      <w:lang w:val="en-US" w:eastAsia="zh-CN"/>
                    </w:rPr>
                  </w:pPr>
                  <w:r>
                    <w:rPr>
                      <w:rFonts w:hint="eastAsia" w:ascii="Times New Roman" w:hAnsi="Times New Roman"/>
                      <w:color w:val="auto"/>
                      <w:sz w:val="21"/>
                    </w:rPr>
                    <w:t>HW49</w:t>
                  </w:r>
                </w:p>
              </w:tc>
              <w:tc>
                <w:tcPr>
                  <w:tcW w:w="1196" w:type="dxa"/>
                  <w:noWrap w:val="0"/>
                  <w:vAlign w:val="center"/>
                </w:tcPr>
                <w:p w14:paraId="0BD638FD">
                  <w:pPr>
                    <w:pStyle w:val="36"/>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18"/>
                      <w:lang w:val="en-US" w:eastAsia="zh-CN"/>
                    </w:rPr>
                  </w:pPr>
                  <w:r>
                    <w:rPr>
                      <w:rFonts w:hint="eastAsia" w:ascii="Times New Roman" w:hAnsi="Times New Roman"/>
                      <w:color w:val="auto"/>
                      <w:sz w:val="21"/>
                    </w:rPr>
                    <w:t>900-041-49</w:t>
                  </w:r>
                </w:p>
              </w:tc>
              <w:tc>
                <w:tcPr>
                  <w:tcW w:w="854" w:type="dxa"/>
                  <w:noWrap w:val="0"/>
                  <w:vAlign w:val="center"/>
                </w:tcPr>
                <w:p w14:paraId="27AA54F7">
                  <w:pPr>
                    <w:pStyle w:val="14"/>
                    <w:spacing w:before="0" w:beforeAutospacing="0" w:after="0" w:afterAutospacing="0"/>
                    <w:jc w:val="center"/>
                    <w:outlineLvl w:val="0"/>
                    <w:rPr>
                      <w:rFonts w:hint="default" w:ascii="Times New Roman" w:hAnsi="Times New Roman"/>
                      <w:snapToGrid w:val="0"/>
                      <w:color w:val="auto"/>
                      <w:sz w:val="21"/>
                      <w:szCs w:val="24"/>
                      <w:lang w:val="en-US" w:eastAsia="zh-CN"/>
                    </w:rPr>
                  </w:pPr>
                  <w:r>
                    <w:rPr>
                      <w:rFonts w:hint="eastAsia" w:ascii="Times New Roman" w:hAnsi="Times New Roman"/>
                      <w:snapToGrid w:val="0"/>
                      <w:color w:val="auto"/>
                      <w:sz w:val="21"/>
                      <w:szCs w:val="24"/>
                      <w:lang w:val="en-US" w:eastAsia="zh-CN"/>
                    </w:rPr>
                    <w:t>袋装</w:t>
                  </w:r>
                </w:p>
              </w:tc>
              <w:tc>
                <w:tcPr>
                  <w:tcW w:w="613" w:type="dxa"/>
                  <w:vMerge w:val="continue"/>
                  <w:noWrap w:val="0"/>
                  <w:vAlign w:val="center"/>
                </w:tcPr>
                <w:p w14:paraId="47CA0DCA">
                  <w:pPr>
                    <w:pStyle w:val="14"/>
                    <w:spacing w:before="0" w:beforeAutospacing="0" w:after="0" w:afterAutospacing="0"/>
                    <w:jc w:val="center"/>
                    <w:outlineLvl w:val="0"/>
                    <w:rPr>
                      <w:rFonts w:hint="eastAsia" w:ascii="Times New Roman" w:hAnsi="Times New Roman"/>
                      <w:snapToGrid w:val="0"/>
                      <w:color w:val="auto"/>
                      <w:sz w:val="21"/>
                      <w:szCs w:val="24"/>
                    </w:rPr>
                  </w:pPr>
                </w:p>
              </w:tc>
              <w:tc>
                <w:tcPr>
                  <w:tcW w:w="822" w:type="dxa"/>
                  <w:vMerge w:val="continue"/>
                  <w:noWrap w:val="0"/>
                  <w:vAlign w:val="center"/>
                </w:tcPr>
                <w:p w14:paraId="512B09A0">
                  <w:pPr>
                    <w:pStyle w:val="14"/>
                    <w:spacing w:before="0" w:beforeAutospacing="0" w:after="0" w:afterAutospacing="0"/>
                    <w:jc w:val="center"/>
                    <w:outlineLvl w:val="0"/>
                    <w:rPr>
                      <w:rFonts w:hint="eastAsia" w:ascii="Times New Roman" w:hAnsi="Times New Roman"/>
                      <w:snapToGrid w:val="0"/>
                      <w:color w:val="auto"/>
                      <w:sz w:val="21"/>
                      <w:szCs w:val="24"/>
                    </w:rPr>
                  </w:pPr>
                </w:p>
              </w:tc>
              <w:tc>
                <w:tcPr>
                  <w:tcW w:w="684" w:type="dxa"/>
                  <w:vMerge w:val="continue"/>
                  <w:noWrap w:val="0"/>
                  <w:vAlign w:val="center"/>
                </w:tcPr>
                <w:p w14:paraId="01E8DA1C">
                  <w:pPr>
                    <w:pStyle w:val="14"/>
                    <w:spacing w:before="0" w:beforeAutospacing="0" w:after="0" w:afterAutospacing="0"/>
                    <w:jc w:val="center"/>
                    <w:outlineLvl w:val="0"/>
                    <w:rPr>
                      <w:rFonts w:hint="eastAsia" w:ascii="Times New Roman" w:hAnsi="Times New Roman"/>
                      <w:snapToGrid w:val="0"/>
                      <w:color w:val="auto"/>
                      <w:sz w:val="21"/>
                      <w:szCs w:val="24"/>
                    </w:rPr>
                  </w:pPr>
                </w:p>
              </w:tc>
              <w:tc>
                <w:tcPr>
                  <w:tcW w:w="775" w:type="dxa"/>
                  <w:vMerge w:val="continue"/>
                  <w:noWrap w:val="0"/>
                  <w:vAlign w:val="center"/>
                </w:tcPr>
                <w:p w14:paraId="01CE5FC3">
                  <w:pPr>
                    <w:pStyle w:val="14"/>
                    <w:spacing w:before="0" w:beforeAutospacing="0" w:after="0" w:afterAutospacing="0"/>
                    <w:jc w:val="center"/>
                    <w:outlineLvl w:val="0"/>
                    <w:rPr>
                      <w:rFonts w:hint="eastAsia" w:ascii="Times New Roman" w:hAnsi="Times New Roman"/>
                      <w:snapToGrid w:val="0"/>
                      <w:color w:val="auto"/>
                      <w:sz w:val="21"/>
                      <w:szCs w:val="24"/>
                    </w:rPr>
                  </w:pPr>
                </w:p>
              </w:tc>
            </w:tr>
          </w:tbl>
          <w:p w14:paraId="49979B26">
            <w:pPr>
              <w:pStyle w:val="14"/>
              <w:keepNext w:val="0"/>
              <w:keepLines w:val="0"/>
              <w:pageBreakBefore w:val="0"/>
              <w:kinsoku/>
              <w:wordWrap/>
              <w:overflowPunct/>
              <w:topLinePunct w:val="0"/>
              <w:autoSpaceDE/>
              <w:autoSpaceDN/>
              <w:bidi w:val="0"/>
              <w:spacing w:before="0" w:beforeAutospacing="0" w:after="0" w:afterAutospacing="0" w:line="360" w:lineRule="auto"/>
              <w:ind w:firstLine="480" w:firstLineChars="200"/>
              <w:outlineLvl w:val="0"/>
              <w:rPr>
                <w:rFonts w:ascii="Times New Roman" w:hAnsi="Times New Roman"/>
                <w:snapToGrid w:val="0"/>
                <w:color w:val="auto"/>
                <w:szCs w:val="24"/>
              </w:rPr>
            </w:pPr>
            <w:r>
              <w:rPr>
                <w:rFonts w:ascii="Times New Roman" w:hAnsi="Times New Roman"/>
                <w:snapToGrid w:val="0"/>
                <w:color w:val="auto"/>
                <w:szCs w:val="24"/>
              </w:rPr>
              <w:t>本项目</w:t>
            </w:r>
            <w:r>
              <w:rPr>
                <w:rFonts w:hint="eastAsia" w:ascii="Times New Roman" w:hAnsi="Times New Roman"/>
                <w:snapToGrid w:val="0"/>
                <w:color w:val="auto"/>
                <w:szCs w:val="24"/>
                <w:lang w:eastAsia="zh-CN"/>
              </w:rPr>
              <w:t>危废库</w:t>
            </w:r>
            <w:r>
              <w:rPr>
                <w:rFonts w:ascii="Times New Roman" w:hAnsi="Times New Roman"/>
                <w:snapToGrid w:val="0"/>
                <w:color w:val="auto"/>
                <w:szCs w:val="24"/>
              </w:rPr>
              <w:t>面积为</w:t>
            </w:r>
            <w:r>
              <w:rPr>
                <w:rFonts w:hint="eastAsia" w:ascii="Times New Roman" w:hAnsi="Times New Roman"/>
                <w:snapToGrid w:val="0"/>
                <w:color w:val="auto"/>
                <w:szCs w:val="24"/>
                <w:lang w:val="en-US" w:eastAsia="zh-CN"/>
              </w:rPr>
              <w:t>50</w:t>
            </w:r>
            <w:r>
              <w:rPr>
                <w:rFonts w:ascii="Times New Roman" w:hAnsi="Times New Roman"/>
                <w:snapToGrid w:val="0"/>
                <w:color w:val="auto"/>
                <w:szCs w:val="24"/>
              </w:rPr>
              <w:t>m</w:t>
            </w:r>
            <w:r>
              <w:rPr>
                <w:rFonts w:ascii="Times New Roman" w:hAnsi="Times New Roman"/>
                <w:snapToGrid w:val="0"/>
                <w:color w:val="auto"/>
                <w:szCs w:val="24"/>
                <w:vertAlign w:val="superscript"/>
              </w:rPr>
              <w:t>2</w:t>
            </w:r>
            <w:r>
              <w:rPr>
                <w:rFonts w:ascii="Times New Roman" w:hAnsi="Times New Roman"/>
                <w:snapToGrid w:val="0"/>
                <w:color w:val="auto"/>
                <w:szCs w:val="24"/>
              </w:rPr>
              <w:t>，设计危险废物的最大堆放高度取1.0m，所堆放危险废物的平均密度取1.0g/cm</w:t>
            </w:r>
            <w:r>
              <w:rPr>
                <w:rFonts w:ascii="Times New Roman" w:hAnsi="Times New Roman"/>
                <w:snapToGrid w:val="0"/>
                <w:color w:val="auto"/>
                <w:szCs w:val="24"/>
                <w:vertAlign w:val="superscript"/>
              </w:rPr>
              <w:t>3</w:t>
            </w:r>
            <w:r>
              <w:rPr>
                <w:rFonts w:ascii="Times New Roman" w:hAnsi="Times New Roman"/>
                <w:snapToGrid w:val="0"/>
                <w:color w:val="auto"/>
                <w:szCs w:val="24"/>
              </w:rPr>
              <w:t>，经计算，</w:t>
            </w:r>
            <w:r>
              <w:rPr>
                <w:rFonts w:hint="eastAsia" w:ascii="Times New Roman" w:hAnsi="Times New Roman"/>
                <w:snapToGrid w:val="0"/>
                <w:color w:val="auto"/>
                <w:szCs w:val="24"/>
                <w:lang w:eastAsia="zh-CN"/>
              </w:rPr>
              <w:t>项目危废库</w:t>
            </w:r>
            <w:r>
              <w:rPr>
                <w:rFonts w:ascii="Times New Roman" w:hAnsi="Times New Roman"/>
                <w:snapToGrid w:val="0"/>
                <w:color w:val="auto"/>
                <w:szCs w:val="24"/>
              </w:rPr>
              <w:t>最大储存量为</w:t>
            </w:r>
            <w:r>
              <w:rPr>
                <w:rFonts w:hint="eastAsia" w:ascii="Times New Roman" w:hAnsi="Times New Roman"/>
                <w:snapToGrid w:val="0"/>
                <w:color w:val="auto"/>
                <w:szCs w:val="24"/>
                <w:lang w:val="en-US" w:eastAsia="zh-CN"/>
              </w:rPr>
              <w:t>7.9</w:t>
            </w:r>
            <w:r>
              <w:rPr>
                <w:rFonts w:ascii="Times New Roman" w:hAnsi="Times New Roman"/>
                <w:snapToGrid w:val="0"/>
                <w:color w:val="auto"/>
                <w:szCs w:val="24"/>
              </w:rPr>
              <w:t>t，</w:t>
            </w:r>
            <w:r>
              <w:rPr>
                <w:rFonts w:hint="eastAsia" w:ascii="Times New Roman" w:hAnsi="Times New Roman"/>
                <w:snapToGrid w:val="0"/>
                <w:color w:val="auto"/>
                <w:szCs w:val="24"/>
                <w:lang w:eastAsia="zh-CN"/>
              </w:rPr>
              <w:t>项目</w:t>
            </w:r>
            <w:r>
              <w:rPr>
                <w:rFonts w:ascii="Times New Roman" w:hAnsi="Times New Roman"/>
                <w:snapToGrid w:val="0"/>
                <w:color w:val="auto"/>
                <w:szCs w:val="24"/>
              </w:rPr>
              <w:t>危废最大产生量约为</w:t>
            </w:r>
            <w:r>
              <w:rPr>
                <w:rFonts w:hint="eastAsia" w:ascii="Times New Roman" w:hAnsi="Times New Roman"/>
                <w:snapToGrid w:val="0"/>
                <w:color w:val="auto"/>
                <w:szCs w:val="24"/>
                <w:lang w:val="en-US" w:eastAsia="zh-CN"/>
              </w:rPr>
              <w:t>7.9</w:t>
            </w:r>
            <w:r>
              <w:rPr>
                <w:rFonts w:ascii="Times New Roman" w:hAnsi="Times New Roman"/>
                <w:snapToGrid w:val="0"/>
                <w:color w:val="auto"/>
                <w:szCs w:val="24"/>
              </w:rPr>
              <w:t>t/a，</w:t>
            </w:r>
            <w:r>
              <w:rPr>
                <w:rFonts w:hint="eastAsia" w:ascii="Times New Roman" w:hAnsi="Times New Roman"/>
                <w:snapToGrid w:val="0"/>
                <w:color w:val="auto"/>
                <w:szCs w:val="24"/>
                <w:lang w:val="en-US" w:eastAsia="zh-CN"/>
              </w:rPr>
              <w:t>12个月清运一次</w:t>
            </w:r>
            <w:r>
              <w:rPr>
                <w:rFonts w:ascii="Times New Roman" w:hAnsi="Times New Roman"/>
                <w:snapToGrid w:val="0"/>
                <w:color w:val="auto"/>
                <w:szCs w:val="24"/>
              </w:rPr>
              <w:t>可满足</w:t>
            </w:r>
            <w:r>
              <w:rPr>
                <w:rFonts w:hint="eastAsia" w:ascii="Times New Roman" w:hAnsi="Times New Roman"/>
                <w:snapToGrid w:val="0"/>
                <w:color w:val="auto"/>
                <w:szCs w:val="24"/>
                <w:lang w:eastAsia="zh-CN"/>
              </w:rPr>
              <w:t>项目</w:t>
            </w:r>
            <w:r>
              <w:rPr>
                <w:rFonts w:ascii="Times New Roman" w:hAnsi="Times New Roman"/>
                <w:snapToGrid w:val="0"/>
                <w:color w:val="auto"/>
                <w:szCs w:val="24"/>
              </w:rPr>
              <w:t>贮存要求。</w:t>
            </w:r>
          </w:p>
          <w:p w14:paraId="750DA9DA">
            <w:pPr>
              <w:pStyle w:val="14"/>
              <w:keepNext w:val="0"/>
              <w:keepLines w:val="0"/>
              <w:pageBreakBefore w:val="0"/>
              <w:kinsoku/>
              <w:wordWrap/>
              <w:overflowPunct/>
              <w:topLinePunct w:val="0"/>
              <w:autoSpaceDE/>
              <w:autoSpaceDN/>
              <w:bidi w:val="0"/>
              <w:spacing w:before="0" w:beforeAutospacing="0" w:after="0" w:afterAutospacing="0" w:line="360" w:lineRule="auto"/>
              <w:ind w:firstLine="480" w:firstLineChars="200"/>
              <w:outlineLvl w:val="0"/>
              <w:rPr>
                <w:rFonts w:ascii="Times New Roman" w:hAnsi="Times New Roman" w:cs="宋体"/>
                <w:snapToGrid w:val="0"/>
                <w:color w:val="auto"/>
                <w:szCs w:val="24"/>
              </w:rPr>
            </w:pPr>
            <w:r>
              <w:rPr>
                <w:rFonts w:ascii="Times New Roman" w:hAnsi="Times New Roman"/>
                <w:color w:val="auto"/>
                <w:kern w:val="2"/>
                <w:szCs w:val="24"/>
              </w:rPr>
              <w:t>③</w:t>
            </w:r>
            <w:r>
              <w:rPr>
                <w:rFonts w:hint="eastAsia" w:ascii="Times New Roman" w:hAnsi="Times New Roman" w:cs="宋体"/>
                <w:snapToGrid w:val="0"/>
                <w:color w:val="auto"/>
                <w:szCs w:val="24"/>
              </w:rPr>
              <w:t>危废暂存库要求</w:t>
            </w:r>
          </w:p>
          <w:p w14:paraId="74C9A824">
            <w:pPr>
              <w:pStyle w:val="14"/>
              <w:keepNext w:val="0"/>
              <w:keepLines w:val="0"/>
              <w:pageBreakBefore w:val="0"/>
              <w:kinsoku/>
              <w:wordWrap/>
              <w:overflowPunct/>
              <w:topLinePunct w:val="0"/>
              <w:autoSpaceDE/>
              <w:autoSpaceDN/>
              <w:bidi w:val="0"/>
              <w:spacing w:before="0" w:beforeAutospacing="0" w:after="0" w:afterAutospacing="0" w:line="360" w:lineRule="auto"/>
              <w:ind w:firstLine="480" w:firstLineChars="200"/>
              <w:outlineLvl w:val="0"/>
              <w:rPr>
                <w:rFonts w:ascii="Times New Roman" w:hAnsi="Times New Roman"/>
                <w:snapToGrid w:val="0"/>
                <w:color w:val="auto"/>
                <w:szCs w:val="24"/>
              </w:rPr>
            </w:pPr>
            <w:r>
              <w:rPr>
                <w:rFonts w:ascii="Times New Roman" w:hAnsi="Times New Roman"/>
                <w:snapToGrid w:val="0"/>
                <w:color w:val="auto"/>
                <w:szCs w:val="24"/>
              </w:rPr>
              <w:t>◆</w:t>
            </w:r>
            <w:r>
              <w:rPr>
                <w:rFonts w:hint="eastAsia" w:ascii="Times New Roman" w:hAnsi="Times New Roman"/>
                <w:snapToGrid w:val="0"/>
                <w:color w:val="auto"/>
                <w:szCs w:val="24"/>
                <w:lang w:eastAsia="zh-CN"/>
              </w:rPr>
              <w:t>危废库</w:t>
            </w:r>
            <w:r>
              <w:rPr>
                <w:rFonts w:hint="default" w:ascii="Times New Roman" w:hAnsi="Times New Roman" w:cs="Times New Roman"/>
                <w:snapToGrid w:val="0"/>
                <w:color w:val="auto"/>
                <w:szCs w:val="24"/>
              </w:rPr>
              <w:t>的建设要满足</w:t>
            </w:r>
            <w:r>
              <w:rPr>
                <w:rFonts w:hint="default" w:ascii="Times New Roman" w:hAnsi="Times New Roman" w:cs="Times New Roman"/>
                <w:color w:val="auto"/>
                <w:sz w:val="24"/>
                <w:szCs w:val="24"/>
              </w:rPr>
              <w:t>《省生态环境厅关于印发</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江苏省固体废物全过程环境监管工作意见</w:t>
            </w:r>
            <w:r>
              <w:rPr>
                <w:rFonts w:hint="eastAsia" w:ascii="Times New Roman" w:hAnsi="Times New Roman" w:cs="Times New Roman"/>
                <w:color w:val="auto"/>
                <w:sz w:val="24"/>
                <w:szCs w:val="24"/>
                <w:lang w:eastAsia="zh-CN"/>
              </w:rPr>
              <w:t>〉的通知》</w:t>
            </w:r>
            <w:r>
              <w:rPr>
                <w:rFonts w:hint="default" w:ascii="Times New Roman" w:hAnsi="Times New Roman" w:cs="Times New Roman"/>
                <w:color w:val="auto"/>
                <w:sz w:val="24"/>
                <w:szCs w:val="24"/>
              </w:rPr>
              <w:t>（苏环办</w:t>
            </w:r>
            <w:r>
              <w:rPr>
                <w:rFonts w:hint="eastAsia" w:ascii="Times New Roman" w:hAnsi="Times New Roman" w:cs="Times New Roman"/>
                <w:color w:val="auto"/>
                <w:sz w:val="24"/>
                <w:szCs w:val="24"/>
                <w:lang w:eastAsia="zh-CN"/>
              </w:rPr>
              <w:t>〔2024〕16号</w:t>
            </w:r>
            <w:r>
              <w:rPr>
                <w:rFonts w:hint="default" w:ascii="Times New Roman" w:hAnsi="Times New Roman" w:cs="Times New Roman"/>
                <w:color w:val="auto"/>
                <w:sz w:val="24"/>
                <w:szCs w:val="24"/>
              </w:rPr>
              <w:t>）</w:t>
            </w:r>
            <w:r>
              <w:rPr>
                <w:rFonts w:hint="default" w:ascii="Times New Roman" w:hAnsi="Times New Roman" w:cs="Times New Roman"/>
                <w:snapToGrid w:val="0"/>
                <w:color w:val="auto"/>
                <w:szCs w:val="24"/>
              </w:rPr>
              <w:t>中</w:t>
            </w:r>
            <w:r>
              <w:rPr>
                <w:rFonts w:ascii="Times New Roman" w:hAnsi="Times New Roman"/>
                <w:snapToGrid w:val="0"/>
                <w:color w:val="auto"/>
                <w:szCs w:val="24"/>
              </w:rPr>
              <w:t>规定要求</w:t>
            </w:r>
            <w:r>
              <w:rPr>
                <w:rFonts w:hint="eastAsia" w:ascii="Times New Roman" w:hAnsi="Times New Roman"/>
                <w:snapToGrid w:val="0"/>
                <w:color w:val="auto"/>
                <w:szCs w:val="24"/>
              </w:rPr>
              <w:t>，</w:t>
            </w:r>
            <w:r>
              <w:rPr>
                <w:rFonts w:hint="eastAsia" w:ascii="Times New Roman" w:hAnsi="Times New Roman"/>
                <w:snapToGrid w:val="0"/>
                <w:color w:val="auto"/>
                <w:szCs w:val="24"/>
                <w:lang w:eastAsia="zh-CN"/>
              </w:rPr>
              <w:t>危废暂存点</w:t>
            </w:r>
            <w:r>
              <w:rPr>
                <w:rFonts w:hint="eastAsia" w:ascii="Times New Roman" w:hAnsi="Times New Roman"/>
                <w:snapToGrid w:val="0"/>
                <w:color w:val="auto"/>
                <w:szCs w:val="24"/>
              </w:rPr>
              <w:t>内要做到防风、防雨、防渗漏，要设置照明设施、监控设施、导流槽、收集井等</w:t>
            </w:r>
            <w:r>
              <w:rPr>
                <w:rFonts w:ascii="Times New Roman" w:hAnsi="Times New Roman"/>
                <w:snapToGrid w:val="0"/>
                <w:color w:val="auto"/>
                <w:szCs w:val="24"/>
              </w:rPr>
              <w:t>。</w:t>
            </w:r>
          </w:p>
          <w:p w14:paraId="0A30FFF8">
            <w:pPr>
              <w:pStyle w:val="14"/>
              <w:keepNext w:val="0"/>
              <w:keepLines w:val="0"/>
              <w:pageBreakBefore w:val="0"/>
              <w:kinsoku/>
              <w:wordWrap/>
              <w:overflowPunct/>
              <w:topLinePunct w:val="0"/>
              <w:autoSpaceDE/>
              <w:autoSpaceDN/>
              <w:bidi w:val="0"/>
              <w:spacing w:before="0" w:beforeAutospacing="0" w:after="0" w:afterAutospacing="0" w:line="360" w:lineRule="auto"/>
              <w:ind w:firstLine="480" w:firstLineChars="200"/>
              <w:outlineLvl w:val="0"/>
              <w:rPr>
                <w:rFonts w:cs="宋体"/>
                <w:snapToGrid w:val="0"/>
                <w:color w:val="auto"/>
                <w:szCs w:val="24"/>
              </w:rPr>
            </w:pPr>
            <w:r>
              <w:rPr>
                <w:rFonts w:ascii="Times New Roman" w:hAnsi="Times New Roman"/>
                <w:snapToGrid w:val="0"/>
                <w:color w:val="auto"/>
                <w:szCs w:val="24"/>
              </w:rPr>
              <w:t>◆</w:t>
            </w:r>
            <w:r>
              <w:rPr>
                <w:rFonts w:hint="eastAsia" w:cs="宋体"/>
                <w:snapToGrid w:val="0"/>
                <w:color w:val="auto"/>
                <w:szCs w:val="24"/>
                <w:lang w:eastAsia="zh-CN"/>
              </w:rPr>
              <w:t>危废库</w:t>
            </w:r>
            <w:r>
              <w:rPr>
                <w:rFonts w:hint="eastAsia" w:cs="宋体"/>
                <w:snapToGrid w:val="0"/>
                <w:color w:val="auto"/>
                <w:szCs w:val="24"/>
              </w:rPr>
              <w:t>内危废要分区存放，禁止将不相容（相互反应）的危险废物存放在同一容器内。无法装入常用容器的危险废物可用防漏胶袋等盛装。</w:t>
            </w:r>
          </w:p>
          <w:p w14:paraId="20C9A5FA">
            <w:pPr>
              <w:pStyle w:val="14"/>
              <w:keepNext w:val="0"/>
              <w:keepLines w:val="0"/>
              <w:pageBreakBefore w:val="0"/>
              <w:kinsoku/>
              <w:wordWrap/>
              <w:overflowPunct/>
              <w:topLinePunct w:val="0"/>
              <w:autoSpaceDE/>
              <w:autoSpaceDN/>
              <w:bidi w:val="0"/>
              <w:spacing w:before="0" w:beforeAutospacing="0" w:after="0" w:afterAutospacing="0" w:line="360" w:lineRule="auto"/>
              <w:ind w:firstLine="480" w:firstLineChars="200"/>
              <w:outlineLvl w:val="0"/>
              <w:rPr>
                <w:rFonts w:cs="宋体"/>
                <w:snapToGrid w:val="0"/>
                <w:color w:val="auto"/>
                <w:szCs w:val="24"/>
              </w:rPr>
            </w:pPr>
            <w:r>
              <w:rPr>
                <w:rFonts w:ascii="Times New Roman" w:hAnsi="Times New Roman"/>
                <w:snapToGrid w:val="0"/>
                <w:color w:val="auto"/>
                <w:szCs w:val="24"/>
              </w:rPr>
              <w:t>◆</w:t>
            </w:r>
            <w:r>
              <w:rPr>
                <w:rFonts w:hint="eastAsia" w:cs="宋体"/>
                <w:snapToGrid w:val="0"/>
                <w:color w:val="auto"/>
                <w:szCs w:val="24"/>
              </w:rPr>
              <w:t>危险废物贮存容器应当使用符合标准的容器盛装危险废物，装载危险废物的容器及材质要满足相应的强度要求，装载危险废物的容器必须完好无损。盛装危险废物的容器材质和衬里要与危险废物相容（不相互反应）。</w:t>
            </w:r>
          </w:p>
          <w:p w14:paraId="63CBAEC1">
            <w:pPr>
              <w:pStyle w:val="14"/>
              <w:keepNext w:val="0"/>
              <w:keepLines w:val="0"/>
              <w:pageBreakBefore w:val="0"/>
              <w:kinsoku/>
              <w:wordWrap/>
              <w:overflowPunct/>
              <w:topLinePunct w:val="0"/>
              <w:autoSpaceDE/>
              <w:autoSpaceDN/>
              <w:bidi w:val="0"/>
              <w:spacing w:before="0" w:beforeAutospacing="0" w:after="0" w:afterAutospacing="0" w:line="360" w:lineRule="auto"/>
              <w:ind w:firstLine="480" w:firstLineChars="200"/>
              <w:outlineLvl w:val="0"/>
              <w:rPr>
                <w:rFonts w:cs="宋体"/>
                <w:snapToGrid w:val="0"/>
                <w:color w:val="auto"/>
                <w:szCs w:val="24"/>
              </w:rPr>
            </w:pPr>
            <w:r>
              <w:rPr>
                <w:rFonts w:hint="eastAsia" w:cs="宋体"/>
                <w:snapToGrid w:val="0"/>
                <w:color w:val="auto"/>
                <w:szCs w:val="24"/>
              </w:rPr>
              <w:t>④危险废物运输要求</w:t>
            </w:r>
          </w:p>
          <w:p w14:paraId="386F8CB2">
            <w:pPr>
              <w:pStyle w:val="14"/>
              <w:keepNext w:val="0"/>
              <w:keepLines w:val="0"/>
              <w:pageBreakBefore w:val="0"/>
              <w:kinsoku/>
              <w:wordWrap/>
              <w:overflowPunct/>
              <w:topLinePunct w:val="0"/>
              <w:autoSpaceDE/>
              <w:autoSpaceDN/>
              <w:bidi w:val="0"/>
              <w:spacing w:before="0" w:beforeAutospacing="0" w:after="0" w:afterAutospacing="0" w:line="360" w:lineRule="auto"/>
              <w:ind w:firstLine="480" w:firstLineChars="200"/>
              <w:outlineLvl w:val="0"/>
              <w:rPr>
                <w:rFonts w:cs="宋体"/>
                <w:snapToGrid w:val="0"/>
                <w:color w:val="auto"/>
                <w:szCs w:val="24"/>
              </w:rPr>
            </w:pPr>
            <w:r>
              <w:rPr>
                <w:rFonts w:hint="eastAsia" w:cs="宋体"/>
                <w:snapToGrid w:val="0"/>
                <w:color w:val="auto"/>
                <w:szCs w:val="24"/>
              </w:rPr>
              <w:t>本项目危险废物转移时，要委托有危废运输资质的运输单位进行运输，危险废物运输中要做到以下几点：</w:t>
            </w:r>
          </w:p>
          <w:p w14:paraId="7E353823">
            <w:pPr>
              <w:pStyle w:val="14"/>
              <w:keepNext w:val="0"/>
              <w:keepLines w:val="0"/>
              <w:pageBreakBefore w:val="0"/>
              <w:kinsoku/>
              <w:wordWrap/>
              <w:overflowPunct/>
              <w:topLinePunct w:val="0"/>
              <w:autoSpaceDE/>
              <w:autoSpaceDN/>
              <w:bidi w:val="0"/>
              <w:spacing w:before="0" w:beforeAutospacing="0" w:after="0" w:afterAutospacing="0" w:line="360" w:lineRule="auto"/>
              <w:ind w:firstLine="480" w:firstLineChars="200"/>
              <w:outlineLvl w:val="0"/>
              <w:rPr>
                <w:rFonts w:cs="宋体"/>
                <w:snapToGrid w:val="0"/>
                <w:color w:val="auto"/>
                <w:szCs w:val="24"/>
              </w:rPr>
            </w:pPr>
            <w:r>
              <w:rPr>
                <w:rFonts w:ascii="Times New Roman" w:hAnsi="Times New Roman"/>
                <w:snapToGrid w:val="0"/>
                <w:color w:val="auto"/>
                <w:szCs w:val="24"/>
              </w:rPr>
              <w:t>◆</w:t>
            </w:r>
            <w:r>
              <w:rPr>
                <w:rFonts w:hint="eastAsia" w:cs="宋体"/>
                <w:snapToGrid w:val="0"/>
                <w:color w:val="auto"/>
                <w:szCs w:val="24"/>
              </w:rPr>
              <w:t>危险废物的运输车辆须经主管单位检查，并持有有关单位签发的许可证，负责运输的司机应通过培训，持有证明文件。</w:t>
            </w:r>
          </w:p>
          <w:p w14:paraId="43A1A169">
            <w:pPr>
              <w:pStyle w:val="14"/>
              <w:keepNext w:val="0"/>
              <w:keepLines w:val="0"/>
              <w:pageBreakBefore w:val="0"/>
              <w:kinsoku/>
              <w:wordWrap/>
              <w:overflowPunct/>
              <w:topLinePunct w:val="0"/>
              <w:autoSpaceDE/>
              <w:autoSpaceDN/>
              <w:bidi w:val="0"/>
              <w:spacing w:before="0" w:beforeAutospacing="0" w:after="0" w:afterAutospacing="0" w:line="360" w:lineRule="auto"/>
              <w:ind w:firstLine="480" w:firstLineChars="200"/>
              <w:outlineLvl w:val="0"/>
              <w:rPr>
                <w:rFonts w:cs="宋体"/>
                <w:snapToGrid w:val="0"/>
                <w:color w:val="auto"/>
                <w:szCs w:val="24"/>
              </w:rPr>
            </w:pPr>
            <w:r>
              <w:rPr>
                <w:rFonts w:ascii="Times New Roman" w:hAnsi="Times New Roman"/>
                <w:snapToGrid w:val="0"/>
                <w:color w:val="auto"/>
                <w:szCs w:val="24"/>
              </w:rPr>
              <w:t>◆</w:t>
            </w:r>
            <w:r>
              <w:rPr>
                <w:rFonts w:hint="eastAsia" w:cs="宋体"/>
                <w:snapToGrid w:val="0"/>
                <w:color w:val="auto"/>
                <w:szCs w:val="24"/>
              </w:rPr>
              <w:t>承载危险废物的车辆须有明显的标志或适当的危险符号，以引起注意。</w:t>
            </w:r>
          </w:p>
          <w:p w14:paraId="065EE56C">
            <w:pPr>
              <w:pStyle w:val="14"/>
              <w:keepNext w:val="0"/>
              <w:keepLines w:val="0"/>
              <w:pageBreakBefore w:val="0"/>
              <w:kinsoku/>
              <w:wordWrap/>
              <w:overflowPunct/>
              <w:topLinePunct w:val="0"/>
              <w:autoSpaceDE/>
              <w:autoSpaceDN/>
              <w:bidi w:val="0"/>
              <w:spacing w:before="0" w:beforeAutospacing="0" w:after="0" w:afterAutospacing="0" w:line="360" w:lineRule="auto"/>
              <w:ind w:firstLine="480" w:firstLineChars="200"/>
              <w:outlineLvl w:val="0"/>
              <w:rPr>
                <w:rFonts w:cs="宋体"/>
                <w:snapToGrid w:val="0"/>
                <w:color w:val="auto"/>
                <w:szCs w:val="24"/>
              </w:rPr>
            </w:pPr>
            <w:r>
              <w:rPr>
                <w:rFonts w:ascii="Times New Roman" w:hAnsi="Times New Roman"/>
                <w:snapToGrid w:val="0"/>
                <w:color w:val="auto"/>
                <w:szCs w:val="24"/>
              </w:rPr>
              <w:t>◆</w:t>
            </w:r>
            <w:r>
              <w:rPr>
                <w:rFonts w:hint="eastAsia" w:cs="宋体"/>
                <w:snapToGrid w:val="0"/>
                <w:color w:val="auto"/>
                <w:szCs w:val="24"/>
              </w:rPr>
              <w:t>载有危险废物的车辆在公路上行驶时，需持有运输许可证，其上应注明废物来源、性质和运往地点。</w:t>
            </w:r>
          </w:p>
          <w:p w14:paraId="5577445A">
            <w:pPr>
              <w:pStyle w:val="14"/>
              <w:keepNext w:val="0"/>
              <w:keepLines w:val="0"/>
              <w:pageBreakBefore w:val="0"/>
              <w:kinsoku/>
              <w:wordWrap/>
              <w:overflowPunct/>
              <w:topLinePunct w:val="0"/>
              <w:autoSpaceDE/>
              <w:autoSpaceDN/>
              <w:bidi w:val="0"/>
              <w:spacing w:before="0" w:beforeAutospacing="0" w:after="0" w:afterAutospacing="0" w:line="360" w:lineRule="auto"/>
              <w:ind w:firstLine="480" w:firstLineChars="200"/>
              <w:outlineLvl w:val="0"/>
              <w:rPr>
                <w:rFonts w:cs="宋体"/>
                <w:snapToGrid w:val="0"/>
                <w:color w:val="auto"/>
                <w:szCs w:val="24"/>
              </w:rPr>
            </w:pPr>
            <w:r>
              <w:rPr>
                <w:rFonts w:ascii="Times New Roman" w:hAnsi="Times New Roman"/>
                <w:snapToGrid w:val="0"/>
                <w:color w:val="auto"/>
                <w:szCs w:val="24"/>
              </w:rPr>
              <w:t>◆</w:t>
            </w:r>
            <w:r>
              <w:rPr>
                <w:rFonts w:hint="eastAsia" w:cs="宋体"/>
                <w:snapToGrid w:val="0"/>
                <w:color w:val="auto"/>
                <w:szCs w:val="24"/>
              </w:rPr>
              <w:t>组织危险废物的运输单位，在事先需</w:t>
            </w:r>
            <w:r>
              <w:rPr>
                <w:rFonts w:hint="eastAsia" w:cs="宋体"/>
                <w:snapToGrid w:val="0"/>
                <w:color w:val="auto"/>
                <w:szCs w:val="24"/>
                <w:lang w:eastAsia="zh-CN"/>
              </w:rPr>
              <w:t>做出</w:t>
            </w:r>
            <w:r>
              <w:rPr>
                <w:rFonts w:hint="eastAsia" w:cs="宋体"/>
                <w:snapToGrid w:val="0"/>
                <w:color w:val="auto"/>
                <w:szCs w:val="24"/>
              </w:rPr>
              <w:t>周密的运输计划和行驶路线，其中包括有效的废物</w:t>
            </w:r>
            <w:r>
              <w:rPr>
                <w:rFonts w:hint="eastAsia" w:cs="宋体"/>
                <w:snapToGrid w:val="0"/>
                <w:color w:val="auto"/>
                <w:szCs w:val="24"/>
                <w:lang w:eastAsia="zh-CN"/>
              </w:rPr>
              <w:t>泄漏</w:t>
            </w:r>
            <w:r>
              <w:rPr>
                <w:rFonts w:hint="eastAsia" w:cs="宋体"/>
                <w:snapToGrid w:val="0"/>
                <w:color w:val="auto"/>
                <w:szCs w:val="24"/>
              </w:rPr>
              <w:t>情况下的应急措施。</w:t>
            </w:r>
          </w:p>
          <w:p w14:paraId="7BD04CDB">
            <w:pPr>
              <w:pStyle w:val="14"/>
              <w:keepNext w:val="0"/>
              <w:keepLines w:val="0"/>
              <w:pageBreakBefore w:val="0"/>
              <w:kinsoku/>
              <w:wordWrap/>
              <w:overflowPunct/>
              <w:topLinePunct w:val="0"/>
              <w:autoSpaceDE/>
              <w:autoSpaceDN/>
              <w:bidi w:val="0"/>
              <w:spacing w:before="0" w:beforeAutospacing="0" w:after="0" w:afterAutospacing="0" w:line="360" w:lineRule="auto"/>
              <w:ind w:firstLine="480" w:firstLineChars="200"/>
              <w:outlineLvl w:val="0"/>
              <w:rPr>
                <w:rFonts w:cs="宋体"/>
                <w:snapToGrid w:val="0"/>
                <w:color w:val="auto"/>
                <w:szCs w:val="24"/>
              </w:rPr>
            </w:pPr>
            <w:r>
              <w:rPr>
                <w:rFonts w:hint="eastAsia" w:cs="宋体"/>
                <w:snapToGrid w:val="0"/>
                <w:color w:val="auto"/>
                <w:szCs w:val="24"/>
              </w:rPr>
              <w:t>⑤危险废物其他管理要求</w:t>
            </w:r>
          </w:p>
          <w:p w14:paraId="587F8450">
            <w:pPr>
              <w:pStyle w:val="14"/>
              <w:keepNext w:val="0"/>
              <w:keepLines w:val="0"/>
              <w:pageBreakBefore w:val="0"/>
              <w:kinsoku/>
              <w:wordWrap/>
              <w:overflowPunct/>
              <w:topLinePunct w:val="0"/>
              <w:autoSpaceDE/>
              <w:autoSpaceDN/>
              <w:bidi w:val="0"/>
              <w:spacing w:before="0" w:beforeAutospacing="0" w:after="0" w:afterAutospacing="0" w:line="360" w:lineRule="auto"/>
              <w:ind w:firstLine="480" w:firstLineChars="200"/>
              <w:outlineLvl w:val="0"/>
              <w:rPr>
                <w:rFonts w:cs="宋体"/>
                <w:snapToGrid w:val="0"/>
                <w:color w:val="auto"/>
                <w:szCs w:val="24"/>
              </w:rPr>
            </w:pPr>
            <w:r>
              <w:rPr>
                <w:rFonts w:hint="eastAsia" w:cs="宋体"/>
                <w:snapToGrid w:val="0"/>
                <w:color w:val="auto"/>
                <w:szCs w:val="24"/>
              </w:rPr>
              <w:t>对于本项目危险废物的环境管理，还应做到以下几点：</w:t>
            </w:r>
          </w:p>
          <w:p w14:paraId="3438AB47">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outlineLvl w:val="0"/>
              <w:rPr>
                <w:rFonts w:cs="宋体"/>
                <w:snapToGrid w:val="0"/>
                <w:color w:val="auto"/>
                <w:szCs w:val="24"/>
              </w:rPr>
            </w:pPr>
            <w:r>
              <w:rPr>
                <w:rFonts w:ascii="Times New Roman" w:hAnsi="Times New Roman"/>
                <w:snapToGrid w:val="0"/>
                <w:color w:val="auto"/>
                <w:szCs w:val="24"/>
              </w:rPr>
              <w:t>◆</w:t>
            </w:r>
            <w:r>
              <w:rPr>
                <w:rFonts w:hint="eastAsia" w:cs="宋体"/>
                <w:snapToGrid w:val="0"/>
                <w:color w:val="auto"/>
                <w:szCs w:val="24"/>
              </w:rPr>
              <w:t>建设单位应通过“江苏省固体废物管理信息系统”（江苏省生态环境厅网站）进行危险废物申报登记。将危险废物的实际产生、贮存、利用、处置等情况纳入生产记录，建立危险废物管理台账。</w:t>
            </w:r>
          </w:p>
          <w:p w14:paraId="6C335037">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0"/>
              <w:rPr>
                <w:rFonts w:cs="宋体"/>
                <w:snapToGrid w:val="0"/>
                <w:color w:val="auto"/>
                <w:szCs w:val="24"/>
              </w:rPr>
            </w:pPr>
            <w:bookmarkStart w:id="41" w:name="_Toc27049"/>
            <w:bookmarkStart w:id="42" w:name="_Toc26625"/>
            <w:bookmarkStart w:id="43" w:name="_Toc30577"/>
            <w:bookmarkStart w:id="44" w:name="_Toc1977"/>
            <w:r>
              <w:rPr>
                <w:rFonts w:ascii="Times New Roman" w:hAnsi="Times New Roman"/>
                <w:snapToGrid w:val="0"/>
                <w:color w:val="auto"/>
                <w:szCs w:val="24"/>
              </w:rPr>
              <w:t>◆</w:t>
            </w:r>
            <w:r>
              <w:rPr>
                <w:rFonts w:hint="eastAsia" w:cs="宋体"/>
                <w:snapToGrid w:val="0"/>
                <w:color w:val="auto"/>
                <w:szCs w:val="24"/>
              </w:rPr>
              <w:t>必须明确企业为固体废物污染防治的责任主体。</w:t>
            </w:r>
            <w:bookmarkEnd w:id="41"/>
            <w:bookmarkEnd w:id="42"/>
            <w:bookmarkEnd w:id="43"/>
            <w:bookmarkEnd w:id="44"/>
          </w:p>
          <w:p w14:paraId="5657AE75">
            <w:pPr>
              <w:pStyle w:val="48"/>
              <w:keepNext w:val="0"/>
              <w:keepLines w:val="0"/>
              <w:pageBreakBefore w:val="0"/>
              <w:kinsoku/>
              <w:wordWrap/>
              <w:overflowPunct/>
              <w:topLinePunct w:val="0"/>
              <w:autoSpaceDE/>
              <w:autoSpaceDN/>
              <w:bidi w:val="0"/>
              <w:snapToGrid w:val="0"/>
              <w:spacing w:line="360" w:lineRule="auto"/>
              <w:ind w:firstLine="482"/>
              <w:jc w:val="both"/>
              <w:rPr>
                <w:rFonts w:ascii="Times New Roman" w:eastAsia="宋体"/>
                <w:b/>
                <w:color w:val="auto"/>
                <w:sz w:val="24"/>
                <w:szCs w:val="24"/>
              </w:rPr>
            </w:pPr>
            <w:r>
              <w:rPr>
                <w:rFonts w:hint="eastAsia" w:ascii="Times New Roman" w:eastAsia="宋体"/>
                <w:b/>
                <w:color w:val="auto"/>
                <w:sz w:val="24"/>
                <w:szCs w:val="24"/>
              </w:rPr>
              <w:t>五、地下水及土壤</w:t>
            </w:r>
          </w:p>
          <w:p w14:paraId="4733060E">
            <w:pPr>
              <w:pStyle w:val="14"/>
              <w:keepNext w:val="0"/>
              <w:keepLines w:val="0"/>
              <w:pageBreakBefore w:val="0"/>
              <w:kinsoku/>
              <w:wordWrap/>
              <w:overflowPunct/>
              <w:topLinePunct w:val="0"/>
              <w:autoSpaceDE/>
              <w:autoSpaceDN/>
              <w:bidi w:val="0"/>
              <w:spacing w:before="0" w:beforeAutospacing="0" w:after="0" w:afterAutospacing="0" w:line="360" w:lineRule="auto"/>
              <w:ind w:firstLine="480" w:firstLineChars="200"/>
              <w:outlineLvl w:val="0"/>
              <w:rPr>
                <w:rFonts w:ascii="Times New Roman" w:hAnsi="Times New Roman"/>
                <w:snapToGrid w:val="0"/>
                <w:color w:val="auto"/>
                <w:szCs w:val="24"/>
              </w:rPr>
            </w:pPr>
            <w:r>
              <w:rPr>
                <w:rFonts w:ascii="Times New Roman" w:hAnsi="Times New Roman"/>
                <w:snapToGrid w:val="0"/>
                <w:color w:val="auto"/>
                <w:szCs w:val="24"/>
              </w:rPr>
              <w:t>本项目</w:t>
            </w:r>
            <w:r>
              <w:rPr>
                <w:rFonts w:hint="eastAsia" w:ascii="Times New Roman" w:hAnsi="Times New Roman"/>
                <w:snapToGrid w:val="0"/>
                <w:color w:val="auto"/>
                <w:szCs w:val="24"/>
                <w:lang w:val="en-US" w:eastAsia="zh-CN"/>
              </w:rPr>
              <w:t>车间</w:t>
            </w:r>
            <w:r>
              <w:rPr>
                <w:rFonts w:ascii="Times New Roman" w:hAnsi="Times New Roman"/>
                <w:snapToGrid w:val="0"/>
                <w:color w:val="auto"/>
                <w:szCs w:val="24"/>
              </w:rPr>
              <w:t>地面已做</w:t>
            </w:r>
            <w:r>
              <w:rPr>
                <w:rFonts w:hint="eastAsia" w:ascii="Times New Roman" w:hAnsi="Times New Roman"/>
                <w:snapToGrid w:val="0"/>
                <w:color w:val="auto"/>
                <w:szCs w:val="24"/>
                <w:lang w:val="en-US" w:eastAsia="zh-CN"/>
              </w:rPr>
              <w:t>防渗</w:t>
            </w:r>
            <w:r>
              <w:rPr>
                <w:rFonts w:ascii="Times New Roman" w:hAnsi="Times New Roman"/>
                <w:snapToGrid w:val="0"/>
                <w:color w:val="auto"/>
                <w:szCs w:val="24"/>
              </w:rPr>
              <w:t>处理，不存在地下水及土壤的污染途径，故本次评价仅提出防控措施。</w:t>
            </w:r>
          </w:p>
          <w:p w14:paraId="39E513CF">
            <w:pPr>
              <w:pStyle w:val="14"/>
              <w:keepNext w:val="0"/>
              <w:keepLines w:val="0"/>
              <w:pageBreakBefore w:val="0"/>
              <w:kinsoku/>
              <w:wordWrap/>
              <w:overflowPunct/>
              <w:topLinePunct w:val="0"/>
              <w:autoSpaceDE/>
              <w:autoSpaceDN/>
              <w:bidi w:val="0"/>
              <w:spacing w:before="0" w:beforeAutospacing="0" w:after="0" w:afterAutospacing="0" w:line="360" w:lineRule="auto"/>
              <w:ind w:firstLine="480" w:firstLineChars="200"/>
              <w:outlineLvl w:val="0"/>
              <w:rPr>
                <w:rFonts w:ascii="Times New Roman" w:hAnsi="Times New Roman"/>
                <w:snapToGrid w:val="0"/>
                <w:color w:val="auto"/>
                <w:szCs w:val="24"/>
              </w:rPr>
            </w:pPr>
            <w:r>
              <w:rPr>
                <w:rFonts w:ascii="Times New Roman" w:hAnsi="Times New Roman"/>
                <w:snapToGrid w:val="0"/>
                <w:color w:val="auto"/>
                <w:szCs w:val="24"/>
              </w:rPr>
              <w:t>根据《环境影响评价技术导则地下水环境》（HJ610-2016）中的有关规定，将地下水污染防渗分区分为重点防渗区、一般防渗区和简单防渗区。防渗分区参照表及防渗分区划分表见下表。</w:t>
            </w:r>
          </w:p>
          <w:p w14:paraId="0BFB00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auto"/>
                <w:sz w:val="21"/>
                <w:szCs w:val="21"/>
              </w:rPr>
            </w:pPr>
            <w:r>
              <w:rPr>
                <w:b/>
                <w:color w:val="auto"/>
                <w:sz w:val="21"/>
                <w:szCs w:val="21"/>
              </w:rPr>
              <w:t>表4-</w:t>
            </w:r>
            <w:r>
              <w:rPr>
                <w:rFonts w:hint="eastAsia"/>
                <w:b/>
                <w:color w:val="auto"/>
                <w:sz w:val="21"/>
                <w:szCs w:val="21"/>
                <w:lang w:val="en-US" w:eastAsia="zh-CN"/>
              </w:rPr>
              <w:t xml:space="preserve">25  </w:t>
            </w:r>
            <w:r>
              <w:rPr>
                <w:b/>
                <w:color w:val="auto"/>
                <w:sz w:val="21"/>
                <w:szCs w:val="21"/>
              </w:rPr>
              <w:t>污染控制难易程度分级参照表</w:t>
            </w:r>
          </w:p>
          <w:tbl>
            <w:tblPr>
              <w:tblStyle w:val="21"/>
              <w:tblW w:w="783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13"/>
              <w:gridCol w:w="5825"/>
            </w:tblGrid>
            <w:tr w14:paraId="6DE2A7A0">
              <w:tc>
                <w:tcPr>
                  <w:tcW w:w="2013" w:type="dxa"/>
                  <w:noWrap w:val="0"/>
                  <w:vAlign w:val="center"/>
                </w:tcPr>
                <w:p w14:paraId="75489D26">
                  <w:pPr>
                    <w:jc w:val="center"/>
                    <w:rPr>
                      <w:color w:val="auto"/>
                    </w:rPr>
                  </w:pPr>
                  <w:r>
                    <w:rPr>
                      <w:rFonts w:hint="eastAsia"/>
                      <w:color w:val="auto"/>
                    </w:rPr>
                    <w:t>污染控制难易程度</w:t>
                  </w:r>
                </w:p>
              </w:tc>
              <w:tc>
                <w:tcPr>
                  <w:tcW w:w="5825" w:type="dxa"/>
                  <w:noWrap w:val="0"/>
                  <w:vAlign w:val="center"/>
                </w:tcPr>
                <w:p w14:paraId="1DB96EC4">
                  <w:pPr>
                    <w:jc w:val="center"/>
                    <w:rPr>
                      <w:color w:val="auto"/>
                    </w:rPr>
                  </w:pPr>
                  <w:r>
                    <w:rPr>
                      <w:rFonts w:hint="eastAsia"/>
                      <w:color w:val="auto"/>
                    </w:rPr>
                    <w:t>主要特征</w:t>
                  </w:r>
                </w:p>
              </w:tc>
            </w:tr>
            <w:tr w14:paraId="7DE5D15D">
              <w:tc>
                <w:tcPr>
                  <w:tcW w:w="2013" w:type="dxa"/>
                  <w:noWrap w:val="0"/>
                  <w:vAlign w:val="center"/>
                </w:tcPr>
                <w:p w14:paraId="226287E5">
                  <w:pPr>
                    <w:jc w:val="center"/>
                    <w:rPr>
                      <w:color w:val="auto"/>
                    </w:rPr>
                  </w:pPr>
                  <w:r>
                    <w:rPr>
                      <w:rFonts w:hint="eastAsia"/>
                      <w:color w:val="auto"/>
                    </w:rPr>
                    <w:t>难</w:t>
                  </w:r>
                </w:p>
              </w:tc>
              <w:tc>
                <w:tcPr>
                  <w:tcW w:w="5825" w:type="dxa"/>
                  <w:noWrap w:val="0"/>
                  <w:vAlign w:val="center"/>
                </w:tcPr>
                <w:p w14:paraId="0EA34360">
                  <w:pPr>
                    <w:jc w:val="center"/>
                    <w:rPr>
                      <w:color w:val="auto"/>
                    </w:rPr>
                  </w:pPr>
                  <w:r>
                    <w:rPr>
                      <w:rFonts w:hint="eastAsia"/>
                      <w:color w:val="auto"/>
                    </w:rPr>
                    <w:t>对地下水环境有污染的物料或污染物</w:t>
                  </w:r>
                  <w:r>
                    <w:rPr>
                      <w:rFonts w:hint="eastAsia"/>
                      <w:color w:val="auto"/>
                      <w:lang w:eastAsia="zh-CN"/>
                    </w:rPr>
                    <w:t>泄漏</w:t>
                  </w:r>
                  <w:r>
                    <w:rPr>
                      <w:rFonts w:hint="eastAsia"/>
                      <w:color w:val="auto"/>
                    </w:rPr>
                    <w:t>后，不能及时发现和处理</w:t>
                  </w:r>
                </w:p>
              </w:tc>
            </w:tr>
            <w:tr w14:paraId="7F547CC4">
              <w:tc>
                <w:tcPr>
                  <w:tcW w:w="2013" w:type="dxa"/>
                  <w:noWrap w:val="0"/>
                  <w:vAlign w:val="center"/>
                </w:tcPr>
                <w:p w14:paraId="59B7CFA8">
                  <w:pPr>
                    <w:jc w:val="center"/>
                    <w:rPr>
                      <w:color w:val="auto"/>
                    </w:rPr>
                  </w:pPr>
                  <w:r>
                    <w:rPr>
                      <w:rFonts w:hint="eastAsia"/>
                      <w:color w:val="auto"/>
                    </w:rPr>
                    <w:t>易</w:t>
                  </w:r>
                </w:p>
              </w:tc>
              <w:tc>
                <w:tcPr>
                  <w:tcW w:w="5825" w:type="dxa"/>
                  <w:noWrap w:val="0"/>
                  <w:vAlign w:val="center"/>
                </w:tcPr>
                <w:p w14:paraId="34D74512">
                  <w:pPr>
                    <w:jc w:val="center"/>
                    <w:rPr>
                      <w:color w:val="auto"/>
                    </w:rPr>
                  </w:pPr>
                  <w:r>
                    <w:rPr>
                      <w:rFonts w:hint="eastAsia"/>
                      <w:color w:val="auto"/>
                    </w:rPr>
                    <w:t>对地下水环境有污染的物料或污染物</w:t>
                  </w:r>
                  <w:r>
                    <w:rPr>
                      <w:rFonts w:hint="eastAsia"/>
                      <w:color w:val="auto"/>
                      <w:lang w:eastAsia="zh-CN"/>
                    </w:rPr>
                    <w:t>泄漏</w:t>
                  </w:r>
                  <w:r>
                    <w:rPr>
                      <w:rFonts w:hint="eastAsia"/>
                      <w:color w:val="auto"/>
                    </w:rPr>
                    <w:t>后，可及时发现和处理</w:t>
                  </w:r>
                </w:p>
              </w:tc>
            </w:tr>
          </w:tbl>
          <w:p w14:paraId="312645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auto"/>
                <w:sz w:val="21"/>
                <w:szCs w:val="21"/>
              </w:rPr>
            </w:pPr>
          </w:p>
          <w:p w14:paraId="034C00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auto"/>
                <w:sz w:val="21"/>
                <w:szCs w:val="21"/>
              </w:rPr>
            </w:pPr>
          </w:p>
          <w:p w14:paraId="598DFC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auto"/>
                <w:sz w:val="21"/>
                <w:szCs w:val="21"/>
              </w:rPr>
            </w:pPr>
            <w:r>
              <w:rPr>
                <w:b/>
                <w:color w:val="auto"/>
                <w:sz w:val="21"/>
                <w:szCs w:val="21"/>
              </w:rPr>
              <w:t>表4-</w:t>
            </w:r>
            <w:r>
              <w:rPr>
                <w:rFonts w:hint="eastAsia"/>
                <w:b/>
                <w:color w:val="auto"/>
                <w:sz w:val="21"/>
                <w:szCs w:val="21"/>
                <w:lang w:val="en-US" w:eastAsia="zh-CN"/>
              </w:rPr>
              <w:t xml:space="preserve">26  </w:t>
            </w:r>
            <w:r>
              <w:rPr>
                <w:b/>
                <w:color w:val="auto"/>
                <w:sz w:val="21"/>
                <w:szCs w:val="21"/>
              </w:rPr>
              <w:t>天然包气带防污性能分级参照表</w:t>
            </w:r>
          </w:p>
          <w:tbl>
            <w:tblPr>
              <w:tblStyle w:val="21"/>
              <w:tblW w:w="783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8"/>
              <w:gridCol w:w="6820"/>
            </w:tblGrid>
            <w:tr w14:paraId="046AC86F">
              <w:tc>
                <w:tcPr>
                  <w:tcW w:w="1018" w:type="dxa"/>
                  <w:noWrap w:val="0"/>
                  <w:vAlign w:val="center"/>
                </w:tcPr>
                <w:p w14:paraId="3E0D70E6">
                  <w:pPr>
                    <w:jc w:val="center"/>
                    <w:rPr>
                      <w:color w:val="auto"/>
                      <w:szCs w:val="21"/>
                    </w:rPr>
                  </w:pPr>
                  <w:r>
                    <w:rPr>
                      <w:rFonts w:hint="eastAsia"/>
                      <w:color w:val="auto"/>
                      <w:szCs w:val="21"/>
                    </w:rPr>
                    <w:t>分级</w:t>
                  </w:r>
                </w:p>
              </w:tc>
              <w:tc>
                <w:tcPr>
                  <w:tcW w:w="6820" w:type="dxa"/>
                  <w:noWrap w:val="0"/>
                  <w:vAlign w:val="center"/>
                </w:tcPr>
                <w:p w14:paraId="498323B3">
                  <w:pPr>
                    <w:jc w:val="center"/>
                    <w:rPr>
                      <w:color w:val="auto"/>
                      <w:szCs w:val="21"/>
                    </w:rPr>
                  </w:pPr>
                  <w:r>
                    <w:rPr>
                      <w:rFonts w:hint="eastAsia"/>
                      <w:color w:val="auto"/>
                      <w:szCs w:val="21"/>
                    </w:rPr>
                    <w:t>包气带岩土的渗透性能</w:t>
                  </w:r>
                </w:p>
              </w:tc>
            </w:tr>
            <w:tr w14:paraId="03098B3E">
              <w:tc>
                <w:tcPr>
                  <w:tcW w:w="1018" w:type="dxa"/>
                  <w:noWrap w:val="0"/>
                  <w:vAlign w:val="center"/>
                </w:tcPr>
                <w:p w14:paraId="43CCA410">
                  <w:pPr>
                    <w:jc w:val="center"/>
                    <w:rPr>
                      <w:color w:val="auto"/>
                      <w:szCs w:val="21"/>
                    </w:rPr>
                  </w:pPr>
                  <w:r>
                    <w:rPr>
                      <w:rFonts w:hint="eastAsia"/>
                      <w:color w:val="auto"/>
                      <w:szCs w:val="21"/>
                    </w:rPr>
                    <w:t>强</w:t>
                  </w:r>
                </w:p>
              </w:tc>
              <w:tc>
                <w:tcPr>
                  <w:tcW w:w="6820" w:type="dxa"/>
                  <w:noWrap w:val="0"/>
                  <w:vAlign w:val="center"/>
                </w:tcPr>
                <w:p w14:paraId="6B484607">
                  <w:pPr>
                    <w:jc w:val="center"/>
                    <w:rPr>
                      <w:color w:val="auto"/>
                      <w:szCs w:val="21"/>
                    </w:rPr>
                  </w:pPr>
                  <w:r>
                    <w:rPr>
                      <w:rFonts w:hint="eastAsia"/>
                      <w:color w:val="auto"/>
                      <w:szCs w:val="21"/>
                    </w:rPr>
                    <w:t>岩（土）层单层厚度Mb≥1.0m，渗透系数K≤10</w:t>
                  </w:r>
                  <w:r>
                    <w:rPr>
                      <w:rFonts w:hint="eastAsia"/>
                      <w:color w:val="auto"/>
                      <w:szCs w:val="21"/>
                      <w:lang w:eastAsia="zh-CN"/>
                    </w:rPr>
                    <w:t>～</w:t>
                  </w:r>
                  <w:r>
                    <w:rPr>
                      <w:rFonts w:hint="eastAsia"/>
                      <w:color w:val="auto"/>
                      <w:szCs w:val="21"/>
                      <w:vertAlign w:val="superscript"/>
                    </w:rPr>
                    <w:t>6</w:t>
                  </w:r>
                  <w:r>
                    <w:rPr>
                      <w:rFonts w:hint="eastAsia"/>
                      <w:color w:val="auto"/>
                      <w:szCs w:val="21"/>
                    </w:rPr>
                    <w:t>cm/s，且分布连续、稳定。</w:t>
                  </w:r>
                </w:p>
              </w:tc>
            </w:tr>
            <w:tr w14:paraId="125FC65F">
              <w:tc>
                <w:tcPr>
                  <w:tcW w:w="1018" w:type="dxa"/>
                  <w:noWrap w:val="0"/>
                  <w:vAlign w:val="center"/>
                </w:tcPr>
                <w:p w14:paraId="150C8E1D">
                  <w:pPr>
                    <w:jc w:val="center"/>
                    <w:rPr>
                      <w:color w:val="auto"/>
                      <w:szCs w:val="21"/>
                    </w:rPr>
                  </w:pPr>
                  <w:r>
                    <w:rPr>
                      <w:rFonts w:hint="eastAsia"/>
                      <w:color w:val="auto"/>
                      <w:szCs w:val="21"/>
                    </w:rPr>
                    <w:t>中</w:t>
                  </w:r>
                </w:p>
              </w:tc>
              <w:tc>
                <w:tcPr>
                  <w:tcW w:w="6820" w:type="dxa"/>
                  <w:noWrap w:val="0"/>
                  <w:vAlign w:val="center"/>
                </w:tcPr>
                <w:p w14:paraId="169302F0">
                  <w:pPr>
                    <w:jc w:val="center"/>
                    <w:rPr>
                      <w:color w:val="auto"/>
                    </w:rPr>
                  </w:pPr>
                  <w:r>
                    <w:rPr>
                      <w:rFonts w:hint="eastAsia"/>
                      <w:color w:val="auto"/>
                    </w:rPr>
                    <w:t>岩（土）层单层厚度0.5m≤Mb≤1.0m，渗透系数K≤10</w:t>
                  </w:r>
                  <w:r>
                    <w:rPr>
                      <w:rFonts w:hint="eastAsia"/>
                      <w:color w:val="auto"/>
                      <w:lang w:eastAsia="zh-CN"/>
                    </w:rPr>
                    <w:t>～</w:t>
                  </w:r>
                  <w:r>
                    <w:rPr>
                      <w:rFonts w:hint="eastAsia"/>
                      <w:color w:val="auto"/>
                      <w:vertAlign w:val="superscript"/>
                    </w:rPr>
                    <w:t>6</w:t>
                  </w:r>
                  <w:r>
                    <w:rPr>
                      <w:rFonts w:hint="eastAsia"/>
                      <w:color w:val="auto"/>
                    </w:rPr>
                    <w:t>cm/s，且分布连续、稳定。</w:t>
                  </w:r>
                </w:p>
                <w:p w14:paraId="25D72D6B">
                  <w:pPr>
                    <w:pStyle w:val="17"/>
                    <w:spacing w:line="240" w:lineRule="auto"/>
                    <w:jc w:val="center"/>
                    <w:rPr>
                      <w:rFonts w:ascii="Times New Roman" w:hAnsi="Times New Roman"/>
                      <w:color w:val="auto"/>
                      <w:sz w:val="21"/>
                    </w:rPr>
                  </w:pPr>
                  <w:r>
                    <w:rPr>
                      <w:rFonts w:hint="eastAsia" w:ascii="Times New Roman" w:hAnsi="Times New Roman" w:cs="Times New Roman"/>
                      <w:b w:val="0"/>
                      <w:color w:val="auto"/>
                      <w:sz w:val="21"/>
                      <w:szCs w:val="21"/>
                    </w:rPr>
                    <w:t>岩（土）层单层厚度Mb≥1.0m，渗透系数10</w:t>
                  </w:r>
                  <w:r>
                    <w:rPr>
                      <w:rFonts w:hint="eastAsia" w:ascii="Times New Roman" w:hAnsi="Times New Roman" w:cs="Times New Roman"/>
                      <w:b w:val="0"/>
                      <w:color w:val="auto"/>
                      <w:sz w:val="21"/>
                      <w:szCs w:val="21"/>
                      <w:lang w:eastAsia="zh-CN"/>
                    </w:rPr>
                    <w:t>～</w:t>
                  </w:r>
                  <w:r>
                    <w:rPr>
                      <w:rFonts w:hint="eastAsia" w:ascii="Times New Roman" w:hAnsi="Times New Roman" w:cs="Times New Roman"/>
                      <w:b w:val="0"/>
                      <w:color w:val="auto"/>
                      <w:sz w:val="21"/>
                      <w:szCs w:val="21"/>
                      <w:vertAlign w:val="superscript"/>
                    </w:rPr>
                    <w:t>6</w:t>
                  </w:r>
                  <w:r>
                    <w:rPr>
                      <w:rFonts w:hint="eastAsia" w:ascii="Times New Roman" w:hAnsi="Times New Roman" w:cs="Times New Roman"/>
                      <w:b w:val="0"/>
                      <w:color w:val="auto"/>
                      <w:sz w:val="21"/>
                      <w:szCs w:val="21"/>
                    </w:rPr>
                    <w:t>cm/s</w:t>
                  </w:r>
                  <w:r>
                    <w:rPr>
                      <w:rFonts w:hint="eastAsia" w:ascii="Times New Roman" w:hAnsi="Times New Roman"/>
                      <w:color w:val="auto"/>
                      <w:sz w:val="21"/>
                    </w:rPr>
                    <w:t>≤</w:t>
                  </w:r>
                  <w:r>
                    <w:rPr>
                      <w:rFonts w:hint="eastAsia" w:ascii="Times New Roman" w:hAnsi="Times New Roman" w:cs="Times New Roman"/>
                      <w:b w:val="0"/>
                      <w:color w:val="auto"/>
                      <w:sz w:val="21"/>
                      <w:szCs w:val="21"/>
                    </w:rPr>
                    <w:t>K≤10</w:t>
                  </w:r>
                  <w:r>
                    <w:rPr>
                      <w:rFonts w:hint="eastAsia" w:ascii="Times New Roman" w:hAnsi="Times New Roman" w:cs="Times New Roman"/>
                      <w:b w:val="0"/>
                      <w:color w:val="auto"/>
                      <w:sz w:val="21"/>
                      <w:szCs w:val="21"/>
                      <w:lang w:eastAsia="zh-CN"/>
                    </w:rPr>
                    <w:t>～</w:t>
                  </w:r>
                  <w:r>
                    <w:rPr>
                      <w:rFonts w:hint="eastAsia" w:ascii="Times New Roman" w:hAnsi="Times New Roman" w:cs="Times New Roman"/>
                      <w:b w:val="0"/>
                      <w:color w:val="auto"/>
                      <w:sz w:val="21"/>
                      <w:szCs w:val="21"/>
                      <w:vertAlign w:val="superscript"/>
                    </w:rPr>
                    <w:t>4</w:t>
                  </w:r>
                  <w:r>
                    <w:rPr>
                      <w:rFonts w:hint="eastAsia" w:ascii="Times New Roman" w:hAnsi="Times New Roman" w:cs="Times New Roman"/>
                      <w:b w:val="0"/>
                      <w:color w:val="auto"/>
                      <w:sz w:val="21"/>
                      <w:szCs w:val="21"/>
                    </w:rPr>
                    <w:t>cm/s，且分布连续、稳定。</w:t>
                  </w:r>
                </w:p>
              </w:tc>
            </w:tr>
            <w:tr w14:paraId="1AA34114">
              <w:tc>
                <w:tcPr>
                  <w:tcW w:w="1018" w:type="dxa"/>
                  <w:noWrap w:val="0"/>
                  <w:vAlign w:val="center"/>
                </w:tcPr>
                <w:p w14:paraId="277B0009">
                  <w:pPr>
                    <w:jc w:val="center"/>
                    <w:rPr>
                      <w:color w:val="auto"/>
                      <w:szCs w:val="21"/>
                    </w:rPr>
                  </w:pPr>
                  <w:r>
                    <w:rPr>
                      <w:rFonts w:hint="eastAsia"/>
                      <w:color w:val="auto"/>
                      <w:szCs w:val="21"/>
                    </w:rPr>
                    <w:t>弱</w:t>
                  </w:r>
                </w:p>
              </w:tc>
              <w:tc>
                <w:tcPr>
                  <w:tcW w:w="6820" w:type="dxa"/>
                  <w:noWrap w:val="0"/>
                  <w:vAlign w:val="center"/>
                </w:tcPr>
                <w:p w14:paraId="2249776A">
                  <w:pPr>
                    <w:jc w:val="center"/>
                    <w:rPr>
                      <w:color w:val="auto"/>
                      <w:szCs w:val="21"/>
                    </w:rPr>
                  </w:pPr>
                  <w:r>
                    <w:rPr>
                      <w:rFonts w:hint="eastAsia"/>
                      <w:color w:val="auto"/>
                      <w:szCs w:val="21"/>
                    </w:rPr>
                    <w:t>岩（土）层不满足上述“强”和“中”条件。</w:t>
                  </w:r>
                </w:p>
              </w:tc>
            </w:tr>
          </w:tbl>
          <w:p w14:paraId="51B3C38D">
            <w:pPr>
              <w:spacing w:before="120" w:beforeLines="50" w:line="240" w:lineRule="auto"/>
              <w:jc w:val="center"/>
              <w:rPr>
                <w:b/>
                <w:color w:val="auto"/>
                <w:sz w:val="21"/>
                <w:szCs w:val="21"/>
              </w:rPr>
            </w:pPr>
            <w:r>
              <w:rPr>
                <w:b/>
                <w:color w:val="auto"/>
                <w:sz w:val="21"/>
                <w:szCs w:val="21"/>
              </w:rPr>
              <w:t>表4-</w:t>
            </w:r>
            <w:r>
              <w:rPr>
                <w:rFonts w:hint="eastAsia"/>
                <w:b/>
                <w:color w:val="auto"/>
                <w:sz w:val="21"/>
                <w:szCs w:val="21"/>
                <w:lang w:val="en-US" w:eastAsia="zh-CN"/>
              </w:rPr>
              <w:t xml:space="preserve">27  </w:t>
            </w:r>
            <w:r>
              <w:rPr>
                <w:b/>
                <w:color w:val="auto"/>
                <w:sz w:val="21"/>
                <w:szCs w:val="21"/>
              </w:rPr>
              <w:t>地下水污染防渗分区参照表</w:t>
            </w:r>
          </w:p>
          <w:tbl>
            <w:tblPr>
              <w:tblStyle w:val="21"/>
              <w:tblW w:w="783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213"/>
              <w:gridCol w:w="1230"/>
              <w:gridCol w:w="1200"/>
              <w:gridCol w:w="1695"/>
              <w:gridCol w:w="2500"/>
            </w:tblGrid>
            <w:tr w14:paraId="6EF54FE7">
              <w:tc>
                <w:tcPr>
                  <w:tcW w:w="1213" w:type="dxa"/>
                  <w:noWrap w:val="0"/>
                  <w:vAlign w:val="center"/>
                </w:tcPr>
                <w:p w14:paraId="088F3D9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防渗分区</w:t>
                  </w:r>
                </w:p>
              </w:tc>
              <w:tc>
                <w:tcPr>
                  <w:tcW w:w="1230" w:type="dxa"/>
                  <w:noWrap w:val="0"/>
                  <w:vAlign w:val="center"/>
                </w:tcPr>
                <w:p w14:paraId="3ED2CD1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天然包气带防污性能</w:t>
                  </w:r>
                </w:p>
              </w:tc>
              <w:tc>
                <w:tcPr>
                  <w:tcW w:w="1200" w:type="dxa"/>
                  <w:noWrap w:val="0"/>
                  <w:vAlign w:val="center"/>
                </w:tcPr>
                <w:p w14:paraId="130EB89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污染控制难易程度</w:t>
                  </w:r>
                </w:p>
              </w:tc>
              <w:tc>
                <w:tcPr>
                  <w:tcW w:w="1695" w:type="dxa"/>
                  <w:noWrap w:val="0"/>
                  <w:vAlign w:val="center"/>
                </w:tcPr>
                <w:p w14:paraId="5DDBBB0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污染物类型</w:t>
                  </w:r>
                </w:p>
              </w:tc>
              <w:tc>
                <w:tcPr>
                  <w:tcW w:w="2500" w:type="dxa"/>
                  <w:noWrap w:val="0"/>
                  <w:vAlign w:val="center"/>
                </w:tcPr>
                <w:p w14:paraId="704CA98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防渗技术要求</w:t>
                  </w:r>
                </w:p>
              </w:tc>
            </w:tr>
            <w:tr w14:paraId="34C645F3">
              <w:trPr>
                <w:trHeight w:val="427" w:hRule="atLeast"/>
              </w:trPr>
              <w:tc>
                <w:tcPr>
                  <w:tcW w:w="1213" w:type="dxa"/>
                  <w:vMerge w:val="restart"/>
                  <w:noWrap w:val="0"/>
                  <w:vAlign w:val="center"/>
                </w:tcPr>
                <w:p w14:paraId="5E78A45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重点防渗区</w:t>
                  </w:r>
                </w:p>
              </w:tc>
              <w:tc>
                <w:tcPr>
                  <w:tcW w:w="1230" w:type="dxa"/>
                  <w:noWrap w:val="0"/>
                  <w:vAlign w:val="center"/>
                </w:tcPr>
                <w:p w14:paraId="2924060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弱</w:t>
                  </w:r>
                </w:p>
              </w:tc>
              <w:tc>
                <w:tcPr>
                  <w:tcW w:w="1200" w:type="dxa"/>
                  <w:noWrap w:val="0"/>
                  <w:vAlign w:val="center"/>
                </w:tcPr>
                <w:p w14:paraId="5624120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易-</w:t>
                  </w:r>
                  <w:r>
                    <w:rPr>
                      <w:rFonts w:hint="eastAsia" w:ascii="Times New Roman" w:hAnsi="Times New Roman" w:eastAsia="宋体" w:cs="Times New Roman"/>
                      <w:color w:val="auto"/>
                    </w:rPr>
                    <w:t>难</w:t>
                  </w:r>
                </w:p>
              </w:tc>
              <w:tc>
                <w:tcPr>
                  <w:tcW w:w="1695" w:type="dxa"/>
                  <w:vMerge w:val="restart"/>
                  <w:noWrap w:val="0"/>
                  <w:vAlign w:val="center"/>
                </w:tcPr>
                <w:p w14:paraId="24E7D93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重金属、持久性有机污染物</w:t>
                  </w:r>
                </w:p>
              </w:tc>
              <w:tc>
                <w:tcPr>
                  <w:tcW w:w="2500" w:type="dxa"/>
                  <w:vMerge w:val="restart"/>
                  <w:noWrap w:val="0"/>
                  <w:vAlign w:val="center"/>
                </w:tcPr>
                <w:p w14:paraId="58C6ECF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等效黏土防渗层Mb≥6.0m，K≤10</w:t>
                  </w:r>
                  <w:r>
                    <w:rPr>
                      <w:rFonts w:hint="eastAsia" w:cs="Times New Roman"/>
                      <w:color w:val="auto"/>
                      <w:lang w:eastAsia="zh-CN"/>
                    </w:rPr>
                    <w:t>～</w:t>
                  </w:r>
                  <w:r>
                    <w:rPr>
                      <w:rFonts w:hint="eastAsia" w:ascii="Times New Roman" w:hAnsi="Times New Roman" w:eastAsia="宋体" w:cs="Times New Roman"/>
                      <w:color w:val="auto"/>
                      <w:vertAlign w:val="superscript"/>
                    </w:rPr>
                    <w:t>7</w:t>
                  </w:r>
                  <w:r>
                    <w:rPr>
                      <w:rFonts w:hint="eastAsia" w:ascii="Times New Roman" w:hAnsi="Times New Roman" w:eastAsia="宋体" w:cs="Times New Roman"/>
                      <w:color w:val="auto"/>
                    </w:rPr>
                    <w:t>cm/s；或参照GB18598执行</w:t>
                  </w:r>
                </w:p>
              </w:tc>
            </w:tr>
            <w:tr w14:paraId="3D7B6B07">
              <w:tc>
                <w:tcPr>
                  <w:tcW w:w="1213" w:type="dxa"/>
                  <w:vMerge w:val="continue"/>
                  <w:noWrap w:val="0"/>
                  <w:vAlign w:val="center"/>
                </w:tcPr>
                <w:p w14:paraId="245FF41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p>
              </w:tc>
              <w:tc>
                <w:tcPr>
                  <w:tcW w:w="1230" w:type="dxa"/>
                  <w:noWrap w:val="0"/>
                  <w:vAlign w:val="center"/>
                </w:tcPr>
                <w:p w14:paraId="44C4149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中-强</w:t>
                  </w:r>
                </w:p>
              </w:tc>
              <w:tc>
                <w:tcPr>
                  <w:tcW w:w="1200" w:type="dxa"/>
                  <w:noWrap w:val="0"/>
                  <w:vAlign w:val="center"/>
                </w:tcPr>
                <w:p w14:paraId="49EFD76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难</w:t>
                  </w:r>
                </w:p>
              </w:tc>
              <w:tc>
                <w:tcPr>
                  <w:tcW w:w="1695" w:type="dxa"/>
                  <w:vMerge w:val="continue"/>
                  <w:noWrap w:val="0"/>
                  <w:vAlign w:val="center"/>
                </w:tcPr>
                <w:p w14:paraId="1F681A2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p>
              </w:tc>
              <w:tc>
                <w:tcPr>
                  <w:tcW w:w="2500" w:type="dxa"/>
                  <w:vMerge w:val="continue"/>
                  <w:noWrap w:val="0"/>
                  <w:vAlign w:val="center"/>
                </w:tcPr>
                <w:p w14:paraId="3B07F96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p>
              </w:tc>
            </w:tr>
            <w:tr w14:paraId="69F9BA4D">
              <w:tc>
                <w:tcPr>
                  <w:tcW w:w="1213" w:type="dxa"/>
                  <w:vMerge w:val="restart"/>
                  <w:noWrap w:val="0"/>
                  <w:vAlign w:val="center"/>
                </w:tcPr>
                <w:p w14:paraId="139C9B2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一般防渗区</w:t>
                  </w:r>
                </w:p>
              </w:tc>
              <w:tc>
                <w:tcPr>
                  <w:tcW w:w="1230" w:type="dxa"/>
                  <w:noWrap w:val="0"/>
                  <w:vAlign w:val="center"/>
                </w:tcPr>
                <w:p w14:paraId="582A548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中-强</w:t>
                  </w:r>
                </w:p>
              </w:tc>
              <w:tc>
                <w:tcPr>
                  <w:tcW w:w="1200" w:type="dxa"/>
                  <w:noWrap w:val="0"/>
                  <w:vAlign w:val="center"/>
                </w:tcPr>
                <w:p w14:paraId="17C7DA5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易</w:t>
                  </w:r>
                </w:p>
              </w:tc>
              <w:tc>
                <w:tcPr>
                  <w:tcW w:w="1695" w:type="dxa"/>
                  <w:noWrap w:val="0"/>
                  <w:vAlign w:val="center"/>
                </w:tcPr>
                <w:p w14:paraId="2A4C8B6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重金属、持久性有机污染物</w:t>
                  </w:r>
                </w:p>
              </w:tc>
              <w:tc>
                <w:tcPr>
                  <w:tcW w:w="2500" w:type="dxa"/>
                  <w:vMerge w:val="restart"/>
                  <w:noWrap w:val="0"/>
                  <w:vAlign w:val="center"/>
                </w:tcPr>
                <w:p w14:paraId="67C2E2B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等效黏土防渗层Mb≥1.5m，K≤10</w:t>
                  </w:r>
                  <w:r>
                    <w:rPr>
                      <w:rFonts w:hint="eastAsia" w:cs="Times New Roman"/>
                      <w:color w:val="auto"/>
                      <w:lang w:eastAsia="zh-CN"/>
                    </w:rPr>
                    <w:t>～</w:t>
                  </w:r>
                  <w:r>
                    <w:rPr>
                      <w:rFonts w:hint="eastAsia" w:ascii="Times New Roman" w:hAnsi="Times New Roman" w:eastAsia="宋体" w:cs="Times New Roman"/>
                      <w:color w:val="auto"/>
                      <w:vertAlign w:val="superscript"/>
                    </w:rPr>
                    <w:t>7</w:t>
                  </w:r>
                  <w:r>
                    <w:rPr>
                      <w:rFonts w:hint="eastAsia" w:ascii="Times New Roman" w:hAnsi="Times New Roman" w:eastAsia="宋体" w:cs="Times New Roman"/>
                      <w:color w:val="auto"/>
                    </w:rPr>
                    <w:t>cm/s；或参照GB16889执行</w:t>
                  </w:r>
                </w:p>
              </w:tc>
            </w:tr>
            <w:tr w14:paraId="2C82F263">
              <w:tc>
                <w:tcPr>
                  <w:tcW w:w="1213" w:type="dxa"/>
                  <w:vMerge w:val="continue"/>
                  <w:noWrap w:val="0"/>
                  <w:vAlign w:val="center"/>
                </w:tcPr>
                <w:p w14:paraId="73ABD88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p>
              </w:tc>
              <w:tc>
                <w:tcPr>
                  <w:tcW w:w="1230" w:type="dxa"/>
                  <w:noWrap w:val="0"/>
                  <w:vAlign w:val="center"/>
                </w:tcPr>
                <w:p w14:paraId="241F729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弱</w:t>
                  </w:r>
                </w:p>
              </w:tc>
              <w:tc>
                <w:tcPr>
                  <w:tcW w:w="1200" w:type="dxa"/>
                  <w:noWrap w:val="0"/>
                  <w:vAlign w:val="center"/>
                </w:tcPr>
                <w:p w14:paraId="6304E16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易-难</w:t>
                  </w:r>
                </w:p>
              </w:tc>
              <w:tc>
                <w:tcPr>
                  <w:tcW w:w="1695" w:type="dxa"/>
                  <w:vMerge w:val="restart"/>
                  <w:noWrap w:val="0"/>
                  <w:vAlign w:val="center"/>
                </w:tcPr>
                <w:p w14:paraId="451434C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其他类型</w:t>
                  </w:r>
                </w:p>
              </w:tc>
              <w:tc>
                <w:tcPr>
                  <w:tcW w:w="2500" w:type="dxa"/>
                  <w:vMerge w:val="continue"/>
                  <w:noWrap w:val="0"/>
                  <w:vAlign w:val="center"/>
                </w:tcPr>
                <w:p w14:paraId="5331C54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p>
              </w:tc>
            </w:tr>
            <w:tr w14:paraId="577BF7CE">
              <w:tc>
                <w:tcPr>
                  <w:tcW w:w="1213" w:type="dxa"/>
                  <w:vMerge w:val="continue"/>
                  <w:noWrap w:val="0"/>
                  <w:vAlign w:val="center"/>
                </w:tcPr>
                <w:p w14:paraId="02E11B8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p>
              </w:tc>
              <w:tc>
                <w:tcPr>
                  <w:tcW w:w="1230" w:type="dxa"/>
                  <w:noWrap w:val="0"/>
                  <w:vAlign w:val="center"/>
                </w:tcPr>
                <w:p w14:paraId="3FEE20C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中-强</w:t>
                  </w:r>
                </w:p>
              </w:tc>
              <w:tc>
                <w:tcPr>
                  <w:tcW w:w="1200" w:type="dxa"/>
                  <w:noWrap w:val="0"/>
                  <w:vAlign w:val="center"/>
                </w:tcPr>
                <w:p w14:paraId="5C3A6F6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难</w:t>
                  </w:r>
                </w:p>
              </w:tc>
              <w:tc>
                <w:tcPr>
                  <w:tcW w:w="1695" w:type="dxa"/>
                  <w:vMerge w:val="continue"/>
                  <w:noWrap w:val="0"/>
                  <w:vAlign w:val="center"/>
                </w:tcPr>
                <w:p w14:paraId="70CFD61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p>
              </w:tc>
              <w:tc>
                <w:tcPr>
                  <w:tcW w:w="2500" w:type="dxa"/>
                  <w:vMerge w:val="continue"/>
                  <w:noWrap w:val="0"/>
                  <w:vAlign w:val="center"/>
                </w:tcPr>
                <w:p w14:paraId="28FD9B9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p>
              </w:tc>
            </w:tr>
            <w:tr w14:paraId="761B49CF">
              <w:tc>
                <w:tcPr>
                  <w:tcW w:w="1213" w:type="dxa"/>
                  <w:noWrap w:val="0"/>
                  <w:vAlign w:val="center"/>
                </w:tcPr>
                <w:p w14:paraId="2213D6B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简单防渗区</w:t>
                  </w:r>
                </w:p>
              </w:tc>
              <w:tc>
                <w:tcPr>
                  <w:tcW w:w="1230" w:type="dxa"/>
                  <w:noWrap w:val="0"/>
                  <w:vAlign w:val="center"/>
                </w:tcPr>
                <w:p w14:paraId="4913E5C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中-强</w:t>
                  </w:r>
                </w:p>
              </w:tc>
              <w:tc>
                <w:tcPr>
                  <w:tcW w:w="1200" w:type="dxa"/>
                  <w:noWrap w:val="0"/>
                  <w:vAlign w:val="center"/>
                </w:tcPr>
                <w:p w14:paraId="28767D5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易</w:t>
                  </w:r>
                </w:p>
              </w:tc>
              <w:tc>
                <w:tcPr>
                  <w:tcW w:w="1695" w:type="dxa"/>
                  <w:noWrap w:val="0"/>
                  <w:vAlign w:val="center"/>
                </w:tcPr>
                <w:p w14:paraId="00C2F6E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其他类型</w:t>
                  </w:r>
                </w:p>
              </w:tc>
              <w:tc>
                <w:tcPr>
                  <w:tcW w:w="2500" w:type="dxa"/>
                  <w:noWrap w:val="0"/>
                  <w:vAlign w:val="center"/>
                </w:tcPr>
                <w:p w14:paraId="0909743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一般地面硬化</w:t>
                  </w:r>
                </w:p>
              </w:tc>
            </w:tr>
          </w:tbl>
          <w:p w14:paraId="5BB3ADD6">
            <w:pPr>
              <w:spacing w:before="120" w:beforeLines="50" w:line="240" w:lineRule="auto"/>
              <w:jc w:val="center"/>
              <w:rPr>
                <w:b/>
                <w:color w:val="auto"/>
                <w:sz w:val="21"/>
                <w:szCs w:val="21"/>
              </w:rPr>
            </w:pPr>
            <w:r>
              <w:rPr>
                <w:b/>
                <w:color w:val="auto"/>
                <w:sz w:val="21"/>
                <w:szCs w:val="21"/>
              </w:rPr>
              <w:t>表4-</w:t>
            </w:r>
            <w:r>
              <w:rPr>
                <w:rFonts w:hint="eastAsia"/>
                <w:b/>
                <w:color w:val="auto"/>
                <w:sz w:val="21"/>
                <w:szCs w:val="21"/>
                <w:lang w:val="en-US" w:eastAsia="zh-CN"/>
              </w:rPr>
              <w:t xml:space="preserve">28  </w:t>
            </w:r>
            <w:r>
              <w:rPr>
                <w:rFonts w:hint="eastAsia"/>
                <w:b/>
                <w:color w:val="auto"/>
                <w:sz w:val="21"/>
                <w:szCs w:val="21"/>
              </w:rPr>
              <w:t>本项目</w:t>
            </w:r>
            <w:r>
              <w:rPr>
                <w:b/>
                <w:color w:val="auto"/>
                <w:sz w:val="21"/>
                <w:szCs w:val="21"/>
              </w:rPr>
              <w:t>地下水污染防渗分区划分表</w:t>
            </w:r>
          </w:p>
          <w:tbl>
            <w:tblPr>
              <w:tblStyle w:val="21"/>
              <w:tblW w:w="783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67"/>
              <w:gridCol w:w="1427"/>
              <w:gridCol w:w="1290"/>
              <w:gridCol w:w="1986"/>
              <w:gridCol w:w="1568"/>
            </w:tblGrid>
            <w:tr w14:paraId="389BF44B">
              <w:tc>
                <w:tcPr>
                  <w:tcW w:w="1567" w:type="dxa"/>
                  <w:noWrap w:val="0"/>
                  <w:vAlign w:val="center"/>
                </w:tcPr>
                <w:p w14:paraId="0B3A5252">
                  <w:pPr>
                    <w:adjustRightInd w:val="0"/>
                    <w:snapToGrid w:val="0"/>
                    <w:jc w:val="center"/>
                    <w:rPr>
                      <w:color w:val="auto"/>
                    </w:rPr>
                  </w:pPr>
                  <w:r>
                    <w:rPr>
                      <w:rFonts w:hint="eastAsia"/>
                      <w:color w:val="auto"/>
                    </w:rPr>
                    <w:t>构、建筑物名称</w:t>
                  </w:r>
                </w:p>
              </w:tc>
              <w:tc>
                <w:tcPr>
                  <w:tcW w:w="1427" w:type="dxa"/>
                  <w:noWrap w:val="0"/>
                  <w:vAlign w:val="center"/>
                </w:tcPr>
                <w:p w14:paraId="7C7FC8FA">
                  <w:pPr>
                    <w:adjustRightInd w:val="0"/>
                    <w:snapToGrid w:val="0"/>
                    <w:jc w:val="center"/>
                    <w:rPr>
                      <w:color w:val="auto"/>
                    </w:rPr>
                  </w:pPr>
                  <w:r>
                    <w:rPr>
                      <w:rFonts w:hint="eastAsia"/>
                      <w:color w:val="auto"/>
                    </w:rPr>
                    <w:t>天然包气带防污性能</w:t>
                  </w:r>
                </w:p>
              </w:tc>
              <w:tc>
                <w:tcPr>
                  <w:tcW w:w="1290" w:type="dxa"/>
                  <w:noWrap w:val="0"/>
                  <w:vAlign w:val="center"/>
                </w:tcPr>
                <w:p w14:paraId="300D000A">
                  <w:pPr>
                    <w:adjustRightInd w:val="0"/>
                    <w:snapToGrid w:val="0"/>
                    <w:jc w:val="center"/>
                    <w:rPr>
                      <w:color w:val="auto"/>
                    </w:rPr>
                  </w:pPr>
                  <w:r>
                    <w:rPr>
                      <w:rFonts w:hint="eastAsia"/>
                      <w:color w:val="auto"/>
                    </w:rPr>
                    <w:t>污染控制难易程度</w:t>
                  </w:r>
                </w:p>
              </w:tc>
              <w:tc>
                <w:tcPr>
                  <w:tcW w:w="1986" w:type="dxa"/>
                  <w:noWrap w:val="0"/>
                  <w:vAlign w:val="center"/>
                </w:tcPr>
                <w:p w14:paraId="1D67311B">
                  <w:pPr>
                    <w:adjustRightInd w:val="0"/>
                    <w:snapToGrid w:val="0"/>
                    <w:jc w:val="center"/>
                    <w:rPr>
                      <w:color w:val="auto"/>
                    </w:rPr>
                  </w:pPr>
                  <w:r>
                    <w:rPr>
                      <w:rFonts w:hint="eastAsia"/>
                      <w:color w:val="auto"/>
                    </w:rPr>
                    <w:t>污染物类型</w:t>
                  </w:r>
                </w:p>
              </w:tc>
              <w:tc>
                <w:tcPr>
                  <w:tcW w:w="1568" w:type="dxa"/>
                  <w:noWrap w:val="0"/>
                  <w:vAlign w:val="center"/>
                </w:tcPr>
                <w:p w14:paraId="62B0E8C2">
                  <w:pPr>
                    <w:adjustRightInd w:val="0"/>
                    <w:snapToGrid w:val="0"/>
                    <w:jc w:val="center"/>
                    <w:rPr>
                      <w:color w:val="auto"/>
                    </w:rPr>
                  </w:pPr>
                  <w:r>
                    <w:rPr>
                      <w:rFonts w:hint="eastAsia"/>
                      <w:color w:val="auto"/>
                    </w:rPr>
                    <w:t>防渗分区等级</w:t>
                  </w:r>
                </w:p>
              </w:tc>
            </w:tr>
            <w:tr w14:paraId="1E818654">
              <w:trPr>
                <w:trHeight w:val="303" w:hRule="atLeast"/>
              </w:trPr>
              <w:tc>
                <w:tcPr>
                  <w:tcW w:w="1567" w:type="dxa"/>
                  <w:noWrap w:val="0"/>
                  <w:vAlign w:val="center"/>
                </w:tcPr>
                <w:p w14:paraId="265C3477">
                  <w:pPr>
                    <w:adjustRightInd w:val="0"/>
                    <w:snapToGrid w:val="0"/>
                    <w:jc w:val="center"/>
                    <w:rPr>
                      <w:rFonts w:hint="eastAsia"/>
                      <w:color w:val="auto"/>
                    </w:rPr>
                  </w:pPr>
                  <w:r>
                    <w:rPr>
                      <w:rFonts w:hint="eastAsia"/>
                      <w:color w:val="auto"/>
                    </w:rPr>
                    <w:t>生产厂房</w:t>
                  </w:r>
                </w:p>
              </w:tc>
              <w:tc>
                <w:tcPr>
                  <w:tcW w:w="1427" w:type="dxa"/>
                  <w:noWrap w:val="0"/>
                  <w:vAlign w:val="center"/>
                </w:tcPr>
                <w:p w14:paraId="56B3134E">
                  <w:pPr>
                    <w:adjustRightInd w:val="0"/>
                    <w:snapToGrid w:val="0"/>
                    <w:jc w:val="center"/>
                    <w:rPr>
                      <w:color w:val="auto"/>
                    </w:rPr>
                  </w:pPr>
                  <w:r>
                    <w:rPr>
                      <w:rFonts w:hint="eastAsia"/>
                      <w:color w:val="auto"/>
                    </w:rPr>
                    <w:t>中</w:t>
                  </w:r>
                </w:p>
              </w:tc>
              <w:tc>
                <w:tcPr>
                  <w:tcW w:w="1290" w:type="dxa"/>
                  <w:noWrap w:val="0"/>
                  <w:vAlign w:val="center"/>
                </w:tcPr>
                <w:p w14:paraId="6C7228E8">
                  <w:pPr>
                    <w:adjustRightInd w:val="0"/>
                    <w:snapToGrid w:val="0"/>
                    <w:jc w:val="center"/>
                    <w:rPr>
                      <w:color w:val="auto"/>
                    </w:rPr>
                  </w:pPr>
                  <w:r>
                    <w:rPr>
                      <w:rFonts w:hint="eastAsia"/>
                      <w:color w:val="auto"/>
                    </w:rPr>
                    <w:t>易</w:t>
                  </w:r>
                </w:p>
              </w:tc>
              <w:tc>
                <w:tcPr>
                  <w:tcW w:w="1986" w:type="dxa"/>
                  <w:noWrap w:val="0"/>
                  <w:vAlign w:val="center"/>
                </w:tcPr>
                <w:p w14:paraId="29A6D065">
                  <w:pPr>
                    <w:adjustRightInd w:val="0"/>
                    <w:snapToGrid w:val="0"/>
                    <w:jc w:val="center"/>
                    <w:rPr>
                      <w:color w:val="auto"/>
                    </w:rPr>
                  </w:pPr>
                  <w:r>
                    <w:rPr>
                      <w:rFonts w:hint="eastAsia"/>
                      <w:color w:val="auto"/>
                    </w:rPr>
                    <w:t>其他类型</w:t>
                  </w:r>
                </w:p>
              </w:tc>
              <w:tc>
                <w:tcPr>
                  <w:tcW w:w="1568" w:type="dxa"/>
                  <w:noWrap w:val="0"/>
                  <w:vAlign w:val="center"/>
                </w:tcPr>
                <w:p w14:paraId="477038E8">
                  <w:pPr>
                    <w:adjustRightInd w:val="0"/>
                    <w:snapToGrid w:val="0"/>
                    <w:jc w:val="center"/>
                    <w:rPr>
                      <w:color w:val="auto"/>
                    </w:rPr>
                  </w:pPr>
                  <w:r>
                    <w:rPr>
                      <w:rFonts w:hint="eastAsia"/>
                      <w:color w:val="auto"/>
                    </w:rPr>
                    <w:t>简单防渗区</w:t>
                  </w:r>
                </w:p>
              </w:tc>
            </w:tr>
            <w:tr w14:paraId="22171324">
              <w:trPr>
                <w:trHeight w:val="330" w:hRule="atLeast"/>
              </w:trPr>
              <w:tc>
                <w:tcPr>
                  <w:tcW w:w="1567" w:type="dxa"/>
                  <w:noWrap w:val="0"/>
                  <w:vAlign w:val="center"/>
                </w:tcPr>
                <w:p w14:paraId="54E29E12">
                  <w:pPr>
                    <w:adjustRightInd w:val="0"/>
                    <w:snapToGrid w:val="0"/>
                    <w:jc w:val="center"/>
                    <w:rPr>
                      <w:rFonts w:hint="eastAsia" w:eastAsia="宋体"/>
                      <w:color w:val="auto"/>
                      <w:lang w:val="en-US" w:eastAsia="zh-CN"/>
                    </w:rPr>
                  </w:pPr>
                  <w:r>
                    <w:rPr>
                      <w:rFonts w:hint="eastAsia"/>
                      <w:color w:val="auto"/>
                      <w:lang w:val="en-US" w:eastAsia="zh-CN"/>
                    </w:rPr>
                    <w:t>成品库</w:t>
                  </w:r>
                </w:p>
              </w:tc>
              <w:tc>
                <w:tcPr>
                  <w:tcW w:w="1427" w:type="dxa"/>
                  <w:noWrap w:val="0"/>
                  <w:vAlign w:val="center"/>
                </w:tcPr>
                <w:p w14:paraId="19D7BE55">
                  <w:pPr>
                    <w:adjustRightInd w:val="0"/>
                    <w:snapToGrid w:val="0"/>
                    <w:jc w:val="center"/>
                    <w:rPr>
                      <w:color w:val="auto"/>
                    </w:rPr>
                  </w:pPr>
                  <w:r>
                    <w:rPr>
                      <w:rFonts w:hint="eastAsia"/>
                      <w:color w:val="auto"/>
                    </w:rPr>
                    <w:t>中</w:t>
                  </w:r>
                </w:p>
              </w:tc>
              <w:tc>
                <w:tcPr>
                  <w:tcW w:w="1290" w:type="dxa"/>
                  <w:noWrap w:val="0"/>
                  <w:vAlign w:val="center"/>
                </w:tcPr>
                <w:p w14:paraId="498DED93">
                  <w:pPr>
                    <w:adjustRightInd w:val="0"/>
                    <w:snapToGrid w:val="0"/>
                    <w:jc w:val="center"/>
                    <w:rPr>
                      <w:color w:val="auto"/>
                    </w:rPr>
                  </w:pPr>
                  <w:r>
                    <w:rPr>
                      <w:rFonts w:hint="eastAsia"/>
                      <w:color w:val="auto"/>
                    </w:rPr>
                    <w:t>易</w:t>
                  </w:r>
                </w:p>
              </w:tc>
              <w:tc>
                <w:tcPr>
                  <w:tcW w:w="1986" w:type="dxa"/>
                  <w:noWrap w:val="0"/>
                  <w:vAlign w:val="center"/>
                </w:tcPr>
                <w:p w14:paraId="6F9BA33D">
                  <w:pPr>
                    <w:adjustRightInd w:val="0"/>
                    <w:snapToGrid w:val="0"/>
                    <w:jc w:val="center"/>
                    <w:rPr>
                      <w:color w:val="auto"/>
                    </w:rPr>
                  </w:pPr>
                  <w:r>
                    <w:rPr>
                      <w:rFonts w:hint="eastAsia"/>
                      <w:color w:val="auto"/>
                    </w:rPr>
                    <w:t>其他类型</w:t>
                  </w:r>
                </w:p>
              </w:tc>
              <w:tc>
                <w:tcPr>
                  <w:tcW w:w="1568" w:type="dxa"/>
                  <w:noWrap w:val="0"/>
                  <w:vAlign w:val="center"/>
                </w:tcPr>
                <w:p w14:paraId="284BBD67">
                  <w:pPr>
                    <w:adjustRightInd w:val="0"/>
                    <w:snapToGrid w:val="0"/>
                    <w:jc w:val="center"/>
                    <w:rPr>
                      <w:color w:val="auto"/>
                    </w:rPr>
                  </w:pPr>
                  <w:r>
                    <w:rPr>
                      <w:rFonts w:hint="eastAsia"/>
                      <w:color w:val="auto"/>
                    </w:rPr>
                    <w:t>简单防渗区</w:t>
                  </w:r>
                </w:p>
              </w:tc>
            </w:tr>
            <w:tr w14:paraId="0D061CF3">
              <w:trPr>
                <w:trHeight w:val="330" w:hRule="atLeast"/>
              </w:trPr>
              <w:tc>
                <w:tcPr>
                  <w:tcW w:w="1567" w:type="dxa"/>
                  <w:noWrap w:val="0"/>
                  <w:vAlign w:val="center"/>
                </w:tcPr>
                <w:p w14:paraId="63A4D3FD">
                  <w:pPr>
                    <w:adjustRightInd w:val="0"/>
                    <w:snapToGrid w:val="0"/>
                    <w:jc w:val="center"/>
                    <w:rPr>
                      <w:rFonts w:hint="default"/>
                      <w:color w:val="auto"/>
                      <w:lang w:val="en-US" w:eastAsia="zh-CN"/>
                    </w:rPr>
                  </w:pPr>
                  <w:r>
                    <w:rPr>
                      <w:rFonts w:hint="eastAsia"/>
                      <w:color w:val="auto"/>
                      <w:lang w:val="en-US" w:eastAsia="zh-CN"/>
                    </w:rPr>
                    <w:t>办公区</w:t>
                  </w:r>
                </w:p>
              </w:tc>
              <w:tc>
                <w:tcPr>
                  <w:tcW w:w="1427" w:type="dxa"/>
                  <w:noWrap w:val="0"/>
                  <w:vAlign w:val="center"/>
                </w:tcPr>
                <w:p w14:paraId="5500DA69">
                  <w:pPr>
                    <w:adjustRightInd w:val="0"/>
                    <w:snapToGrid w:val="0"/>
                    <w:jc w:val="center"/>
                    <w:rPr>
                      <w:rFonts w:hint="eastAsia"/>
                      <w:color w:val="auto"/>
                    </w:rPr>
                  </w:pPr>
                  <w:r>
                    <w:rPr>
                      <w:rFonts w:hint="eastAsia"/>
                      <w:color w:val="auto"/>
                    </w:rPr>
                    <w:t>中</w:t>
                  </w:r>
                </w:p>
              </w:tc>
              <w:tc>
                <w:tcPr>
                  <w:tcW w:w="1290" w:type="dxa"/>
                  <w:noWrap w:val="0"/>
                  <w:vAlign w:val="center"/>
                </w:tcPr>
                <w:p w14:paraId="285FEE61">
                  <w:pPr>
                    <w:adjustRightInd w:val="0"/>
                    <w:snapToGrid w:val="0"/>
                    <w:jc w:val="center"/>
                    <w:rPr>
                      <w:rFonts w:hint="eastAsia"/>
                      <w:color w:val="auto"/>
                    </w:rPr>
                  </w:pPr>
                  <w:r>
                    <w:rPr>
                      <w:rFonts w:hint="eastAsia"/>
                      <w:color w:val="auto"/>
                    </w:rPr>
                    <w:t>易</w:t>
                  </w:r>
                </w:p>
              </w:tc>
              <w:tc>
                <w:tcPr>
                  <w:tcW w:w="1986" w:type="dxa"/>
                  <w:noWrap w:val="0"/>
                  <w:vAlign w:val="center"/>
                </w:tcPr>
                <w:p w14:paraId="5BC05844">
                  <w:pPr>
                    <w:adjustRightInd w:val="0"/>
                    <w:snapToGrid w:val="0"/>
                    <w:jc w:val="center"/>
                    <w:rPr>
                      <w:rFonts w:hint="eastAsia"/>
                      <w:color w:val="auto"/>
                    </w:rPr>
                  </w:pPr>
                  <w:r>
                    <w:rPr>
                      <w:rFonts w:hint="eastAsia"/>
                      <w:color w:val="auto"/>
                    </w:rPr>
                    <w:t>其他类型</w:t>
                  </w:r>
                </w:p>
              </w:tc>
              <w:tc>
                <w:tcPr>
                  <w:tcW w:w="1568" w:type="dxa"/>
                  <w:noWrap w:val="0"/>
                  <w:vAlign w:val="center"/>
                </w:tcPr>
                <w:p w14:paraId="6DF6F46A">
                  <w:pPr>
                    <w:adjustRightInd w:val="0"/>
                    <w:snapToGrid w:val="0"/>
                    <w:jc w:val="center"/>
                    <w:rPr>
                      <w:rFonts w:hint="eastAsia"/>
                      <w:color w:val="auto"/>
                    </w:rPr>
                  </w:pPr>
                  <w:r>
                    <w:rPr>
                      <w:rFonts w:hint="eastAsia"/>
                      <w:color w:val="auto"/>
                    </w:rPr>
                    <w:t>简单防渗区</w:t>
                  </w:r>
                </w:p>
              </w:tc>
            </w:tr>
            <w:tr w14:paraId="3A07889C">
              <w:trPr>
                <w:trHeight w:val="313" w:hRule="atLeast"/>
              </w:trPr>
              <w:tc>
                <w:tcPr>
                  <w:tcW w:w="1567" w:type="dxa"/>
                  <w:noWrap w:val="0"/>
                  <w:vAlign w:val="center"/>
                </w:tcPr>
                <w:p w14:paraId="05234673">
                  <w:pPr>
                    <w:adjustRightInd w:val="0"/>
                    <w:snapToGrid w:val="0"/>
                    <w:jc w:val="center"/>
                    <w:rPr>
                      <w:rFonts w:hint="default" w:eastAsia="宋体"/>
                      <w:color w:val="auto"/>
                      <w:lang w:val="en-US" w:eastAsia="zh-CN"/>
                    </w:rPr>
                  </w:pPr>
                  <w:r>
                    <w:rPr>
                      <w:rFonts w:hint="eastAsia"/>
                      <w:color w:val="auto"/>
                      <w:lang w:eastAsia="zh-CN"/>
                    </w:rPr>
                    <w:t>危废库</w:t>
                  </w:r>
                  <w:r>
                    <w:rPr>
                      <w:rFonts w:hint="eastAsia"/>
                      <w:color w:val="auto"/>
                      <w:lang w:val="en-US" w:eastAsia="zh-CN"/>
                    </w:rPr>
                    <w:t>、污水处理站</w:t>
                  </w:r>
                </w:p>
              </w:tc>
              <w:tc>
                <w:tcPr>
                  <w:tcW w:w="1427" w:type="dxa"/>
                  <w:noWrap w:val="0"/>
                  <w:vAlign w:val="center"/>
                </w:tcPr>
                <w:p w14:paraId="659DCB91">
                  <w:pPr>
                    <w:adjustRightInd w:val="0"/>
                    <w:snapToGrid w:val="0"/>
                    <w:jc w:val="center"/>
                    <w:rPr>
                      <w:color w:val="auto"/>
                    </w:rPr>
                  </w:pPr>
                  <w:r>
                    <w:rPr>
                      <w:rFonts w:hint="eastAsia"/>
                      <w:color w:val="auto"/>
                    </w:rPr>
                    <w:t>中</w:t>
                  </w:r>
                </w:p>
              </w:tc>
              <w:tc>
                <w:tcPr>
                  <w:tcW w:w="1290" w:type="dxa"/>
                  <w:noWrap w:val="0"/>
                  <w:vAlign w:val="center"/>
                </w:tcPr>
                <w:p w14:paraId="171D1125">
                  <w:pPr>
                    <w:adjustRightInd w:val="0"/>
                    <w:snapToGrid w:val="0"/>
                    <w:jc w:val="center"/>
                    <w:rPr>
                      <w:color w:val="auto"/>
                    </w:rPr>
                  </w:pPr>
                  <w:r>
                    <w:rPr>
                      <w:rFonts w:hint="eastAsia"/>
                      <w:color w:val="auto"/>
                    </w:rPr>
                    <w:t>难</w:t>
                  </w:r>
                </w:p>
              </w:tc>
              <w:tc>
                <w:tcPr>
                  <w:tcW w:w="1986" w:type="dxa"/>
                  <w:noWrap w:val="0"/>
                  <w:vAlign w:val="center"/>
                </w:tcPr>
                <w:p w14:paraId="7A185091">
                  <w:pPr>
                    <w:adjustRightInd w:val="0"/>
                    <w:snapToGrid w:val="0"/>
                    <w:jc w:val="center"/>
                    <w:rPr>
                      <w:color w:val="auto"/>
                    </w:rPr>
                  </w:pPr>
                  <w:r>
                    <w:rPr>
                      <w:rFonts w:hint="eastAsia"/>
                      <w:color w:val="auto"/>
                    </w:rPr>
                    <w:t>有机污染物</w:t>
                  </w:r>
                </w:p>
              </w:tc>
              <w:tc>
                <w:tcPr>
                  <w:tcW w:w="1568" w:type="dxa"/>
                  <w:noWrap w:val="0"/>
                  <w:vAlign w:val="center"/>
                </w:tcPr>
                <w:p w14:paraId="2498692D">
                  <w:pPr>
                    <w:adjustRightInd w:val="0"/>
                    <w:snapToGrid w:val="0"/>
                    <w:jc w:val="center"/>
                    <w:rPr>
                      <w:color w:val="auto"/>
                    </w:rPr>
                  </w:pPr>
                  <w:r>
                    <w:rPr>
                      <w:rFonts w:hint="eastAsia"/>
                      <w:color w:val="auto"/>
                    </w:rPr>
                    <w:t>重点防渗区</w:t>
                  </w:r>
                </w:p>
              </w:tc>
            </w:tr>
          </w:tbl>
          <w:p w14:paraId="4703429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rPr>
            </w:pPr>
            <w:r>
              <w:rPr>
                <w:color w:val="auto"/>
                <w:sz w:val="24"/>
              </w:rPr>
              <w:t>根据《环境影响评价技术导则地下水环境》（HJ610-2016）与《危险废物贮存污染控制标准》（GB18597-20</w:t>
            </w:r>
            <w:r>
              <w:rPr>
                <w:rFonts w:hint="eastAsia"/>
                <w:color w:val="auto"/>
                <w:sz w:val="24"/>
                <w:lang w:val="en-US" w:eastAsia="zh-CN"/>
              </w:rPr>
              <w:t>23</w:t>
            </w:r>
            <w:r>
              <w:rPr>
                <w:color w:val="auto"/>
                <w:sz w:val="24"/>
              </w:rPr>
              <w:t>），企业必须满足下列要求：</w:t>
            </w:r>
          </w:p>
          <w:p w14:paraId="3FB6793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rPr>
            </w:pPr>
            <w:r>
              <w:rPr>
                <w:color w:val="auto"/>
                <w:sz w:val="24"/>
              </w:rPr>
              <w:fldChar w:fldCharType="begin"/>
            </w:r>
            <w:r>
              <w:rPr>
                <w:color w:val="auto"/>
                <w:sz w:val="24"/>
              </w:rPr>
              <w:instrText xml:space="preserve"> = 1 \* GB3 </w:instrText>
            </w:r>
            <w:r>
              <w:rPr>
                <w:color w:val="auto"/>
                <w:sz w:val="24"/>
              </w:rPr>
              <w:fldChar w:fldCharType="separate"/>
            </w:r>
            <w:r>
              <w:rPr>
                <w:color w:val="auto"/>
                <w:sz w:val="24"/>
              </w:rPr>
              <w:t>①</w:t>
            </w:r>
            <w:r>
              <w:rPr>
                <w:color w:val="auto"/>
                <w:sz w:val="24"/>
              </w:rPr>
              <w:fldChar w:fldCharType="end"/>
            </w:r>
            <w:r>
              <w:rPr>
                <w:rFonts w:hint="eastAsia"/>
                <w:color w:val="auto"/>
                <w:sz w:val="24"/>
                <w:szCs w:val="24"/>
                <w:lang w:val="en-US" w:eastAsia="zh-CN"/>
              </w:rPr>
              <w:t>本项目生产厂房、成品库、办公区均</w:t>
            </w:r>
            <w:r>
              <w:rPr>
                <w:rFonts w:hint="eastAsia"/>
                <w:color w:val="auto"/>
                <w:sz w:val="24"/>
              </w:rPr>
              <w:t>为简单防渗区，进行一般地面硬化处理</w:t>
            </w:r>
            <w:r>
              <w:rPr>
                <w:color w:val="auto"/>
                <w:sz w:val="24"/>
              </w:rPr>
              <w:t>。</w:t>
            </w:r>
          </w:p>
          <w:p w14:paraId="459B63E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rPr>
            </w:pPr>
            <w:r>
              <w:rPr>
                <w:color w:val="auto"/>
                <w:sz w:val="24"/>
              </w:rPr>
              <w:fldChar w:fldCharType="begin"/>
            </w:r>
            <w:r>
              <w:rPr>
                <w:color w:val="auto"/>
                <w:sz w:val="24"/>
              </w:rPr>
              <w:instrText xml:space="preserve"> = 2 \* GB3 </w:instrText>
            </w:r>
            <w:r>
              <w:rPr>
                <w:color w:val="auto"/>
                <w:sz w:val="24"/>
              </w:rPr>
              <w:fldChar w:fldCharType="separate"/>
            </w:r>
            <w:r>
              <w:rPr>
                <w:color w:val="auto"/>
                <w:sz w:val="24"/>
              </w:rPr>
              <w:t>②</w:t>
            </w:r>
            <w:r>
              <w:rPr>
                <w:color w:val="auto"/>
                <w:sz w:val="24"/>
              </w:rPr>
              <w:fldChar w:fldCharType="end"/>
            </w:r>
            <w:r>
              <w:rPr>
                <w:rFonts w:hint="eastAsia"/>
                <w:color w:val="auto"/>
                <w:sz w:val="24"/>
                <w:szCs w:val="24"/>
                <w:lang w:val="en-US" w:eastAsia="zh-CN"/>
              </w:rPr>
              <w:t>根据</w:t>
            </w:r>
            <w:r>
              <w:rPr>
                <w:rFonts w:hint="eastAsia"/>
                <w:color w:val="auto"/>
                <w:sz w:val="24"/>
              </w:rPr>
              <w:t>《危险废物贮存污染控制标准》（GB18597-2023）</w:t>
            </w:r>
            <w:r>
              <w:rPr>
                <w:rFonts w:hint="eastAsia"/>
                <w:color w:val="auto"/>
                <w:sz w:val="24"/>
                <w:lang w:val="en-US" w:eastAsia="zh-CN"/>
              </w:rPr>
              <w:t>要求：危废库</w:t>
            </w:r>
            <w:r>
              <w:rPr>
                <w:rFonts w:hint="eastAsia"/>
                <w:color w:val="auto"/>
                <w:sz w:val="24"/>
              </w:rPr>
              <w:t>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color w:val="auto"/>
                <w:sz w:val="24"/>
                <w:lang w:eastAsia="zh-CN"/>
              </w:rPr>
              <w:t>～</w:t>
            </w:r>
            <w:r>
              <w:rPr>
                <w:rFonts w:hint="eastAsia"/>
                <w:color w:val="auto"/>
                <w:sz w:val="24"/>
                <w:vertAlign w:val="superscript"/>
              </w:rPr>
              <w:t>7</w:t>
            </w:r>
            <w:r>
              <w:rPr>
                <w:rFonts w:hint="eastAsia"/>
                <w:color w:val="auto"/>
                <w:sz w:val="24"/>
              </w:rPr>
              <w:t>cm/s），或至少2mm厚高密度聚乙烯膜等人工防渗材料（渗透系数不大于10</w:t>
            </w:r>
            <w:r>
              <w:rPr>
                <w:rFonts w:hint="eastAsia"/>
                <w:color w:val="auto"/>
                <w:sz w:val="24"/>
                <w:lang w:eastAsia="zh-CN"/>
              </w:rPr>
              <w:t>～</w:t>
            </w:r>
            <w:r>
              <w:rPr>
                <w:rFonts w:hint="eastAsia"/>
                <w:color w:val="auto"/>
                <w:sz w:val="24"/>
                <w:vertAlign w:val="superscript"/>
              </w:rPr>
              <w:t>10</w:t>
            </w:r>
            <w:r>
              <w:rPr>
                <w:rFonts w:hint="eastAsia"/>
                <w:color w:val="auto"/>
                <w:sz w:val="24"/>
              </w:rPr>
              <w:t>cm/s），或其他防渗性能等效的材料。</w:t>
            </w:r>
          </w:p>
          <w:p w14:paraId="218E2D61">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color w:val="auto"/>
                <w:sz w:val="24"/>
              </w:rPr>
            </w:pPr>
            <w:r>
              <w:rPr>
                <w:color w:val="auto"/>
                <w:sz w:val="24"/>
              </w:rPr>
              <w:t>采用上述</w:t>
            </w:r>
            <w:r>
              <w:rPr>
                <w:rFonts w:hint="eastAsia"/>
                <w:color w:val="auto"/>
                <w:sz w:val="24"/>
              </w:rPr>
              <w:t>措施</w:t>
            </w:r>
            <w:r>
              <w:rPr>
                <w:color w:val="auto"/>
                <w:sz w:val="24"/>
              </w:rPr>
              <w:t>后</w:t>
            </w:r>
            <w:r>
              <w:rPr>
                <w:color w:val="auto"/>
                <w:kern w:val="0"/>
                <w:sz w:val="24"/>
              </w:rPr>
              <w:t>，</w:t>
            </w:r>
            <w:r>
              <w:rPr>
                <w:rFonts w:hint="eastAsia"/>
                <w:color w:val="auto"/>
                <w:kern w:val="0"/>
                <w:sz w:val="24"/>
                <w:lang w:eastAsia="zh-CN"/>
              </w:rPr>
              <w:t>危废库</w:t>
            </w:r>
            <w:r>
              <w:rPr>
                <w:color w:val="auto"/>
                <w:kern w:val="0"/>
                <w:sz w:val="24"/>
              </w:rPr>
              <w:t>的渗透系数不大于1×10</w:t>
            </w:r>
            <w:r>
              <w:rPr>
                <w:rFonts w:hint="eastAsia"/>
                <w:color w:val="auto"/>
                <w:kern w:val="0"/>
                <w:sz w:val="24"/>
                <w:lang w:eastAsia="zh-CN"/>
              </w:rPr>
              <w:t>～</w:t>
            </w:r>
            <w:r>
              <w:rPr>
                <w:rFonts w:hint="eastAsia"/>
                <w:color w:val="auto"/>
                <w:kern w:val="0"/>
                <w:sz w:val="24"/>
                <w:vertAlign w:val="superscript"/>
              </w:rPr>
              <w:t>7</w:t>
            </w:r>
            <w:r>
              <w:rPr>
                <w:color w:val="auto"/>
                <w:kern w:val="0"/>
                <w:sz w:val="24"/>
              </w:rPr>
              <w:t>cm/s，</w:t>
            </w:r>
            <w:r>
              <w:rPr>
                <w:color w:val="auto"/>
                <w:sz w:val="24"/>
              </w:rPr>
              <w:t>可有效阻止污染物下渗。</w:t>
            </w:r>
          </w:p>
          <w:p w14:paraId="2CA4AD27">
            <w:pPr>
              <w:keepNext w:val="0"/>
              <w:keepLines w:val="0"/>
              <w:pageBreakBefore w:val="0"/>
              <w:widowControl w:val="0"/>
              <w:kinsoku/>
              <w:wordWrap/>
              <w:overflowPunct/>
              <w:topLinePunct w:val="0"/>
              <w:autoSpaceDE/>
              <w:autoSpaceDN/>
              <w:bidi w:val="0"/>
              <w:spacing w:line="360" w:lineRule="auto"/>
              <w:ind w:firstLine="480" w:firstLineChars="200"/>
              <w:textAlignment w:val="auto"/>
              <w:rPr>
                <w:b/>
                <w:color w:val="auto"/>
                <w:szCs w:val="21"/>
              </w:rPr>
            </w:pPr>
            <w:r>
              <w:rPr>
                <w:color w:val="auto"/>
                <w:sz w:val="24"/>
              </w:rPr>
              <w:t>综上所述，本项目通过</w:t>
            </w:r>
            <w:r>
              <w:rPr>
                <w:rFonts w:hint="eastAsia"/>
                <w:color w:val="auto"/>
                <w:sz w:val="24"/>
              </w:rPr>
              <w:t>采取</w:t>
            </w:r>
            <w:r>
              <w:rPr>
                <w:color w:val="auto"/>
                <w:sz w:val="24"/>
              </w:rPr>
              <w:t>上述污染防治措施，可避免项目</w:t>
            </w:r>
            <w:r>
              <w:rPr>
                <w:rFonts w:hint="eastAsia"/>
                <w:color w:val="auto"/>
                <w:sz w:val="24"/>
              </w:rPr>
              <w:t>营运期</w:t>
            </w:r>
            <w:r>
              <w:rPr>
                <w:color w:val="auto"/>
                <w:sz w:val="24"/>
              </w:rPr>
              <w:t>对区域地下水及土壤产生污染影响</w:t>
            </w:r>
            <w:r>
              <w:rPr>
                <w:color w:val="auto"/>
                <w:kern w:val="0"/>
                <w:sz w:val="24"/>
              </w:rPr>
              <w:t>，因此</w:t>
            </w:r>
            <w:r>
              <w:rPr>
                <w:rFonts w:hint="eastAsia"/>
                <w:color w:val="auto"/>
                <w:kern w:val="0"/>
                <w:sz w:val="24"/>
              </w:rPr>
              <w:t>，本</w:t>
            </w:r>
            <w:r>
              <w:rPr>
                <w:color w:val="auto"/>
                <w:kern w:val="0"/>
                <w:sz w:val="24"/>
              </w:rPr>
              <w:t>项目对地下水及土壤影响较小。</w:t>
            </w:r>
          </w:p>
          <w:p w14:paraId="757F708B">
            <w:pPr>
              <w:pStyle w:val="48"/>
              <w:keepNext w:val="0"/>
              <w:keepLines w:val="0"/>
              <w:pageBreakBefore w:val="0"/>
              <w:widowControl w:val="0"/>
              <w:kinsoku/>
              <w:wordWrap/>
              <w:overflowPunct/>
              <w:topLinePunct w:val="0"/>
              <w:bidi w:val="0"/>
              <w:snapToGrid w:val="0"/>
              <w:spacing w:line="360" w:lineRule="auto"/>
              <w:ind w:firstLine="482"/>
              <w:jc w:val="both"/>
              <w:rPr>
                <w:rFonts w:ascii="Times New Roman" w:eastAsia="宋体"/>
                <w:b/>
                <w:color w:val="auto"/>
                <w:sz w:val="24"/>
                <w:szCs w:val="24"/>
              </w:rPr>
            </w:pPr>
            <w:r>
              <w:rPr>
                <w:rFonts w:hint="eastAsia" w:ascii="Times New Roman" w:eastAsia="宋体"/>
                <w:b/>
                <w:color w:val="auto"/>
                <w:sz w:val="24"/>
                <w:szCs w:val="24"/>
              </w:rPr>
              <w:t>六、环境风险评价</w:t>
            </w:r>
          </w:p>
          <w:p w14:paraId="08C7B1A9">
            <w:pPr>
              <w:keepNext w:val="0"/>
              <w:keepLines w:val="0"/>
              <w:pageBreakBefore w:val="0"/>
              <w:widowControl w:val="0"/>
              <w:kinsoku/>
              <w:wordWrap/>
              <w:overflowPunct/>
              <w:topLinePunct w:val="0"/>
              <w:bidi w:val="0"/>
              <w:adjustRightInd w:val="0"/>
              <w:snapToGrid w:val="0"/>
              <w:spacing w:line="360" w:lineRule="auto"/>
              <w:ind w:firstLine="480" w:firstLineChars="200"/>
              <w:rPr>
                <w:rFonts w:hint="eastAsia"/>
                <w:color w:val="auto"/>
                <w:sz w:val="24"/>
              </w:rPr>
            </w:pPr>
            <w:r>
              <w:rPr>
                <w:rFonts w:hint="eastAsia"/>
                <w:color w:val="auto"/>
                <w:sz w:val="24"/>
                <w:lang w:eastAsia="zh-CN"/>
              </w:rPr>
              <w:t>1.</w:t>
            </w:r>
            <w:r>
              <w:rPr>
                <w:rFonts w:hint="eastAsia"/>
                <w:color w:val="auto"/>
                <w:sz w:val="24"/>
              </w:rPr>
              <w:t>风险物质识别</w:t>
            </w:r>
          </w:p>
          <w:p w14:paraId="3043828A">
            <w:pPr>
              <w:keepNext w:val="0"/>
              <w:keepLines w:val="0"/>
              <w:pageBreakBefore w:val="0"/>
              <w:widowControl w:val="0"/>
              <w:kinsoku/>
              <w:wordWrap/>
              <w:overflowPunct/>
              <w:topLinePunct w:val="0"/>
              <w:bidi w:val="0"/>
              <w:adjustRightInd w:val="0"/>
              <w:snapToGrid w:val="0"/>
              <w:spacing w:line="360" w:lineRule="auto"/>
              <w:ind w:firstLine="480" w:firstLineChars="200"/>
              <w:rPr>
                <w:rFonts w:hint="eastAsia"/>
                <w:color w:val="auto"/>
                <w:sz w:val="24"/>
              </w:rPr>
            </w:pPr>
            <w:r>
              <w:rPr>
                <w:rFonts w:hint="eastAsia"/>
                <w:color w:val="auto"/>
                <w:sz w:val="24"/>
              </w:rPr>
              <w:t>根据《建设项目环境风险评价技术导则》（HJ169-2018）附录B中的“重点关注的危险物质及临界量”，对本项目原辅料、中间产品、最终产品以及生产过程中排放的污染物等进行危险性识别，</w:t>
            </w:r>
            <w:r>
              <w:rPr>
                <w:rFonts w:hint="eastAsia"/>
                <w:color w:val="auto"/>
                <w:sz w:val="24"/>
                <w:lang w:eastAsia="zh-CN"/>
              </w:rPr>
              <w:t>确定</w:t>
            </w:r>
            <w:r>
              <w:rPr>
                <w:rFonts w:hint="eastAsia"/>
                <w:color w:val="auto"/>
                <w:sz w:val="24"/>
              </w:rPr>
              <w:t>本项目生产运营过程中涉及的主要风险物质为危险废物</w:t>
            </w:r>
            <w:r>
              <w:rPr>
                <w:rFonts w:hint="eastAsia"/>
                <w:color w:val="auto"/>
                <w:sz w:val="24"/>
                <w:lang w:eastAsia="zh-CN"/>
              </w:rPr>
              <w:t>、</w:t>
            </w:r>
            <w:r>
              <w:rPr>
                <w:rFonts w:hint="eastAsia"/>
                <w:color w:val="auto"/>
                <w:sz w:val="24"/>
                <w:lang w:val="en-US" w:eastAsia="zh-CN"/>
              </w:rPr>
              <w:t>润滑油、OAPIUS过氧乙酸消毒液、浩丽VN酸性清洗剂、脱普AC酸性泡沫清洗剂、AC-110碱性清洗剂、脱普621碱性泡沫清洗剂</w:t>
            </w:r>
            <w:r>
              <w:rPr>
                <w:rFonts w:hint="eastAsia"/>
                <w:color w:val="auto"/>
                <w:sz w:val="24"/>
              </w:rPr>
              <w:t>。</w:t>
            </w:r>
          </w:p>
          <w:p w14:paraId="5C47310E">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color w:val="auto"/>
                <w:sz w:val="24"/>
              </w:rPr>
            </w:pPr>
            <w:r>
              <w:rPr>
                <w:rFonts w:hint="eastAsia"/>
                <w:color w:val="auto"/>
                <w:sz w:val="24"/>
                <w:lang w:eastAsia="zh-CN"/>
              </w:rPr>
              <w:t>2.</w:t>
            </w:r>
            <w:r>
              <w:rPr>
                <w:rFonts w:hint="eastAsia"/>
                <w:color w:val="auto"/>
                <w:sz w:val="24"/>
              </w:rPr>
              <w:t>评价依据</w:t>
            </w:r>
          </w:p>
          <w:p w14:paraId="482C702B">
            <w:pPr>
              <w:pStyle w:val="17"/>
              <w:keepNext w:val="0"/>
              <w:keepLines w:val="0"/>
              <w:pageBreakBefore w:val="0"/>
              <w:widowControl w:val="0"/>
              <w:kinsoku/>
              <w:wordWrap/>
              <w:overflowPunct/>
              <w:topLinePunct w:val="0"/>
              <w:bidi w:val="0"/>
              <w:adjustRightInd w:val="0"/>
              <w:spacing w:line="360" w:lineRule="auto"/>
              <w:ind w:firstLine="480" w:firstLineChars="200"/>
              <w:jc w:val="both"/>
              <w:textAlignment w:val="auto"/>
              <w:rPr>
                <w:rFonts w:ascii="Times New Roman" w:hAnsi="Times New Roman"/>
                <w:b w:val="0"/>
                <w:bCs w:val="0"/>
                <w:color w:val="auto"/>
              </w:rPr>
            </w:pPr>
            <w:r>
              <w:rPr>
                <w:rFonts w:hint="eastAsia" w:ascii="Times New Roman" w:hAnsi="Times New Roman"/>
                <w:b w:val="0"/>
                <w:bCs w:val="0"/>
                <w:color w:val="auto"/>
              </w:rPr>
              <w:t>1</w:t>
            </w:r>
            <w:r>
              <w:rPr>
                <w:rFonts w:hint="eastAsia" w:ascii="Times New Roman" w:hAnsi="Times New Roman" w:cs="Times New Roman"/>
                <w:b w:val="0"/>
                <w:bCs w:val="0"/>
                <w:color w:val="auto"/>
              </w:rPr>
              <w:t>）风险调查</w:t>
            </w:r>
          </w:p>
          <w:p w14:paraId="3C856FCD">
            <w:pPr>
              <w:pStyle w:val="17"/>
              <w:keepNext w:val="0"/>
              <w:keepLines w:val="0"/>
              <w:pageBreakBefore w:val="0"/>
              <w:widowControl w:val="0"/>
              <w:kinsoku/>
              <w:wordWrap/>
              <w:overflowPunct/>
              <w:topLinePunct w:val="0"/>
              <w:autoSpaceDE w:val="0"/>
              <w:autoSpaceDN w:val="0"/>
              <w:bidi w:val="0"/>
              <w:adjustRightInd w:val="0"/>
              <w:snapToGrid/>
              <w:spacing w:line="360" w:lineRule="auto"/>
              <w:ind w:firstLine="482"/>
              <w:jc w:val="both"/>
              <w:textAlignment w:val="auto"/>
              <w:rPr>
                <w:rFonts w:hint="eastAsia" w:ascii="Times New Roman" w:hAnsi="Times New Roman"/>
                <w:b w:val="0"/>
                <w:bCs/>
                <w:color w:val="auto"/>
                <w:sz w:val="24"/>
              </w:rPr>
            </w:pPr>
            <w:r>
              <w:rPr>
                <w:rFonts w:hint="eastAsia" w:ascii="Times New Roman" w:hAnsi="Times New Roman"/>
                <w:b w:val="0"/>
                <w:bCs/>
                <w:color w:val="auto"/>
                <w:sz w:val="24"/>
              </w:rPr>
              <w:t>根据《建设项目环境风险评价技术导则》（HJ169-2018）对物质临界量的规定计算所涉及的每种危险物质在厂界内的最大存在总量与其在附录B中对应临界量的比值Q。在不同厂区的同一种物质，按其在厂界内的最大存在总量计算。</w:t>
            </w:r>
          </w:p>
          <w:p w14:paraId="4EBB72DA">
            <w:pPr>
              <w:keepNext w:val="0"/>
              <w:keepLines w:val="0"/>
              <w:pageBreakBefore w:val="0"/>
              <w:widowControl w:val="0"/>
              <w:kinsoku/>
              <w:wordWrap/>
              <w:overflowPunct/>
              <w:topLinePunct w:val="0"/>
              <w:bidi w:val="0"/>
              <w:adjustRightInd w:val="0"/>
              <w:snapToGrid w:val="0"/>
              <w:spacing w:line="360" w:lineRule="auto"/>
              <w:ind w:firstLine="480" w:firstLineChars="200"/>
              <w:rPr>
                <w:rFonts w:hint="eastAsia"/>
                <w:color w:val="auto"/>
                <w:sz w:val="24"/>
              </w:rPr>
            </w:pPr>
            <w:r>
              <w:rPr>
                <w:rFonts w:hint="eastAsia" w:ascii="Times New Roman" w:hAnsi="Times New Roman"/>
                <w:b w:val="0"/>
                <w:bCs/>
                <w:color w:val="auto"/>
                <w:sz w:val="24"/>
              </w:rPr>
              <w:t>单元内存在的危险物质为多品种时，则按下式计算。</w:t>
            </w:r>
          </w:p>
          <w:p w14:paraId="5C77ECF2">
            <w:pPr>
              <w:pStyle w:val="17"/>
              <w:keepNext w:val="0"/>
              <w:keepLines w:val="0"/>
              <w:pageBreakBefore w:val="0"/>
              <w:widowControl w:val="0"/>
              <w:kinsoku/>
              <w:wordWrap/>
              <w:overflowPunct/>
              <w:topLinePunct w:val="0"/>
              <w:bidi w:val="0"/>
              <w:spacing w:line="360" w:lineRule="auto"/>
              <w:jc w:val="center"/>
              <w:rPr>
                <w:rFonts w:hint="eastAsia"/>
                <w:color w:val="auto"/>
              </w:rPr>
            </w:pPr>
            <w:r>
              <w:rPr>
                <w:rFonts w:hint="eastAsia"/>
                <w:color w:val="auto"/>
                <w:position w:val="-30"/>
              </w:rPr>
              <w:object>
                <v:shape id="_x0000_i1033" o:spt="75" type="#_x0000_t75" style="height:34pt;width:105pt;" o:ole="t" filled="f" o:preferrelative="t" stroked="f" coordsize="21600,21600">
                  <v:path/>
                  <v:fill on="f" focussize="0,0"/>
                  <v:stroke on="f"/>
                  <v:imagedata r:id="rId28" o:title=""/>
                  <o:lock v:ext="edit" aspectratio="t"/>
                  <w10:wrap type="none"/>
                  <w10:anchorlock/>
                </v:shape>
                <o:OLEObject Type="Embed" ProgID="Equation.KSEE3" ShapeID="_x0000_i1033" DrawAspect="Content" ObjectID="_1468075735" r:id="rId27">
                  <o:LockedField>false</o:LockedField>
                </o:OLEObject>
              </w:object>
            </w:r>
          </w:p>
          <w:p w14:paraId="183FFF63">
            <w:pPr>
              <w:pStyle w:val="16"/>
              <w:keepNext w:val="0"/>
              <w:keepLines w:val="0"/>
              <w:pageBreakBefore w:val="0"/>
              <w:widowControl w:val="0"/>
              <w:kinsoku/>
              <w:wordWrap/>
              <w:overflowPunct/>
              <w:topLinePunct w:val="0"/>
              <w:bidi w:val="0"/>
              <w:spacing w:after="0" w:line="360" w:lineRule="auto"/>
              <w:ind w:left="0" w:leftChars="0" w:firstLine="480"/>
              <w:rPr>
                <w:rFonts w:hint="eastAsia" w:eastAsia="宋体"/>
                <w:color w:val="auto"/>
                <w:lang w:eastAsia="zh-CN"/>
              </w:rPr>
            </w:pPr>
            <w:r>
              <w:rPr>
                <w:rFonts w:hint="eastAsia"/>
                <w:color w:val="auto"/>
              </w:rPr>
              <w:t>式中：q</w:t>
            </w:r>
            <w:r>
              <w:rPr>
                <w:rFonts w:hint="eastAsia"/>
                <w:color w:val="auto"/>
                <w:vertAlign w:val="subscript"/>
              </w:rPr>
              <w:t>1</w:t>
            </w:r>
            <w:r>
              <w:rPr>
                <w:rFonts w:hint="eastAsia"/>
                <w:color w:val="auto"/>
              </w:rPr>
              <w:t>、q</w:t>
            </w:r>
            <w:r>
              <w:rPr>
                <w:rFonts w:hint="eastAsia"/>
                <w:color w:val="auto"/>
                <w:vertAlign w:val="subscript"/>
              </w:rPr>
              <w:t>2</w:t>
            </w:r>
            <w:r>
              <w:rPr>
                <w:rFonts w:hint="eastAsia"/>
                <w:color w:val="auto"/>
              </w:rPr>
              <w:t>……q</w:t>
            </w:r>
            <w:r>
              <w:rPr>
                <w:rFonts w:hint="eastAsia"/>
                <w:color w:val="auto"/>
                <w:vertAlign w:val="subscript"/>
              </w:rPr>
              <w:t>n</w:t>
            </w:r>
            <w:r>
              <w:rPr>
                <w:rFonts w:hint="eastAsia"/>
                <w:color w:val="auto"/>
              </w:rPr>
              <w:t>——每种危险物质实际存在量，t；</w:t>
            </w:r>
          </w:p>
          <w:p w14:paraId="31582583">
            <w:pPr>
              <w:pStyle w:val="16"/>
              <w:keepNext w:val="0"/>
              <w:keepLines w:val="0"/>
              <w:pageBreakBefore w:val="0"/>
              <w:widowControl w:val="0"/>
              <w:kinsoku/>
              <w:wordWrap/>
              <w:overflowPunct/>
              <w:topLinePunct w:val="0"/>
              <w:bidi w:val="0"/>
              <w:spacing w:after="0" w:line="360" w:lineRule="auto"/>
              <w:ind w:left="0" w:leftChars="0" w:firstLine="1200" w:firstLineChars="500"/>
              <w:rPr>
                <w:rFonts w:hint="eastAsia" w:eastAsia="宋体"/>
                <w:color w:val="auto"/>
                <w:lang w:eastAsia="zh-CN"/>
              </w:rPr>
            </w:pPr>
            <w:r>
              <w:rPr>
                <w:rFonts w:hint="eastAsia"/>
                <w:color w:val="auto"/>
              </w:rPr>
              <w:t>Q</w:t>
            </w:r>
            <w:r>
              <w:rPr>
                <w:rFonts w:hint="eastAsia"/>
                <w:color w:val="auto"/>
                <w:vertAlign w:val="subscript"/>
              </w:rPr>
              <w:t>1</w:t>
            </w:r>
            <w:r>
              <w:rPr>
                <w:rFonts w:hint="eastAsia"/>
                <w:color w:val="auto"/>
              </w:rPr>
              <w:t>、Q</w:t>
            </w:r>
            <w:r>
              <w:rPr>
                <w:rFonts w:hint="eastAsia"/>
                <w:color w:val="auto"/>
                <w:vertAlign w:val="subscript"/>
              </w:rPr>
              <w:t>2</w:t>
            </w:r>
            <w:r>
              <w:rPr>
                <w:rFonts w:hint="eastAsia"/>
                <w:color w:val="auto"/>
              </w:rPr>
              <w:t>……Q</w:t>
            </w:r>
            <w:r>
              <w:rPr>
                <w:rFonts w:hint="eastAsia"/>
                <w:color w:val="auto"/>
                <w:vertAlign w:val="subscript"/>
              </w:rPr>
              <w:t>n</w:t>
            </w:r>
            <w:r>
              <w:rPr>
                <w:rFonts w:hint="eastAsia"/>
                <w:color w:val="auto"/>
              </w:rPr>
              <w:t>——与各危险物质相对应的生产场所或贮存区的临界量，t。</w:t>
            </w:r>
          </w:p>
          <w:p w14:paraId="4C619227">
            <w:pPr>
              <w:pStyle w:val="16"/>
              <w:keepNext w:val="0"/>
              <w:keepLines w:val="0"/>
              <w:pageBreakBefore w:val="0"/>
              <w:widowControl w:val="0"/>
              <w:kinsoku/>
              <w:wordWrap/>
              <w:overflowPunct/>
              <w:topLinePunct w:val="0"/>
              <w:bidi w:val="0"/>
              <w:spacing w:after="0" w:line="360" w:lineRule="auto"/>
              <w:ind w:left="0" w:leftChars="0" w:firstLine="480"/>
              <w:rPr>
                <w:rFonts w:hint="eastAsia"/>
                <w:color w:val="auto"/>
              </w:rPr>
            </w:pPr>
            <w:r>
              <w:rPr>
                <w:rFonts w:hint="eastAsia"/>
                <w:color w:val="auto"/>
              </w:rPr>
              <w:t>本项目危险物质风险识别及Q值计算结果见</w:t>
            </w:r>
            <w:r>
              <w:rPr>
                <w:rFonts w:hint="eastAsia"/>
                <w:color w:val="auto"/>
                <w:lang w:val="en-US" w:eastAsia="zh-CN"/>
              </w:rPr>
              <w:t>下表</w:t>
            </w:r>
            <w:r>
              <w:rPr>
                <w:rFonts w:hint="eastAsia"/>
                <w:color w:val="auto"/>
              </w:rPr>
              <w:t>。</w:t>
            </w:r>
          </w:p>
          <w:p w14:paraId="19113A39">
            <w:pPr>
              <w:pStyle w:val="1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ascii="Times New Roman" w:hAnsi="Times New Roman"/>
                <w:color w:val="auto"/>
                <w:sz w:val="21"/>
                <w:szCs w:val="21"/>
              </w:rPr>
            </w:pPr>
          </w:p>
          <w:p w14:paraId="5E727180">
            <w:pPr>
              <w:pStyle w:val="1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ascii="Times New Roman" w:hAnsi="Times New Roman"/>
                <w:color w:val="auto"/>
                <w:sz w:val="21"/>
                <w:szCs w:val="21"/>
              </w:rPr>
            </w:pPr>
          </w:p>
          <w:p w14:paraId="30C38D96">
            <w:pPr>
              <w:pStyle w:val="1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ascii="Times New Roman" w:hAnsi="Times New Roman"/>
                <w:color w:val="auto"/>
                <w:sz w:val="21"/>
                <w:szCs w:val="21"/>
              </w:rPr>
            </w:pPr>
          </w:p>
          <w:p w14:paraId="125B90CD">
            <w:pPr>
              <w:pStyle w:val="17"/>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ascii="Times New Roman" w:hAnsi="Times New Roman"/>
                <w:color w:val="auto"/>
                <w:sz w:val="21"/>
                <w:szCs w:val="21"/>
              </w:rPr>
            </w:pPr>
            <w:r>
              <w:rPr>
                <w:rFonts w:hint="eastAsia" w:ascii="Times New Roman" w:hAnsi="Times New Roman"/>
                <w:color w:val="auto"/>
                <w:sz w:val="21"/>
                <w:szCs w:val="21"/>
              </w:rPr>
              <w:t>表4-</w:t>
            </w:r>
            <w:r>
              <w:rPr>
                <w:rFonts w:hint="eastAsia" w:ascii="Times New Roman" w:hAnsi="Times New Roman"/>
                <w:color w:val="auto"/>
                <w:sz w:val="21"/>
                <w:szCs w:val="21"/>
                <w:lang w:val="en-US" w:eastAsia="zh-CN"/>
              </w:rPr>
              <w:t xml:space="preserve">29  </w:t>
            </w:r>
            <w:r>
              <w:rPr>
                <w:rFonts w:hint="eastAsia" w:ascii="Times New Roman" w:hAnsi="Times New Roman"/>
                <w:color w:val="auto"/>
                <w:sz w:val="21"/>
                <w:szCs w:val="21"/>
              </w:rPr>
              <w:t>建设项目Q值确定表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8"/>
              <w:gridCol w:w="1290"/>
              <w:gridCol w:w="1305"/>
              <w:gridCol w:w="1155"/>
              <w:gridCol w:w="1185"/>
              <w:gridCol w:w="979"/>
              <w:gridCol w:w="1306"/>
            </w:tblGrid>
            <w:tr w14:paraId="764FF32F">
              <w:trPr>
                <w:trHeight w:val="580" w:hRule="atLeast"/>
                <w:jc w:val="center"/>
              </w:trPr>
              <w:tc>
                <w:tcPr>
                  <w:tcW w:w="394" w:type="pct"/>
                  <w:tcBorders>
                    <w:tl2br w:val="nil"/>
                    <w:tr2bl w:val="nil"/>
                  </w:tcBorders>
                  <w:noWrap w:val="0"/>
                  <w:vAlign w:val="center"/>
                </w:tcPr>
                <w:p w14:paraId="06193231">
                  <w:pPr>
                    <w:pStyle w:val="1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right="0" w:firstLine="0" w:firstLineChars="0"/>
                    <w:jc w:val="center"/>
                    <w:textAlignment w:val="auto"/>
                    <w:rPr>
                      <w:rFonts w:hint="default" w:ascii="Times New Roman" w:hAnsi="Times New Roman" w:eastAsia="宋体"/>
                      <w:b w:val="0"/>
                      <w:color w:val="auto"/>
                      <w:sz w:val="21"/>
                      <w:vertAlign w:val="baseline"/>
                      <w:lang w:val="en-US" w:eastAsia="zh-CN"/>
                    </w:rPr>
                  </w:pPr>
                  <w:r>
                    <w:rPr>
                      <w:rFonts w:hint="eastAsia" w:ascii="Times New Roman" w:hAnsi="Times New Roman"/>
                      <w:b w:val="0"/>
                      <w:color w:val="auto"/>
                      <w:sz w:val="21"/>
                      <w:vertAlign w:val="baseline"/>
                      <w:lang w:val="en-US" w:eastAsia="zh-CN"/>
                    </w:rPr>
                    <w:t>序号</w:t>
                  </w:r>
                </w:p>
              </w:tc>
              <w:tc>
                <w:tcPr>
                  <w:tcW w:w="1655" w:type="pct"/>
                  <w:gridSpan w:val="2"/>
                  <w:tcBorders>
                    <w:tl2br w:val="nil"/>
                    <w:tr2bl w:val="nil"/>
                  </w:tcBorders>
                  <w:noWrap w:val="0"/>
                  <w:vAlign w:val="center"/>
                </w:tcPr>
                <w:p w14:paraId="1D13E34D">
                  <w:pPr>
                    <w:pStyle w:val="1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right="0" w:firstLine="0" w:firstLineChars="0"/>
                    <w:jc w:val="center"/>
                    <w:textAlignment w:val="auto"/>
                    <w:rPr>
                      <w:rFonts w:hint="default" w:ascii="Times New Roman" w:hAnsi="Times New Roman" w:eastAsia="宋体"/>
                      <w:b w:val="0"/>
                      <w:color w:val="auto"/>
                      <w:sz w:val="21"/>
                      <w:vertAlign w:val="baseline"/>
                      <w:lang w:val="en-US" w:eastAsia="zh-CN"/>
                    </w:rPr>
                  </w:pPr>
                  <w:r>
                    <w:rPr>
                      <w:rFonts w:hint="eastAsia" w:ascii="Times New Roman" w:hAnsi="Times New Roman"/>
                      <w:b w:val="0"/>
                      <w:color w:val="auto"/>
                      <w:sz w:val="21"/>
                      <w:vertAlign w:val="baseline"/>
                      <w:lang w:val="en-US" w:eastAsia="zh-CN"/>
                    </w:rPr>
                    <w:t>危险物质名称</w:t>
                  </w:r>
                </w:p>
              </w:tc>
              <w:tc>
                <w:tcPr>
                  <w:tcW w:w="736" w:type="pct"/>
                  <w:tcBorders>
                    <w:tl2br w:val="nil"/>
                    <w:tr2bl w:val="nil"/>
                  </w:tcBorders>
                  <w:noWrap w:val="0"/>
                  <w:vAlign w:val="center"/>
                </w:tcPr>
                <w:p w14:paraId="27AC66EA">
                  <w:pPr>
                    <w:pStyle w:val="1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right="0" w:firstLine="0" w:firstLineChars="0"/>
                    <w:jc w:val="center"/>
                    <w:textAlignment w:val="auto"/>
                    <w:rPr>
                      <w:rFonts w:hint="default" w:ascii="Times New Roman" w:hAnsi="Times New Roman" w:eastAsia="宋体"/>
                      <w:b w:val="0"/>
                      <w:color w:val="auto"/>
                      <w:sz w:val="21"/>
                      <w:vertAlign w:val="baseline"/>
                      <w:lang w:val="en-US" w:eastAsia="zh-CN"/>
                    </w:rPr>
                  </w:pPr>
                  <w:r>
                    <w:rPr>
                      <w:rFonts w:hint="eastAsia" w:ascii="Times New Roman" w:hAnsi="Times New Roman"/>
                      <w:b w:val="0"/>
                      <w:color w:val="auto"/>
                      <w:sz w:val="21"/>
                      <w:vertAlign w:val="baseline"/>
                      <w:lang w:val="en-US" w:eastAsia="zh-CN"/>
                    </w:rPr>
                    <w:t>CAS</w:t>
                  </w:r>
                </w:p>
              </w:tc>
              <w:tc>
                <w:tcPr>
                  <w:tcW w:w="755" w:type="pct"/>
                  <w:tcBorders>
                    <w:tl2br w:val="nil"/>
                    <w:tr2bl w:val="nil"/>
                  </w:tcBorders>
                  <w:noWrap w:val="0"/>
                  <w:vAlign w:val="center"/>
                </w:tcPr>
                <w:p w14:paraId="517F7CA7">
                  <w:pPr>
                    <w:pStyle w:val="1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right="0" w:firstLine="0" w:firstLineChars="0"/>
                    <w:jc w:val="center"/>
                    <w:textAlignment w:val="auto"/>
                    <w:rPr>
                      <w:rFonts w:hint="default" w:ascii="Times New Roman" w:hAnsi="Times New Roman" w:eastAsia="宋体"/>
                      <w:b w:val="0"/>
                      <w:color w:val="auto"/>
                      <w:sz w:val="21"/>
                      <w:vertAlign w:val="baseline"/>
                      <w:lang w:val="en-US" w:eastAsia="zh-CN"/>
                    </w:rPr>
                  </w:pPr>
                  <w:r>
                    <w:rPr>
                      <w:rFonts w:hint="eastAsia" w:ascii="Times New Roman" w:hAnsi="Times New Roman"/>
                      <w:b w:val="0"/>
                      <w:color w:val="auto"/>
                      <w:sz w:val="21"/>
                      <w:vertAlign w:val="baseline"/>
                      <w:lang w:val="en-US" w:eastAsia="zh-CN"/>
                    </w:rPr>
                    <w:t>最大存在总量q</w:t>
                  </w:r>
                  <w:r>
                    <w:rPr>
                      <w:rFonts w:hint="eastAsia" w:ascii="Times New Roman" w:hAnsi="Times New Roman"/>
                      <w:b w:val="0"/>
                      <w:color w:val="auto"/>
                      <w:sz w:val="21"/>
                      <w:vertAlign w:val="subscript"/>
                      <w:lang w:val="en-US" w:eastAsia="zh-CN"/>
                    </w:rPr>
                    <w:t>n</w:t>
                  </w:r>
                  <w:r>
                    <w:rPr>
                      <w:rFonts w:hint="eastAsia" w:ascii="Times New Roman" w:hAnsi="Times New Roman"/>
                      <w:b w:val="0"/>
                      <w:color w:val="auto"/>
                      <w:sz w:val="21"/>
                      <w:vertAlign w:val="baseline"/>
                      <w:lang w:val="en-US" w:eastAsia="zh-CN"/>
                    </w:rPr>
                    <w:t>/t</w:t>
                  </w:r>
                </w:p>
              </w:tc>
              <w:tc>
                <w:tcPr>
                  <w:tcW w:w="624" w:type="pct"/>
                  <w:tcBorders>
                    <w:tl2br w:val="nil"/>
                    <w:tr2bl w:val="nil"/>
                  </w:tcBorders>
                  <w:noWrap w:val="0"/>
                  <w:vAlign w:val="center"/>
                </w:tcPr>
                <w:p w14:paraId="738F5A00">
                  <w:pPr>
                    <w:pStyle w:val="1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right="0" w:firstLine="0" w:firstLineChars="0"/>
                    <w:jc w:val="center"/>
                    <w:textAlignment w:val="auto"/>
                    <w:rPr>
                      <w:rFonts w:hint="default" w:ascii="Times New Roman" w:hAnsi="Times New Roman" w:eastAsia="宋体"/>
                      <w:b w:val="0"/>
                      <w:color w:val="auto"/>
                      <w:sz w:val="21"/>
                      <w:vertAlign w:val="baseline"/>
                      <w:lang w:val="en-US" w:eastAsia="zh-CN"/>
                    </w:rPr>
                  </w:pPr>
                  <w:r>
                    <w:rPr>
                      <w:rFonts w:hint="eastAsia" w:ascii="Times New Roman" w:hAnsi="Times New Roman"/>
                      <w:b w:val="0"/>
                      <w:color w:val="auto"/>
                      <w:sz w:val="21"/>
                      <w:vertAlign w:val="baseline"/>
                      <w:lang w:val="en-US" w:eastAsia="zh-CN"/>
                    </w:rPr>
                    <w:t>临界量Q</w:t>
                  </w:r>
                  <w:r>
                    <w:rPr>
                      <w:rFonts w:hint="eastAsia" w:ascii="Times New Roman" w:hAnsi="Times New Roman"/>
                      <w:b w:val="0"/>
                      <w:color w:val="auto"/>
                      <w:sz w:val="21"/>
                      <w:vertAlign w:val="subscript"/>
                      <w:lang w:val="en-US" w:eastAsia="zh-CN"/>
                    </w:rPr>
                    <w:t>n</w:t>
                  </w:r>
                  <w:r>
                    <w:rPr>
                      <w:rFonts w:hint="eastAsia" w:ascii="Times New Roman" w:hAnsi="Times New Roman"/>
                      <w:b w:val="0"/>
                      <w:color w:val="auto"/>
                      <w:sz w:val="21"/>
                      <w:vertAlign w:val="baseline"/>
                      <w:lang w:val="en-US" w:eastAsia="zh-CN"/>
                    </w:rPr>
                    <w:t>/t</w:t>
                  </w:r>
                </w:p>
              </w:tc>
              <w:tc>
                <w:tcPr>
                  <w:tcW w:w="833" w:type="pct"/>
                  <w:tcBorders>
                    <w:tl2br w:val="nil"/>
                    <w:tr2bl w:val="nil"/>
                  </w:tcBorders>
                  <w:noWrap w:val="0"/>
                  <w:vAlign w:val="center"/>
                </w:tcPr>
                <w:p w14:paraId="61262449">
                  <w:pPr>
                    <w:pStyle w:val="1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right="0" w:firstLine="0" w:firstLineChars="0"/>
                    <w:jc w:val="center"/>
                    <w:textAlignment w:val="auto"/>
                    <w:rPr>
                      <w:rFonts w:hint="default" w:ascii="Times New Roman" w:hAnsi="Times New Roman" w:eastAsia="宋体"/>
                      <w:b w:val="0"/>
                      <w:color w:val="auto"/>
                      <w:sz w:val="21"/>
                      <w:vertAlign w:val="baseline"/>
                      <w:lang w:val="en-US" w:eastAsia="zh-CN"/>
                    </w:rPr>
                  </w:pPr>
                  <w:r>
                    <w:rPr>
                      <w:rFonts w:hint="eastAsia" w:ascii="Times New Roman" w:hAnsi="Times New Roman"/>
                      <w:b w:val="0"/>
                      <w:color w:val="auto"/>
                      <w:sz w:val="21"/>
                      <w:vertAlign w:val="baseline"/>
                      <w:lang w:val="en-US" w:eastAsia="zh-CN"/>
                    </w:rPr>
                    <w:t>该种危险物质Q值</w:t>
                  </w:r>
                </w:p>
              </w:tc>
            </w:tr>
            <w:tr w14:paraId="6DD4967D">
              <w:trPr>
                <w:jc w:val="center"/>
              </w:trPr>
              <w:tc>
                <w:tcPr>
                  <w:tcW w:w="394" w:type="pct"/>
                  <w:tcBorders>
                    <w:tl2br w:val="nil"/>
                    <w:tr2bl w:val="nil"/>
                  </w:tcBorders>
                  <w:noWrap w:val="0"/>
                  <w:vAlign w:val="center"/>
                </w:tcPr>
                <w:p w14:paraId="579B1E52">
                  <w:pPr>
                    <w:pStyle w:val="17"/>
                    <w:keepNext w:val="0"/>
                    <w:keepLines w:val="0"/>
                    <w:pageBreakBefore w:val="0"/>
                    <w:widowControl w:val="0"/>
                    <w:numPr>
                      <w:ilvl w:val="0"/>
                      <w:numId w:val="27"/>
                    </w:numPr>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firstLine="0" w:firstLineChars="0"/>
                    <w:jc w:val="center"/>
                    <w:textAlignment w:val="auto"/>
                    <w:rPr>
                      <w:rFonts w:hint="default" w:ascii="Times New Roman" w:hAnsi="Times New Roman" w:eastAsia="宋体"/>
                      <w:b w:val="0"/>
                      <w:color w:val="auto"/>
                      <w:sz w:val="21"/>
                      <w:vertAlign w:val="baseline"/>
                      <w:lang w:val="en-US" w:eastAsia="zh-CN"/>
                    </w:rPr>
                  </w:pPr>
                </w:p>
              </w:tc>
              <w:tc>
                <w:tcPr>
                  <w:tcW w:w="1655" w:type="pct"/>
                  <w:gridSpan w:val="2"/>
                  <w:tcBorders>
                    <w:tl2br w:val="nil"/>
                    <w:tr2bl w:val="nil"/>
                  </w:tcBorders>
                  <w:noWrap w:val="0"/>
                  <w:vAlign w:val="center"/>
                </w:tcPr>
                <w:p w14:paraId="5A9A73C2">
                  <w:pPr>
                    <w:pStyle w:val="1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right="0" w:firstLine="0" w:firstLineChars="0"/>
                    <w:jc w:val="center"/>
                    <w:textAlignment w:val="auto"/>
                    <w:rPr>
                      <w:rFonts w:hint="default" w:ascii="Times New Roman" w:hAnsi="Times New Roman" w:eastAsia="宋体"/>
                      <w:b w:val="0"/>
                      <w:color w:val="auto"/>
                      <w:sz w:val="21"/>
                      <w:vertAlign w:val="baseline"/>
                      <w:lang w:val="en-US" w:eastAsia="zh-CN"/>
                    </w:rPr>
                  </w:pPr>
                  <w:r>
                    <w:rPr>
                      <w:rFonts w:hint="eastAsia" w:ascii="Times New Roman" w:hAnsi="Times New Roman"/>
                      <w:b w:val="0"/>
                      <w:color w:val="auto"/>
                      <w:sz w:val="21"/>
                      <w:vertAlign w:val="baseline"/>
                      <w:lang w:val="en-US" w:eastAsia="zh-CN"/>
                    </w:rPr>
                    <w:t>危险废物</w:t>
                  </w:r>
                </w:p>
              </w:tc>
              <w:tc>
                <w:tcPr>
                  <w:tcW w:w="736" w:type="pct"/>
                  <w:tcBorders>
                    <w:tl2br w:val="nil"/>
                    <w:tr2bl w:val="nil"/>
                  </w:tcBorders>
                  <w:noWrap w:val="0"/>
                  <w:vAlign w:val="center"/>
                </w:tcPr>
                <w:p w14:paraId="21DBA95F">
                  <w:pPr>
                    <w:pStyle w:val="1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right="0" w:firstLine="0" w:firstLineChars="0"/>
                    <w:jc w:val="center"/>
                    <w:textAlignment w:val="auto"/>
                    <w:rPr>
                      <w:rFonts w:hint="default" w:ascii="Times New Roman" w:hAnsi="Times New Roman" w:eastAsia="宋体"/>
                      <w:b w:val="0"/>
                      <w:color w:val="auto"/>
                      <w:sz w:val="21"/>
                      <w:vertAlign w:val="baseline"/>
                      <w:lang w:val="en-US" w:eastAsia="zh-CN"/>
                    </w:rPr>
                  </w:pPr>
                  <w:r>
                    <w:rPr>
                      <w:rFonts w:hint="eastAsia" w:ascii="Times New Roman" w:hAnsi="Times New Roman"/>
                      <w:b w:val="0"/>
                      <w:color w:val="auto"/>
                      <w:sz w:val="21"/>
                      <w:vertAlign w:val="baseline"/>
                      <w:lang w:val="en-US" w:eastAsia="zh-CN"/>
                    </w:rPr>
                    <w:t>/</w:t>
                  </w:r>
                </w:p>
              </w:tc>
              <w:tc>
                <w:tcPr>
                  <w:tcW w:w="755" w:type="pct"/>
                  <w:tcBorders>
                    <w:tl2br w:val="nil"/>
                    <w:tr2bl w:val="nil"/>
                  </w:tcBorders>
                  <w:noWrap w:val="0"/>
                  <w:vAlign w:val="center"/>
                </w:tcPr>
                <w:p w14:paraId="0D3BDFCC">
                  <w:pPr>
                    <w:pStyle w:val="1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right="0" w:firstLine="0" w:firstLineChars="0"/>
                    <w:jc w:val="center"/>
                    <w:textAlignment w:val="auto"/>
                    <w:rPr>
                      <w:rFonts w:hint="default" w:ascii="Times New Roman" w:hAnsi="Times New Roman" w:eastAsia="宋体"/>
                      <w:b w:val="0"/>
                      <w:bCs/>
                      <w:color w:val="auto"/>
                      <w:sz w:val="21"/>
                      <w:vertAlign w:val="baseline"/>
                      <w:lang w:val="en-US" w:eastAsia="zh-CN"/>
                    </w:rPr>
                  </w:pPr>
                  <w:r>
                    <w:rPr>
                      <w:rFonts w:hint="eastAsia" w:ascii="Times New Roman" w:hAnsi="Times New Roman"/>
                      <w:b w:val="0"/>
                      <w:bCs/>
                      <w:snapToGrid w:val="0"/>
                      <w:color w:val="auto"/>
                      <w:sz w:val="21"/>
                      <w:szCs w:val="21"/>
                      <w:lang w:val="en-US" w:eastAsia="zh-CN"/>
                    </w:rPr>
                    <w:t>7.9</w:t>
                  </w:r>
                </w:p>
              </w:tc>
              <w:tc>
                <w:tcPr>
                  <w:tcW w:w="624" w:type="pct"/>
                  <w:tcBorders>
                    <w:tl2br w:val="nil"/>
                    <w:tr2bl w:val="nil"/>
                  </w:tcBorders>
                  <w:noWrap w:val="0"/>
                  <w:vAlign w:val="center"/>
                </w:tcPr>
                <w:p w14:paraId="26FF0A08">
                  <w:pPr>
                    <w:pStyle w:val="1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right="0" w:firstLine="0" w:firstLineChars="0"/>
                    <w:jc w:val="center"/>
                    <w:textAlignment w:val="auto"/>
                    <w:rPr>
                      <w:rFonts w:hint="default" w:ascii="Times New Roman" w:hAnsi="Times New Roman" w:eastAsia="宋体"/>
                      <w:b w:val="0"/>
                      <w:color w:val="auto"/>
                      <w:sz w:val="21"/>
                      <w:vertAlign w:val="baseline"/>
                      <w:lang w:val="en-US" w:eastAsia="zh-CN"/>
                    </w:rPr>
                  </w:pPr>
                  <w:r>
                    <w:rPr>
                      <w:rFonts w:hint="eastAsia" w:ascii="Times New Roman" w:hAnsi="Times New Roman"/>
                      <w:b w:val="0"/>
                      <w:color w:val="auto"/>
                      <w:sz w:val="21"/>
                      <w:vertAlign w:val="baseline"/>
                      <w:lang w:val="en-US" w:eastAsia="zh-CN"/>
                    </w:rPr>
                    <w:t>50</w:t>
                  </w:r>
                </w:p>
              </w:tc>
              <w:tc>
                <w:tcPr>
                  <w:tcW w:w="833" w:type="pct"/>
                  <w:tcBorders>
                    <w:tl2br w:val="nil"/>
                    <w:tr2bl w:val="nil"/>
                  </w:tcBorders>
                  <w:noWrap w:val="0"/>
                  <w:vAlign w:val="center"/>
                </w:tcPr>
                <w:p w14:paraId="2B0C1549">
                  <w:pPr>
                    <w:pStyle w:val="1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right="0" w:firstLine="0" w:firstLineChars="0"/>
                    <w:jc w:val="center"/>
                    <w:textAlignment w:val="auto"/>
                    <w:rPr>
                      <w:rFonts w:hint="default" w:ascii="Times New Roman" w:hAnsi="Times New Roman" w:eastAsia="宋体"/>
                      <w:b w:val="0"/>
                      <w:color w:val="auto"/>
                      <w:sz w:val="21"/>
                      <w:vertAlign w:val="baseline"/>
                      <w:lang w:val="en-US" w:eastAsia="zh-CN"/>
                    </w:rPr>
                  </w:pPr>
                  <w:r>
                    <w:rPr>
                      <w:rFonts w:hint="eastAsia" w:ascii="Times New Roman" w:hAnsi="Times New Roman"/>
                      <w:b w:val="0"/>
                      <w:color w:val="auto"/>
                      <w:sz w:val="21"/>
                      <w:vertAlign w:val="baseline"/>
                      <w:lang w:val="en-US" w:eastAsia="zh-CN"/>
                    </w:rPr>
                    <w:t>0.158</w:t>
                  </w:r>
                </w:p>
              </w:tc>
            </w:tr>
            <w:tr w14:paraId="37F21B79">
              <w:trPr>
                <w:jc w:val="center"/>
              </w:trPr>
              <w:tc>
                <w:tcPr>
                  <w:tcW w:w="394" w:type="pct"/>
                  <w:tcBorders>
                    <w:tl2br w:val="nil"/>
                    <w:tr2bl w:val="nil"/>
                  </w:tcBorders>
                  <w:noWrap w:val="0"/>
                  <w:vAlign w:val="center"/>
                </w:tcPr>
                <w:p w14:paraId="48F27071">
                  <w:pPr>
                    <w:pStyle w:val="17"/>
                    <w:keepNext w:val="0"/>
                    <w:keepLines w:val="0"/>
                    <w:pageBreakBefore w:val="0"/>
                    <w:widowControl w:val="0"/>
                    <w:numPr>
                      <w:ilvl w:val="0"/>
                      <w:numId w:val="27"/>
                    </w:numPr>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firstLine="0" w:firstLineChars="0"/>
                    <w:jc w:val="center"/>
                    <w:textAlignment w:val="auto"/>
                    <w:rPr>
                      <w:rFonts w:hint="eastAsia" w:ascii="Times New Roman" w:hAnsi="Times New Roman" w:eastAsia="宋体" w:cs="宋体"/>
                      <w:b w:val="0"/>
                      <w:color w:val="auto"/>
                      <w:kern w:val="2"/>
                      <w:sz w:val="21"/>
                      <w:szCs w:val="24"/>
                      <w:vertAlign w:val="baseline"/>
                      <w:lang w:val="en-US" w:eastAsia="zh-CN" w:bidi="ar-SA"/>
                    </w:rPr>
                  </w:pPr>
                </w:p>
              </w:tc>
              <w:tc>
                <w:tcPr>
                  <w:tcW w:w="1655" w:type="pct"/>
                  <w:gridSpan w:val="2"/>
                  <w:tcBorders>
                    <w:tl2br w:val="nil"/>
                    <w:tr2bl w:val="nil"/>
                  </w:tcBorders>
                  <w:noWrap w:val="0"/>
                  <w:vAlign w:val="center"/>
                </w:tcPr>
                <w:p w14:paraId="30AC4860">
                  <w:pPr>
                    <w:pStyle w:val="1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firstLine="0" w:firstLineChars="0"/>
                    <w:jc w:val="center"/>
                    <w:textAlignment w:val="auto"/>
                    <w:rPr>
                      <w:rFonts w:hint="eastAsia" w:ascii="Times New Roman" w:hAnsi="Times New Roman" w:eastAsia="宋体" w:cs="宋体"/>
                      <w:b w:val="0"/>
                      <w:color w:val="auto"/>
                      <w:kern w:val="2"/>
                      <w:sz w:val="21"/>
                      <w:szCs w:val="24"/>
                      <w:vertAlign w:val="baseline"/>
                      <w:lang w:val="en-US" w:eastAsia="zh-CN" w:bidi="ar-SA"/>
                    </w:rPr>
                  </w:pPr>
                  <w:r>
                    <w:rPr>
                      <w:rFonts w:hint="eastAsia" w:ascii="Times New Roman" w:hAnsi="Times New Roman" w:eastAsia="宋体"/>
                      <w:b w:val="0"/>
                      <w:color w:val="auto"/>
                      <w:sz w:val="21"/>
                      <w:vertAlign w:val="baseline"/>
                      <w:lang w:val="en-US" w:eastAsia="zh-CN"/>
                    </w:rPr>
                    <w:t>润滑油</w:t>
                  </w:r>
                </w:p>
              </w:tc>
              <w:tc>
                <w:tcPr>
                  <w:tcW w:w="736" w:type="pct"/>
                  <w:tcBorders>
                    <w:tl2br w:val="nil"/>
                    <w:tr2bl w:val="nil"/>
                  </w:tcBorders>
                  <w:noWrap w:val="0"/>
                  <w:vAlign w:val="center"/>
                </w:tcPr>
                <w:p w14:paraId="728C8512">
                  <w:pPr>
                    <w:pStyle w:val="1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firstLine="0" w:firstLineChars="0"/>
                    <w:jc w:val="center"/>
                    <w:textAlignment w:val="auto"/>
                    <w:rPr>
                      <w:rFonts w:hint="eastAsia" w:ascii="Times New Roman" w:hAnsi="Times New Roman" w:eastAsia="宋体" w:cs="宋体"/>
                      <w:b w:val="0"/>
                      <w:color w:val="auto"/>
                      <w:kern w:val="2"/>
                      <w:sz w:val="21"/>
                      <w:szCs w:val="24"/>
                      <w:vertAlign w:val="baseline"/>
                      <w:lang w:val="en-US" w:eastAsia="zh-CN" w:bidi="ar-SA"/>
                    </w:rPr>
                  </w:pPr>
                  <w:r>
                    <w:rPr>
                      <w:rFonts w:hint="eastAsia" w:ascii="Times New Roman" w:hAnsi="Times New Roman" w:eastAsia="宋体"/>
                      <w:b w:val="0"/>
                      <w:color w:val="auto"/>
                      <w:sz w:val="21"/>
                      <w:vertAlign w:val="baseline"/>
                      <w:lang w:val="en-US" w:eastAsia="zh-CN"/>
                    </w:rPr>
                    <w:t>8002-05-9</w:t>
                  </w:r>
                </w:p>
              </w:tc>
              <w:tc>
                <w:tcPr>
                  <w:tcW w:w="755" w:type="pct"/>
                  <w:tcBorders>
                    <w:tl2br w:val="nil"/>
                    <w:tr2bl w:val="nil"/>
                  </w:tcBorders>
                  <w:noWrap w:val="0"/>
                  <w:vAlign w:val="center"/>
                </w:tcPr>
                <w:p w14:paraId="23B6826B">
                  <w:pPr>
                    <w:pStyle w:val="1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firstLine="0" w:firstLineChars="0"/>
                    <w:jc w:val="center"/>
                    <w:textAlignment w:val="auto"/>
                    <w:rPr>
                      <w:rFonts w:hint="eastAsia" w:ascii="Times New Roman" w:hAnsi="Times New Roman" w:eastAsia="宋体" w:cs="宋体"/>
                      <w:b w:val="0"/>
                      <w:color w:val="auto"/>
                      <w:kern w:val="2"/>
                      <w:sz w:val="21"/>
                      <w:szCs w:val="24"/>
                      <w:vertAlign w:val="baseline"/>
                      <w:lang w:val="en-US" w:eastAsia="zh-CN" w:bidi="ar-SA"/>
                    </w:rPr>
                  </w:pPr>
                  <w:r>
                    <w:rPr>
                      <w:rFonts w:hint="eastAsia" w:ascii="Times New Roman" w:hAnsi="Times New Roman" w:eastAsia="宋体"/>
                      <w:b w:val="0"/>
                      <w:color w:val="auto"/>
                      <w:sz w:val="21"/>
                      <w:vertAlign w:val="baseline"/>
                      <w:lang w:val="en-US" w:eastAsia="zh-CN"/>
                    </w:rPr>
                    <w:t>0.</w:t>
                  </w:r>
                  <w:r>
                    <w:rPr>
                      <w:rFonts w:hint="eastAsia" w:ascii="Times New Roman" w:hAnsi="Times New Roman"/>
                      <w:b w:val="0"/>
                      <w:color w:val="auto"/>
                      <w:sz w:val="21"/>
                      <w:vertAlign w:val="baseline"/>
                      <w:lang w:val="en-US" w:eastAsia="zh-CN"/>
                    </w:rPr>
                    <w:t>5</w:t>
                  </w:r>
                </w:p>
              </w:tc>
              <w:tc>
                <w:tcPr>
                  <w:tcW w:w="624" w:type="pct"/>
                  <w:tcBorders>
                    <w:tl2br w:val="nil"/>
                    <w:tr2bl w:val="nil"/>
                  </w:tcBorders>
                  <w:noWrap w:val="0"/>
                  <w:vAlign w:val="center"/>
                </w:tcPr>
                <w:p w14:paraId="7FA972D6">
                  <w:pPr>
                    <w:pStyle w:val="1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firstLine="0" w:firstLineChars="0"/>
                    <w:jc w:val="center"/>
                    <w:textAlignment w:val="auto"/>
                    <w:rPr>
                      <w:rFonts w:hint="eastAsia" w:ascii="Times New Roman" w:hAnsi="Times New Roman" w:eastAsia="宋体" w:cs="宋体"/>
                      <w:b w:val="0"/>
                      <w:color w:val="auto"/>
                      <w:kern w:val="2"/>
                      <w:sz w:val="21"/>
                      <w:szCs w:val="24"/>
                      <w:vertAlign w:val="baseline"/>
                      <w:lang w:val="en-US" w:eastAsia="zh-CN" w:bidi="ar-SA"/>
                    </w:rPr>
                  </w:pPr>
                  <w:r>
                    <w:rPr>
                      <w:rFonts w:hint="eastAsia" w:ascii="Times New Roman" w:hAnsi="Times New Roman"/>
                      <w:b w:val="0"/>
                      <w:color w:val="auto"/>
                      <w:sz w:val="21"/>
                      <w:vertAlign w:val="baseline"/>
                      <w:lang w:val="en-US" w:eastAsia="zh-CN"/>
                    </w:rPr>
                    <w:t>2500</w:t>
                  </w:r>
                </w:p>
              </w:tc>
              <w:tc>
                <w:tcPr>
                  <w:tcW w:w="833" w:type="pct"/>
                  <w:tcBorders>
                    <w:tl2br w:val="nil"/>
                    <w:tr2bl w:val="nil"/>
                  </w:tcBorders>
                  <w:noWrap w:val="0"/>
                  <w:vAlign w:val="center"/>
                </w:tcPr>
                <w:p w14:paraId="09FE3360">
                  <w:pPr>
                    <w:pStyle w:val="1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firstLine="0" w:firstLineChars="0"/>
                    <w:jc w:val="center"/>
                    <w:textAlignment w:val="auto"/>
                    <w:rPr>
                      <w:rFonts w:hint="eastAsia" w:ascii="Times New Roman" w:hAnsi="Times New Roman" w:eastAsia="宋体" w:cs="宋体"/>
                      <w:b w:val="0"/>
                      <w:color w:val="auto"/>
                      <w:kern w:val="2"/>
                      <w:sz w:val="21"/>
                      <w:szCs w:val="24"/>
                      <w:vertAlign w:val="baseline"/>
                      <w:lang w:val="en-US" w:eastAsia="zh-CN" w:bidi="ar-SA"/>
                    </w:rPr>
                  </w:pPr>
                  <w:r>
                    <w:rPr>
                      <w:rFonts w:hint="eastAsia" w:ascii="Times New Roman" w:hAnsi="Times New Roman" w:eastAsia="宋体"/>
                      <w:b w:val="0"/>
                      <w:color w:val="auto"/>
                      <w:sz w:val="21"/>
                      <w:vertAlign w:val="baseline"/>
                      <w:lang w:val="en-US" w:eastAsia="zh-CN"/>
                    </w:rPr>
                    <w:t>0.00</w:t>
                  </w:r>
                  <w:r>
                    <w:rPr>
                      <w:rFonts w:hint="eastAsia" w:ascii="Times New Roman" w:hAnsi="Times New Roman"/>
                      <w:b w:val="0"/>
                      <w:color w:val="auto"/>
                      <w:sz w:val="21"/>
                      <w:vertAlign w:val="baseline"/>
                      <w:lang w:val="en-US" w:eastAsia="zh-CN"/>
                    </w:rPr>
                    <w:t>02</w:t>
                  </w:r>
                </w:p>
              </w:tc>
            </w:tr>
            <w:tr w14:paraId="30D0E3F4">
              <w:trPr>
                <w:jc w:val="center"/>
              </w:trPr>
              <w:tc>
                <w:tcPr>
                  <w:tcW w:w="394" w:type="pct"/>
                  <w:tcBorders>
                    <w:tl2br w:val="nil"/>
                    <w:tr2bl w:val="nil"/>
                  </w:tcBorders>
                  <w:noWrap w:val="0"/>
                  <w:vAlign w:val="center"/>
                </w:tcPr>
                <w:p w14:paraId="48F82ECD">
                  <w:pPr>
                    <w:pStyle w:val="17"/>
                    <w:keepNext w:val="0"/>
                    <w:keepLines w:val="0"/>
                    <w:pageBreakBefore w:val="0"/>
                    <w:widowControl w:val="0"/>
                    <w:numPr>
                      <w:ilvl w:val="0"/>
                      <w:numId w:val="27"/>
                    </w:numPr>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firstLine="0" w:firstLineChars="0"/>
                    <w:jc w:val="center"/>
                    <w:textAlignment w:val="auto"/>
                    <w:rPr>
                      <w:rFonts w:hint="eastAsia" w:ascii="Times New Roman" w:hAnsi="Times New Roman" w:eastAsia="宋体"/>
                      <w:b w:val="0"/>
                      <w:color w:val="auto"/>
                      <w:sz w:val="21"/>
                      <w:vertAlign w:val="baseline"/>
                      <w:lang w:val="en-US" w:eastAsia="zh-CN"/>
                    </w:rPr>
                  </w:pPr>
                </w:p>
              </w:tc>
              <w:tc>
                <w:tcPr>
                  <w:tcW w:w="822" w:type="pct"/>
                  <w:vMerge w:val="restart"/>
                  <w:tcBorders>
                    <w:tl2br w:val="nil"/>
                    <w:tr2bl w:val="nil"/>
                  </w:tcBorders>
                  <w:noWrap w:val="0"/>
                  <w:vAlign w:val="center"/>
                </w:tcPr>
                <w:p w14:paraId="139D0489">
                  <w:pPr>
                    <w:pStyle w:val="36"/>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b w:val="0"/>
                      <w:bCs w:val="0"/>
                      <w:color w:val="auto"/>
                      <w:sz w:val="21"/>
                      <w:vertAlign w:val="baseline"/>
                      <w:lang w:val="en-US" w:eastAsia="zh-CN"/>
                    </w:rPr>
                  </w:pPr>
                  <w:r>
                    <w:rPr>
                      <w:rFonts w:hint="eastAsia" w:ascii="Times New Roman" w:hAnsi="Times New Roman"/>
                      <w:b w:val="0"/>
                      <w:bCs w:val="0"/>
                      <w:color w:val="auto"/>
                      <w:sz w:val="21"/>
                      <w:szCs w:val="21"/>
                    </w:rPr>
                    <w:t>OAPIUS过氧乙酸消毒液</w:t>
                  </w:r>
                </w:p>
              </w:tc>
              <w:tc>
                <w:tcPr>
                  <w:tcW w:w="832" w:type="pct"/>
                  <w:tcBorders>
                    <w:tl2br w:val="nil"/>
                    <w:tr2bl w:val="nil"/>
                  </w:tcBorders>
                  <w:noWrap w:val="0"/>
                  <w:vAlign w:val="center"/>
                </w:tcPr>
                <w:p w14:paraId="2E5F87A0">
                  <w:pPr>
                    <w:pStyle w:val="36"/>
                    <w:keepNext w:val="0"/>
                    <w:keepLines w:val="0"/>
                    <w:suppressLineNumbers w:val="0"/>
                    <w:bidi w:val="0"/>
                    <w:spacing w:before="0" w:beforeAutospacing="0" w:after="0" w:afterAutospacing="0"/>
                    <w:ind w:left="0" w:leftChars="0" w:right="0" w:rightChars="0"/>
                    <w:rPr>
                      <w:rFonts w:hint="eastAsia" w:ascii="Times New Roman" w:hAnsi="Times New Roman" w:eastAsia="宋体"/>
                      <w:b w:val="0"/>
                      <w:bCs w:val="0"/>
                      <w:color w:val="auto"/>
                      <w:sz w:val="21"/>
                      <w:vertAlign w:val="baseline"/>
                      <w:lang w:val="en-US" w:eastAsia="zh-CN"/>
                    </w:rPr>
                  </w:pPr>
                  <w:r>
                    <w:rPr>
                      <w:rFonts w:hint="eastAsia" w:ascii="Times New Roman" w:hAnsi="Times New Roman"/>
                      <w:b w:val="0"/>
                      <w:bCs w:val="0"/>
                      <w:color w:val="auto"/>
                      <w:sz w:val="21"/>
                      <w:lang w:val="en-US" w:eastAsia="zh-CN"/>
                    </w:rPr>
                    <w:t>过氧乙酸25.2%</w:t>
                  </w:r>
                </w:p>
              </w:tc>
              <w:tc>
                <w:tcPr>
                  <w:tcW w:w="736" w:type="pct"/>
                  <w:tcBorders>
                    <w:tl2br w:val="nil"/>
                    <w:tr2bl w:val="nil"/>
                  </w:tcBorders>
                  <w:noWrap w:val="0"/>
                  <w:vAlign w:val="center"/>
                </w:tcPr>
                <w:p w14:paraId="6FA1C744">
                  <w:pPr>
                    <w:pStyle w:val="1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firstLine="0" w:firstLineChars="0"/>
                    <w:jc w:val="center"/>
                    <w:textAlignment w:val="auto"/>
                    <w:rPr>
                      <w:rFonts w:hint="eastAsia" w:ascii="Times New Roman" w:hAnsi="Times New Roman" w:eastAsia="宋体"/>
                      <w:b w:val="0"/>
                      <w:color w:val="auto"/>
                      <w:sz w:val="21"/>
                      <w:vertAlign w:val="baseline"/>
                      <w:lang w:val="en-US" w:eastAsia="zh-CN"/>
                    </w:rPr>
                  </w:pPr>
                  <w:r>
                    <w:rPr>
                      <w:rFonts w:hint="eastAsia" w:ascii="Times New Roman" w:hAnsi="Times New Roman" w:eastAsia="宋体"/>
                      <w:b w:val="0"/>
                      <w:color w:val="auto"/>
                      <w:sz w:val="21"/>
                      <w:vertAlign w:val="baseline"/>
                      <w:lang w:val="en-US" w:eastAsia="zh-CN"/>
                    </w:rPr>
                    <w:t>79-21-0</w:t>
                  </w:r>
                </w:p>
              </w:tc>
              <w:tc>
                <w:tcPr>
                  <w:tcW w:w="755" w:type="pct"/>
                  <w:tcBorders>
                    <w:tl2br w:val="nil"/>
                    <w:tr2bl w:val="nil"/>
                  </w:tcBorders>
                  <w:noWrap w:val="0"/>
                  <w:vAlign w:val="center"/>
                </w:tcPr>
                <w:p w14:paraId="6C9A5746">
                  <w:pPr>
                    <w:pStyle w:val="1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b w:val="0"/>
                      <w:color w:val="auto"/>
                      <w:sz w:val="21"/>
                      <w:vertAlign w:val="baseline"/>
                      <w:lang w:val="en-US" w:eastAsia="zh-CN"/>
                    </w:rPr>
                  </w:pPr>
                  <w:r>
                    <w:rPr>
                      <w:rFonts w:hint="eastAsia" w:ascii="Times New Roman" w:hAnsi="Times New Roman"/>
                      <w:b w:val="0"/>
                      <w:color w:val="auto"/>
                      <w:sz w:val="21"/>
                      <w:vertAlign w:val="baseline"/>
                      <w:lang w:val="en-US" w:eastAsia="zh-CN"/>
                    </w:rPr>
                    <w:t>1</w:t>
                  </w:r>
                </w:p>
              </w:tc>
              <w:tc>
                <w:tcPr>
                  <w:tcW w:w="624" w:type="pct"/>
                  <w:tcBorders>
                    <w:tl2br w:val="nil"/>
                    <w:tr2bl w:val="nil"/>
                  </w:tcBorders>
                  <w:noWrap w:val="0"/>
                  <w:vAlign w:val="center"/>
                </w:tcPr>
                <w:p w14:paraId="297DE4B5">
                  <w:pPr>
                    <w:pStyle w:val="1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firstLine="0" w:firstLineChars="0"/>
                    <w:jc w:val="center"/>
                    <w:textAlignment w:val="auto"/>
                    <w:rPr>
                      <w:rFonts w:hint="default" w:ascii="Times New Roman" w:hAnsi="Times New Roman"/>
                      <w:b w:val="0"/>
                      <w:color w:val="auto"/>
                      <w:sz w:val="21"/>
                      <w:vertAlign w:val="baseline"/>
                      <w:lang w:val="en-US" w:eastAsia="zh-CN"/>
                    </w:rPr>
                  </w:pPr>
                  <w:r>
                    <w:rPr>
                      <w:rFonts w:hint="eastAsia" w:ascii="Times New Roman" w:hAnsi="Times New Roman"/>
                      <w:b w:val="0"/>
                      <w:color w:val="auto"/>
                      <w:sz w:val="21"/>
                      <w:vertAlign w:val="baseline"/>
                      <w:lang w:val="en-US" w:eastAsia="zh-CN"/>
                    </w:rPr>
                    <w:t>5</w:t>
                  </w:r>
                </w:p>
              </w:tc>
              <w:tc>
                <w:tcPr>
                  <w:tcW w:w="833" w:type="pct"/>
                  <w:tcBorders>
                    <w:tl2br w:val="nil"/>
                    <w:tr2bl w:val="nil"/>
                  </w:tcBorders>
                  <w:noWrap w:val="0"/>
                  <w:vAlign w:val="center"/>
                </w:tcPr>
                <w:p w14:paraId="7A262C18">
                  <w:pPr>
                    <w:pStyle w:val="1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b w:val="0"/>
                      <w:color w:val="auto"/>
                      <w:sz w:val="21"/>
                      <w:vertAlign w:val="baseline"/>
                      <w:lang w:val="en-US" w:eastAsia="zh-CN"/>
                    </w:rPr>
                  </w:pPr>
                  <w:r>
                    <w:rPr>
                      <w:rFonts w:hint="eastAsia" w:ascii="Times New Roman" w:hAnsi="Times New Roman"/>
                      <w:b w:val="0"/>
                      <w:color w:val="auto"/>
                      <w:sz w:val="21"/>
                      <w:vertAlign w:val="baseline"/>
                      <w:lang w:val="en-US" w:eastAsia="zh-CN"/>
                    </w:rPr>
                    <w:t>0.2</w:t>
                  </w:r>
                </w:p>
              </w:tc>
            </w:tr>
            <w:tr w14:paraId="01BA883B">
              <w:trPr>
                <w:jc w:val="center"/>
              </w:trPr>
              <w:tc>
                <w:tcPr>
                  <w:tcW w:w="394" w:type="pct"/>
                  <w:tcBorders>
                    <w:tl2br w:val="nil"/>
                    <w:tr2bl w:val="nil"/>
                  </w:tcBorders>
                  <w:noWrap w:val="0"/>
                  <w:vAlign w:val="center"/>
                </w:tcPr>
                <w:p w14:paraId="25FF6869">
                  <w:pPr>
                    <w:pStyle w:val="17"/>
                    <w:keepNext w:val="0"/>
                    <w:keepLines w:val="0"/>
                    <w:pageBreakBefore w:val="0"/>
                    <w:widowControl w:val="0"/>
                    <w:numPr>
                      <w:ilvl w:val="0"/>
                      <w:numId w:val="27"/>
                    </w:numPr>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firstLine="0" w:firstLineChars="0"/>
                    <w:jc w:val="center"/>
                    <w:textAlignment w:val="auto"/>
                    <w:rPr>
                      <w:rFonts w:hint="eastAsia" w:ascii="Times New Roman" w:hAnsi="Times New Roman" w:eastAsia="宋体"/>
                      <w:b w:val="0"/>
                      <w:color w:val="auto"/>
                      <w:sz w:val="21"/>
                      <w:vertAlign w:val="baseline"/>
                      <w:lang w:val="en-US" w:eastAsia="zh-CN"/>
                    </w:rPr>
                  </w:pPr>
                </w:p>
              </w:tc>
              <w:tc>
                <w:tcPr>
                  <w:tcW w:w="822" w:type="pct"/>
                  <w:vMerge w:val="continue"/>
                  <w:tcBorders>
                    <w:tl2br w:val="nil"/>
                    <w:tr2bl w:val="nil"/>
                  </w:tcBorders>
                  <w:noWrap w:val="0"/>
                  <w:vAlign w:val="center"/>
                </w:tcPr>
                <w:p w14:paraId="2275DDD6">
                  <w:pPr>
                    <w:pStyle w:val="36"/>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b w:val="0"/>
                      <w:bCs w:val="0"/>
                      <w:color w:val="auto"/>
                      <w:sz w:val="21"/>
                      <w:vertAlign w:val="baseline"/>
                      <w:lang w:val="en-US" w:eastAsia="zh-CN"/>
                    </w:rPr>
                  </w:pPr>
                </w:p>
              </w:tc>
              <w:tc>
                <w:tcPr>
                  <w:tcW w:w="832" w:type="pct"/>
                  <w:tcBorders>
                    <w:tl2br w:val="nil"/>
                    <w:tr2bl w:val="nil"/>
                  </w:tcBorders>
                  <w:noWrap w:val="0"/>
                  <w:vAlign w:val="center"/>
                </w:tcPr>
                <w:p w14:paraId="50F3827C">
                  <w:pPr>
                    <w:pStyle w:val="36"/>
                    <w:keepNext w:val="0"/>
                    <w:keepLines w:val="0"/>
                    <w:suppressLineNumbers w:val="0"/>
                    <w:bidi w:val="0"/>
                    <w:spacing w:before="0" w:beforeAutospacing="0" w:after="0" w:afterAutospacing="0"/>
                    <w:ind w:left="0" w:leftChars="0" w:right="0" w:rightChars="0"/>
                    <w:rPr>
                      <w:rFonts w:hint="eastAsia" w:ascii="Times New Roman" w:hAnsi="Times New Roman" w:eastAsia="宋体"/>
                      <w:b w:val="0"/>
                      <w:bCs w:val="0"/>
                      <w:color w:val="auto"/>
                      <w:sz w:val="21"/>
                      <w:vertAlign w:val="baseline"/>
                      <w:lang w:val="en-US" w:eastAsia="zh-CN"/>
                    </w:rPr>
                  </w:pPr>
                  <w:r>
                    <w:rPr>
                      <w:rFonts w:hint="eastAsia" w:ascii="Times New Roman" w:hAnsi="Times New Roman"/>
                      <w:b w:val="0"/>
                      <w:bCs w:val="0"/>
                      <w:color w:val="auto"/>
                      <w:sz w:val="21"/>
                      <w:lang w:val="en-US" w:eastAsia="zh-CN"/>
                    </w:rPr>
                    <w:t>冰醋酸60%</w:t>
                  </w:r>
                </w:p>
              </w:tc>
              <w:tc>
                <w:tcPr>
                  <w:tcW w:w="736" w:type="pct"/>
                  <w:tcBorders>
                    <w:tl2br w:val="nil"/>
                    <w:tr2bl w:val="nil"/>
                  </w:tcBorders>
                  <w:noWrap w:val="0"/>
                  <w:vAlign w:val="center"/>
                </w:tcPr>
                <w:p w14:paraId="166ED21B">
                  <w:pPr>
                    <w:pStyle w:val="1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firstLine="0" w:firstLineChars="0"/>
                    <w:jc w:val="center"/>
                    <w:textAlignment w:val="auto"/>
                    <w:rPr>
                      <w:rFonts w:hint="eastAsia" w:ascii="Times New Roman" w:hAnsi="Times New Roman" w:eastAsia="宋体"/>
                      <w:b w:val="0"/>
                      <w:color w:val="auto"/>
                      <w:sz w:val="21"/>
                      <w:vertAlign w:val="baseline"/>
                      <w:lang w:val="en-US" w:eastAsia="zh-CN"/>
                    </w:rPr>
                  </w:pPr>
                  <w:r>
                    <w:rPr>
                      <w:rFonts w:hint="eastAsia" w:ascii="Times New Roman" w:hAnsi="Times New Roman" w:eastAsia="宋体"/>
                      <w:b w:val="0"/>
                      <w:color w:val="auto"/>
                      <w:sz w:val="21"/>
                      <w:vertAlign w:val="baseline"/>
                      <w:lang w:val="en-US" w:eastAsia="zh-CN"/>
                    </w:rPr>
                    <w:t>64-19-7</w:t>
                  </w:r>
                </w:p>
              </w:tc>
              <w:tc>
                <w:tcPr>
                  <w:tcW w:w="755" w:type="pct"/>
                  <w:tcBorders>
                    <w:tl2br w:val="nil"/>
                    <w:tr2bl w:val="nil"/>
                  </w:tcBorders>
                  <w:noWrap w:val="0"/>
                  <w:vAlign w:val="center"/>
                </w:tcPr>
                <w:p w14:paraId="6F3F153A">
                  <w:pPr>
                    <w:pStyle w:val="1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b w:val="0"/>
                      <w:color w:val="auto"/>
                      <w:sz w:val="21"/>
                      <w:vertAlign w:val="baseline"/>
                      <w:lang w:val="en-US" w:eastAsia="zh-CN"/>
                    </w:rPr>
                  </w:pPr>
                  <w:r>
                    <w:rPr>
                      <w:rFonts w:hint="eastAsia" w:ascii="Times New Roman" w:hAnsi="Times New Roman"/>
                      <w:b w:val="0"/>
                      <w:color w:val="auto"/>
                      <w:sz w:val="21"/>
                      <w:vertAlign w:val="baseline"/>
                      <w:lang w:val="en-US" w:eastAsia="zh-CN"/>
                    </w:rPr>
                    <w:t>1</w:t>
                  </w:r>
                </w:p>
              </w:tc>
              <w:tc>
                <w:tcPr>
                  <w:tcW w:w="624" w:type="pct"/>
                  <w:tcBorders>
                    <w:tl2br w:val="nil"/>
                    <w:tr2bl w:val="nil"/>
                  </w:tcBorders>
                  <w:noWrap w:val="0"/>
                  <w:vAlign w:val="center"/>
                </w:tcPr>
                <w:p w14:paraId="2B1FECAF">
                  <w:pPr>
                    <w:pStyle w:val="1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firstLine="0" w:firstLineChars="0"/>
                    <w:jc w:val="center"/>
                    <w:textAlignment w:val="auto"/>
                    <w:rPr>
                      <w:rFonts w:hint="default" w:ascii="Times New Roman" w:hAnsi="Times New Roman"/>
                      <w:b w:val="0"/>
                      <w:color w:val="auto"/>
                      <w:sz w:val="21"/>
                      <w:vertAlign w:val="baseline"/>
                      <w:lang w:val="en-US" w:eastAsia="zh-CN"/>
                    </w:rPr>
                  </w:pPr>
                  <w:r>
                    <w:rPr>
                      <w:rFonts w:hint="eastAsia" w:ascii="Times New Roman" w:hAnsi="Times New Roman"/>
                      <w:b w:val="0"/>
                      <w:color w:val="auto"/>
                      <w:sz w:val="21"/>
                      <w:vertAlign w:val="baseline"/>
                      <w:lang w:val="en-US" w:eastAsia="zh-CN"/>
                    </w:rPr>
                    <w:t>10</w:t>
                  </w:r>
                </w:p>
              </w:tc>
              <w:tc>
                <w:tcPr>
                  <w:tcW w:w="833" w:type="pct"/>
                  <w:tcBorders>
                    <w:tl2br w:val="nil"/>
                    <w:tr2bl w:val="nil"/>
                  </w:tcBorders>
                  <w:noWrap w:val="0"/>
                  <w:vAlign w:val="center"/>
                </w:tcPr>
                <w:p w14:paraId="2CE4D413">
                  <w:pPr>
                    <w:pStyle w:val="1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b w:val="0"/>
                      <w:color w:val="auto"/>
                      <w:sz w:val="21"/>
                      <w:vertAlign w:val="baseline"/>
                      <w:lang w:val="en-US" w:eastAsia="zh-CN"/>
                    </w:rPr>
                  </w:pPr>
                  <w:r>
                    <w:rPr>
                      <w:rFonts w:hint="eastAsia" w:ascii="Times New Roman" w:hAnsi="Times New Roman"/>
                      <w:b w:val="0"/>
                      <w:color w:val="auto"/>
                      <w:sz w:val="21"/>
                      <w:vertAlign w:val="baseline"/>
                      <w:lang w:val="en-US" w:eastAsia="zh-CN"/>
                    </w:rPr>
                    <w:t>0.1</w:t>
                  </w:r>
                </w:p>
              </w:tc>
            </w:tr>
            <w:tr w14:paraId="196C0025">
              <w:trPr>
                <w:jc w:val="center"/>
              </w:trPr>
              <w:tc>
                <w:tcPr>
                  <w:tcW w:w="394" w:type="pct"/>
                  <w:tcBorders>
                    <w:tl2br w:val="nil"/>
                    <w:tr2bl w:val="nil"/>
                  </w:tcBorders>
                  <w:noWrap w:val="0"/>
                  <w:vAlign w:val="center"/>
                </w:tcPr>
                <w:p w14:paraId="1020C896">
                  <w:pPr>
                    <w:pStyle w:val="17"/>
                    <w:keepNext w:val="0"/>
                    <w:keepLines w:val="0"/>
                    <w:pageBreakBefore w:val="0"/>
                    <w:widowControl w:val="0"/>
                    <w:numPr>
                      <w:ilvl w:val="0"/>
                      <w:numId w:val="27"/>
                    </w:numPr>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firstLine="0" w:firstLineChars="0"/>
                    <w:jc w:val="center"/>
                    <w:textAlignment w:val="auto"/>
                    <w:rPr>
                      <w:rFonts w:hint="eastAsia" w:ascii="Times New Roman" w:hAnsi="Times New Roman" w:eastAsia="宋体"/>
                      <w:b w:val="0"/>
                      <w:color w:val="auto"/>
                      <w:sz w:val="21"/>
                      <w:vertAlign w:val="baseline"/>
                      <w:lang w:val="en-US" w:eastAsia="zh-CN"/>
                    </w:rPr>
                  </w:pPr>
                </w:p>
              </w:tc>
              <w:tc>
                <w:tcPr>
                  <w:tcW w:w="822" w:type="pct"/>
                  <w:tcBorders>
                    <w:tl2br w:val="nil"/>
                    <w:tr2bl w:val="nil"/>
                  </w:tcBorders>
                  <w:noWrap w:val="0"/>
                  <w:vAlign w:val="center"/>
                </w:tcPr>
                <w:p w14:paraId="4CD9DDD5">
                  <w:pPr>
                    <w:pStyle w:val="36"/>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b w:val="0"/>
                      <w:bCs w:val="0"/>
                      <w:color w:val="auto"/>
                      <w:sz w:val="21"/>
                      <w:vertAlign w:val="baseline"/>
                      <w:lang w:val="en-US" w:eastAsia="zh-CN"/>
                    </w:rPr>
                  </w:pPr>
                  <w:r>
                    <w:rPr>
                      <w:rFonts w:hint="eastAsia" w:ascii="Times New Roman" w:hAnsi="Times New Roman"/>
                      <w:b w:val="0"/>
                      <w:bCs w:val="0"/>
                      <w:color w:val="auto"/>
                      <w:sz w:val="21"/>
                    </w:rPr>
                    <w:t>浩丽VN酸性清洗剂</w:t>
                  </w:r>
                </w:p>
              </w:tc>
              <w:tc>
                <w:tcPr>
                  <w:tcW w:w="832" w:type="pct"/>
                  <w:tcBorders>
                    <w:tl2br w:val="nil"/>
                    <w:tr2bl w:val="nil"/>
                  </w:tcBorders>
                  <w:noWrap w:val="0"/>
                  <w:vAlign w:val="center"/>
                </w:tcPr>
                <w:p w14:paraId="1F1E1354">
                  <w:pPr>
                    <w:pStyle w:val="36"/>
                    <w:keepNext w:val="0"/>
                    <w:keepLines w:val="0"/>
                    <w:suppressLineNumbers w:val="0"/>
                    <w:bidi w:val="0"/>
                    <w:spacing w:before="0" w:beforeAutospacing="0" w:after="0" w:afterAutospacing="0"/>
                    <w:ind w:left="0" w:leftChars="0" w:right="0" w:rightChars="0"/>
                    <w:rPr>
                      <w:rFonts w:hint="eastAsia" w:ascii="Times New Roman" w:hAnsi="Times New Roman" w:eastAsia="宋体"/>
                      <w:b w:val="0"/>
                      <w:bCs w:val="0"/>
                      <w:color w:val="auto"/>
                      <w:sz w:val="21"/>
                      <w:vertAlign w:val="baseline"/>
                      <w:lang w:val="en-US" w:eastAsia="zh-CN"/>
                    </w:rPr>
                  </w:pPr>
                  <w:r>
                    <w:rPr>
                      <w:rFonts w:hint="eastAsia" w:ascii="Times New Roman" w:hAnsi="Times New Roman"/>
                      <w:b w:val="0"/>
                      <w:bCs w:val="0"/>
                      <w:color w:val="auto"/>
                      <w:sz w:val="21"/>
                      <w:lang w:val="en-US" w:eastAsia="zh-CN"/>
                    </w:rPr>
                    <w:t>硝酸60%</w:t>
                  </w:r>
                </w:p>
              </w:tc>
              <w:tc>
                <w:tcPr>
                  <w:tcW w:w="736" w:type="pct"/>
                  <w:tcBorders>
                    <w:tl2br w:val="nil"/>
                    <w:tr2bl w:val="nil"/>
                  </w:tcBorders>
                  <w:noWrap w:val="0"/>
                  <w:vAlign w:val="center"/>
                </w:tcPr>
                <w:p w14:paraId="791A2362">
                  <w:pPr>
                    <w:pStyle w:val="1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firstLine="0" w:firstLineChars="0"/>
                    <w:jc w:val="center"/>
                    <w:textAlignment w:val="auto"/>
                    <w:rPr>
                      <w:rFonts w:hint="eastAsia" w:ascii="Times New Roman" w:hAnsi="Times New Roman" w:eastAsia="宋体"/>
                      <w:b w:val="0"/>
                      <w:color w:val="auto"/>
                      <w:sz w:val="21"/>
                      <w:vertAlign w:val="baseline"/>
                      <w:lang w:val="en-US" w:eastAsia="zh-CN"/>
                    </w:rPr>
                  </w:pPr>
                  <w:r>
                    <w:rPr>
                      <w:rFonts w:hint="eastAsia" w:ascii="Times New Roman" w:hAnsi="Times New Roman" w:eastAsia="宋体"/>
                      <w:b w:val="0"/>
                      <w:color w:val="auto"/>
                      <w:sz w:val="21"/>
                      <w:vertAlign w:val="baseline"/>
                      <w:lang w:val="en-US" w:eastAsia="zh-CN"/>
                    </w:rPr>
                    <w:t>7697-37-2</w:t>
                  </w:r>
                </w:p>
              </w:tc>
              <w:tc>
                <w:tcPr>
                  <w:tcW w:w="755" w:type="pct"/>
                  <w:tcBorders>
                    <w:tl2br w:val="nil"/>
                    <w:tr2bl w:val="nil"/>
                  </w:tcBorders>
                  <w:noWrap w:val="0"/>
                  <w:vAlign w:val="center"/>
                </w:tcPr>
                <w:p w14:paraId="0E18E2B2">
                  <w:pPr>
                    <w:pStyle w:val="1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b w:val="0"/>
                      <w:color w:val="auto"/>
                      <w:sz w:val="21"/>
                      <w:vertAlign w:val="baseline"/>
                      <w:lang w:val="en-US" w:eastAsia="zh-CN"/>
                    </w:rPr>
                  </w:pPr>
                  <w:r>
                    <w:rPr>
                      <w:rFonts w:hint="eastAsia" w:ascii="Times New Roman" w:hAnsi="Times New Roman"/>
                      <w:b w:val="0"/>
                      <w:color w:val="auto"/>
                      <w:sz w:val="21"/>
                      <w:vertAlign w:val="baseline"/>
                      <w:lang w:val="en-US" w:eastAsia="zh-CN"/>
                    </w:rPr>
                    <w:t>1</w:t>
                  </w:r>
                </w:p>
              </w:tc>
              <w:tc>
                <w:tcPr>
                  <w:tcW w:w="624" w:type="pct"/>
                  <w:tcBorders>
                    <w:tl2br w:val="nil"/>
                    <w:tr2bl w:val="nil"/>
                  </w:tcBorders>
                  <w:noWrap w:val="0"/>
                  <w:vAlign w:val="center"/>
                </w:tcPr>
                <w:p w14:paraId="2A1200C8">
                  <w:pPr>
                    <w:pStyle w:val="1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firstLine="0" w:firstLineChars="0"/>
                    <w:jc w:val="center"/>
                    <w:textAlignment w:val="auto"/>
                    <w:rPr>
                      <w:rFonts w:hint="default" w:ascii="Times New Roman" w:hAnsi="Times New Roman"/>
                      <w:b w:val="0"/>
                      <w:color w:val="auto"/>
                      <w:sz w:val="21"/>
                      <w:vertAlign w:val="baseline"/>
                      <w:lang w:val="en-US" w:eastAsia="zh-CN"/>
                    </w:rPr>
                  </w:pPr>
                  <w:r>
                    <w:rPr>
                      <w:rFonts w:hint="eastAsia" w:ascii="Times New Roman" w:hAnsi="Times New Roman"/>
                      <w:b w:val="0"/>
                      <w:color w:val="auto"/>
                      <w:sz w:val="21"/>
                      <w:vertAlign w:val="baseline"/>
                      <w:lang w:val="en-US" w:eastAsia="zh-CN"/>
                    </w:rPr>
                    <w:t>7.5</w:t>
                  </w:r>
                </w:p>
              </w:tc>
              <w:tc>
                <w:tcPr>
                  <w:tcW w:w="833" w:type="pct"/>
                  <w:tcBorders>
                    <w:tl2br w:val="nil"/>
                    <w:tr2bl w:val="nil"/>
                  </w:tcBorders>
                  <w:noWrap w:val="0"/>
                  <w:vAlign w:val="center"/>
                </w:tcPr>
                <w:p w14:paraId="7B6A1D69">
                  <w:pPr>
                    <w:pStyle w:val="1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b w:val="0"/>
                      <w:color w:val="auto"/>
                      <w:sz w:val="21"/>
                      <w:vertAlign w:val="baseline"/>
                      <w:lang w:val="en-US" w:eastAsia="zh-CN"/>
                    </w:rPr>
                  </w:pPr>
                  <w:r>
                    <w:rPr>
                      <w:rFonts w:hint="eastAsia" w:ascii="Times New Roman" w:hAnsi="Times New Roman"/>
                      <w:b w:val="0"/>
                      <w:color w:val="auto"/>
                      <w:sz w:val="21"/>
                      <w:vertAlign w:val="baseline"/>
                      <w:lang w:val="en-US" w:eastAsia="zh-CN"/>
                    </w:rPr>
                    <w:t>0.13</w:t>
                  </w:r>
                </w:p>
              </w:tc>
            </w:tr>
            <w:tr w14:paraId="5293528A">
              <w:trPr>
                <w:jc w:val="center"/>
              </w:trPr>
              <w:tc>
                <w:tcPr>
                  <w:tcW w:w="394" w:type="pct"/>
                  <w:tcBorders>
                    <w:tl2br w:val="nil"/>
                    <w:tr2bl w:val="nil"/>
                  </w:tcBorders>
                  <w:noWrap w:val="0"/>
                  <w:vAlign w:val="center"/>
                </w:tcPr>
                <w:p w14:paraId="7A3817D1">
                  <w:pPr>
                    <w:pStyle w:val="17"/>
                    <w:keepNext w:val="0"/>
                    <w:keepLines w:val="0"/>
                    <w:pageBreakBefore w:val="0"/>
                    <w:widowControl w:val="0"/>
                    <w:numPr>
                      <w:ilvl w:val="0"/>
                      <w:numId w:val="27"/>
                    </w:numPr>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firstLine="0" w:firstLineChars="0"/>
                    <w:jc w:val="center"/>
                    <w:textAlignment w:val="auto"/>
                    <w:rPr>
                      <w:rFonts w:hint="eastAsia" w:ascii="Times New Roman" w:hAnsi="Times New Roman" w:eastAsia="宋体"/>
                      <w:b w:val="0"/>
                      <w:color w:val="auto"/>
                      <w:sz w:val="21"/>
                      <w:vertAlign w:val="baseline"/>
                      <w:lang w:val="en-US" w:eastAsia="zh-CN"/>
                    </w:rPr>
                  </w:pPr>
                </w:p>
              </w:tc>
              <w:tc>
                <w:tcPr>
                  <w:tcW w:w="822" w:type="pct"/>
                  <w:tcBorders>
                    <w:tl2br w:val="nil"/>
                    <w:tr2bl w:val="nil"/>
                  </w:tcBorders>
                  <w:noWrap w:val="0"/>
                  <w:vAlign w:val="center"/>
                </w:tcPr>
                <w:p w14:paraId="6B126261">
                  <w:pPr>
                    <w:pStyle w:val="36"/>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b w:val="0"/>
                      <w:bCs w:val="0"/>
                      <w:color w:val="auto"/>
                      <w:sz w:val="21"/>
                      <w:vertAlign w:val="baseline"/>
                      <w:lang w:val="en-US" w:eastAsia="zh-CN"/>
                    </w:rPr>
                  </w:pPr>
                  <w:r>
                    <w:rPr>
                      <w:rFonts w:hint="eastAsia" w:ascii="Times New Roman" w:hAnsi="Times New Roman"/>
                      <w:b w:val="0"/>
                      <w:bCs w:val="0"/>
                      <w:color w:val="auto"/>
                      <w:sz w:val="21"/>
                    </w:rPr>
                    <w:t>脱普A</w:t>
                  </w:r>
                  <w:r>
                    <w:rPr>
                      <w:rFonts w:ascii="Times New Roman" w:hAnsi="Times New Roman"/>
                      <w:b w:val="0"/>
                      <w:bCs w:val="0"/>
                      <w:color w:val="auto"/>
                      <w:sz w:val="21"/>
                    </w:rPr>
                    <w:t>C</w:t>
                  </w:r>
                  <w:r>
                    <w:rPr>
                      <w:rFonts w:hint="eastAsia" w:ascii="Times New Roman" w:hAnsi="Times New Roman"/>
                      <w:b w:val="0"/>
                      <w:bCs w:val="0"/>
                      <w:color w:val="auto"/>
                      <w:sz w:val="21"/>
                    </w:rPr>
                    <w:t>酸性泡沫清洗剂</w:t>
                  </w:r>
                </w:p>
              </w:tc>
              <w:tc>
                <w:tcPr>
                  <w:tcW w:w="832" w:type="pct"/>
                  <w:tcBorders>
                    <w:tl2br w:val="nil"/>
                    <w:tr2bl w:val="nil"/>
                  </w:tcBorders>
                  <w:noWrap w:val="0"/>
                  <w:vAlign w:val="center"/>
                </w:tcPr>
                <w:p w14:paraId="6FE20DBE">
                  <w:pPr>
                    <w:pStyle w:val="36"/>
                    <w:keepNext w:val="0"/>
                    <w:keepLines w:val="0"/>
                    <w:suppressLineNumbers w:val="0"/>
                    <w:bidi w:val="0"/>
                    <w:spacing w:before="0" w:beforeAutospacing="0" w:after="0" w:afterAutospacing="0"/>
                    <w:ind w:left="0" w:leftChars="0" w:right="0" w:rightChars="0"/>
                    <w:rPr>
                      <w:rFonts w:hint="eastAsia" w:ascii="Times New Roman" w:hAnsi="Times New Roman" w:eastAsia="宋体"/>
                      <w:b w:val="0"/>
                      <w:bCs w:val="0"/>
                      <w:color w:val="auto"/>
                      <w:sz w:val="21"/>
                      <w:vertAlign w:val="baseline"/>
                      <w:lang w:val="en-US" w:eastAsia="zh-CN"/>
                    </w:rPr>
                  </w:pPr>
                  <w:r>
                    <w:rPr>
                      <w:rFonts w:hint="eastAsia" w:ascii="Times New Roman" w:hAnsi="Times New Roman"/>
                      <w:b w:val="0"/>
                      <w:bCs w:val="0"/>
                      <w:color w:val="auto"/>
                      <w:sz w:val="21"/>
                      <w:lang w:val="en-US" w:eastAsia="zh-CN"/>
                    </w:rPr>
                    <w:t>磷酸60%</w:t>
                  </w:r>
                </w:p>
              </w:tc>
              <w:tc>
                <w:tcPr>
                  <w:tcW w:w="736" w:type="pct"/>
                  <w:tcBorders>
                    <w:tl2br w:val="nil"/>
                    <w:tr2bl w:val="nil"/>
                  </w:tcBorders>
                  <w:noWrap w:val="0"/>
                  <w:vAlign w:val="center"/>
                </w:tcPr>
                <w:p w14:paraId="640BA88F">
                  <w:pPr>
                    <w:pStyle w:val="1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firstLine="0" w:firstLineChars="0"/>
                    <w:jc w:val="center"/>
                    <w:textAlignment w:val="auto"/>
                    <w:rPr>
                      <w:rFonts w:hint="eastAsia" w:ascii="Times New Roman" w:hAnsi="Times New Roman" w:eastAsia="宋体"/>
                      <w:b w:val="0"/>
                      <w:color w:val="auto"/>
                      <w:sz w:val="21"/>
                      <w:vertAlign w:val="baseline"/>
                      <w:lang w:val="en-US" w:eastAsia="zh-CN"/>
                    </w:rPr>
                  </w:pPr>
                  <w:r>
                    <w:rPr>
                      <w:rFonts w:hint="eastAsia" w:ascii="Times New Roman" w:hAnsi="Times New Roman" w:eastAsia="宋体"/>
                      <w:b w:val="0"/>
                      <w:color w:val="auto"/>
                      <w:sz w:val="21"/>
                      <w:vertAlign w:val="baseline"/>
                      <w:lang w:val="en-US" w:eastAsia="zh-CN"/>
                    </w:rPr>
                    <w:t>7664-38-2</w:t>
                  </w:r>
                </w:p>
              </w:tc>
              <w:tc>
                <w:tcPr>
                  <w:tcW w:w="755" w:type="pct"/>
                  <w:tcBorders>
                    <w:tl2br w:val="nil"/>
                    <w:tr2bl w:val="nil"/>
                  </w:tcBorders>
                  <w:noWrap w:val="0"/>
                  <w:vAlign w:val="center"/>
                </w:tcPr>
                <w:p w14:paraId="28C12BE6">
                  <w:pPr>
                    <w:pStyle w:val="1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b w:val="0"/>
                      <w:color w:val="auto"/>
                      <w:sz w:val="21"/>
                      <w:vertAlign w:val="baseline"/>
                      <w:lang w:val="en-US" w:eastAsia="zh-CN"/>
                    </w:rPr>
                  </w:pPr>
                  <w:r>
                    <w:rPr>
                      <w:rFonts w:hint="eastAsia" w:ascii="Times New Roman" w:hAnsi="Times New Roman"/>
                      <w:b w:val="0"/>
                      <w:color w:val="auto"/>
                      <w:sz w:val="21"/>
                      <w:vertAlign w:val="baseline"/>
                      <w:lang w:val="en-US" w:eastAsia="zh-CN"/>
                    </w:rPr>
                    <w:t>1</w:t>
                  </w:r>
                </w:p>
              </w:tc>
              <w:tc>
                <w:tcPr>
                  <w:tcW w:w="624" w:type="pct"/>
                  <w:tcBorders>
                    <w:tl2br w:val="nil"/>
                    <w:tr2bl w:val="nil"/>
                  </w:tcBorders>
                  <w:noWrap w:val="0"/>
                  <w:vAlign w:val="center"/>
                </w:tcPr>
                <w:p w14:paraId="602C3927">
                  <w:pPr>
                    <w:pStyle w:val="1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firstLine="0" w:firstLineChars="0"/>
                    <w:jc w:val="center"/>
                    <w:textAlignment w:val="auto"/>
                    <w:rPr>
                      <w:rFonts w:hint="default" w:ascii="Times New Roman" w:hAnsi="Times New Roman"/>
                      <w:b w:val="0"/>
                      <w:color w:val="auto"/>
                      <w:sz w:val="21"/>
                      <w:vertAlign w:val="baseline"/>
                      <w:lang w:val="en-US" w:eastAsia="zh-CN"/>
                    </w:rPr>
                  </w:pPr>
                  <w:r>
                    <w:rPr>
                      <w:rFonts w:hint="eastAsia" w:ascii="Times New Roman" w:hAnsi="Times New Roman"/>
                      <w:b w:val="0"/>
                      <w:color w:val="auto"/>
                      <w:sz w:val="21"/>
                      <w:vertAlign w:val="baseline"/>
                      <w:lang w:val="en-US" w:eastAsia="zh-CN"/>
                    </w:rPr>
                    <w:t>10</w:t>
                  </w:r>
                </w:p>
              </w:tc>
              <w:tc>
                <w:tcPr>
                  <w:tcW w:w="833" w:type="pct"/>
                  <w:tcBorders>
                    <w:tl2br w:val="nil"/>
                    <w:tr2bl w:val="nil"/>
                  </w:tcBorders>
                  <w:noWrap w:val="0"/>
                  <w:vAlign w:val="center"/>
                </w:tcPr>
                <w:p w14:paraId="6120E961">
                  <w:pPr>
                    <w:pStyle w:val="1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b w:val="0"/>
                      <w:color w:val="auto"/>
                      <w:sz w:val="21"/>
                      <w:vertAlign w:val="baseline"/>
                      <w:lang w:val="en-US" w:eastAsia="zh-CN"/>
                    </w:rPr>
                  </w:pPr>
                  <w:r>
                    <w:rPr>
                      <w:rFonts w:hint="eastAsia" w:ascii="Times New Roman" w:hAnsi="Times New Roman"/>
                      <w:b w:val="0"/>
                      <w:color w:val="auto"/>
                      <w:sz w:val="21"/>
                      <w:vertAlign w:val="baseline"/>
                      <w:lang w:val="en-US" w:eastAsia="zh-CN"/>
                    </w:rPr>
                    <w:t>0.1</w:t>
                  </w:r>
                </w:p>
              </w:tc>
            </w:tr>
            <w:tr w14:paraId="1C9C34F3">
              <w:trPr>
                <w:jc w:val="center"/>
              </w:trPr>
              <w:tc>
                <w:tcPr>
                  <w:tcW w:w="394" w:type="pct"/>
                  <w:tcBorders>
                    <w:tl2br w:val="nil"/>
                    <w:tr2bl w:val="nil"/>
                  </w:tcBorders>
                  <w:noWrap w:val="0"/>
                  <w:vAlign w:val="center"/>
                </w:tcPr>
                <w:p w14:paraId="7A457C11">
                  <w:pPr>
                    <w:pStyle w:val="17"/>
                    <w:keepNext w:val="0"/>
                    <w:keepLines w:val="0"/>
                    <w:pageBreakBefore w:val="0"/>
                    <w:widowControl w:val="0"/>
                    <w:numPr>
                      <w:ilvl w:val="0"/>
                      <w:numId w:val="27"/>
                    </w:numPr>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firstLine="0" w:firstLineChars="0"/>
                    <w:jc w:val="center"/>
                    <w:textAlignment w:val="auto"/>
                    <w:rPr>
                      <w:rFonts w:hint="eastAsia" w:ascii="Times New Roman" w:hAnsi="Times New Roman" w:eastAsia="宋体"/>
                      <w:b w:val="0"/>
                      <w:color w:val="auto"/>
                      <w:sz w:val="21"/>
                      <w:vertAlign w:val="baseline"/>
                      <w:lang w:val="en-US" w:eastAsia="zh-CN"/>
                    </w:rPr>
                  </w:pPr>
                </w:p>
              </w:tc>
              <w:tc>
                <w:tcPr>
                  <w:tcW w:w="1655" w:type="pct"/>
                  <w:gridSpan w:val="2"/>
                  <w:tcBorders>
                    <w:tl2br w:val="nil"/>
                    <w:tr2bl w:val="nil"/>
                  </w:tcBorders>
                  <w:noWrap w:val="0"/>
                  <w:vAlign w:val="center"/>
                </w:tcPr>
                <w:p w14:paraId="7499A6B8">
                  <w:pPr>
                    <w:pStyle w:val="1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firstLine="0" w:firstLineChars="0"/>
                    <w:jc w:val="center"/>
                    <w:textAlignment w:val="auto"/>
                    <w:rPr>
                      <w:rFonts w:hint="eastAsia" w:ascii="Times New Roman" w:hAnsi="Times New Roman" w:eastAsia="宋体"/>
                      <w:b w:val="0"/>
                      <w:bCs w:val="0"/>
                      <w:color w:val="auto"/>
                      <w:sz w:val="21"/>
                      <w:vertAlign w:val="baseline"/>
                      <w:lang w:val="en-US" w:eastAsia="zh-CN"/>
                    </w:rPr>
                  </w:pPr>
                  <w:r>
                    <w:rPr>
                      <w:rFonts w:hint="eastAsia" w:ascii="Times New Roman" w:hAnsi="Times New Roman"/>
                      <w:b w:val="0"/>
                      <w:bCs w:val="0"/>
                      <w:color w:val="auto"/>
                      <w:sz w:val="21"/>
                      <w:szCs w:val="21"/>
                    </w:rPr>
                    <w:t>AC-110碱性清洗剂</w:t>
                  </w:r>
                </w:p>
              </w:tc>
              <w:tc>
                <w:tcPr>
                  <w:tcW w:w="736" w:type="pct"/>
                  <w:tcBorders>
                    <w:tl2br w:val="nil"/>
                    <w:tr2bl w:val="nil"/>
                  </w:tcBorders>
                  <w:noWrap w:val="0"/>
                  <w:vAlign w:val="center"/>
                </w:tcPr>
                <w:p w14:paraId="4A36BADF">
                  <w:pPr>
                    <w:pStyle w:val="1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b w:val="0"/>
                      <w:color w:val="auto"/>
                      <w:sz w:val="21"/>
                      <w:vertAlign w:val="baseline"/>
                      <w:lang w:val="en-US" w:eastAsia="zh-CN"/>
                    </w:rPr>
                  </w:pPr>
                  <w:r>
                    <w:rPr>
                      <w:rFonts w:hint="eastAsia" w:ascii="Times New Roman" w:hAnsi="Times New Roman"/>
                      <w:b w:val="0"/>
                      <w:color w:val="auto"/>
                      <w:sz w:val="21"/>
                      <w:vertAlign w:val="baseline"/>
                      <w:lang w:val="en-US" w:eastAsia="zh-CN"/>
                    </w:rPr>
                    <w:t>/</w:t>
                  </w:r>
                </w:p>
              </w:tc>
              <w:tc>
                <w:tcPr>
                  <w:tcW w:w="755" w:type="pct"/>
                  <w:tcBorders>
                    <w:tl2br w:val="nil"/>
                    <w:tr2bl w:val="nil"/>
                  </w:tcBorders>
                  <w:noWrap w:val="0"/>
                  <w:vAlign w:val="center"/>
                </w:tcPr>
                <w:p w14:paraId="4EB4CF03">
                  <w:pPr>
                    <w:pStyle w:val="1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b w:val="0"/>
                      <w:color w:val="auto"/>
                      <w:sz w:val="21"/>
                      <w:vertAlign w:val="baseline"/>
                      <w:lang w:val="en-US" w:eastAsia="zh-CN"/>
                    </w:rPr>
                  </w:pPr>
                  <w:r>
                    <w:rPr>
                      <w:rFonts w:hint="eastAsia" w:ascii="Times New Roman" w:hAnsi="Times New Roman"/>
                      <w:b w:val="0"/>
                      <w:color w:val="auto"/>
                      <w:sz w:val="21"/>
                      <w:vertAlign w:val="baseline"/>
                      <w:lang w:val="en-US" w:eastAsia="zh-CN"/>
                    </w:rPr>
                    <w:t>1</w:t>
                  </w:r>
                </w:p>
              </w:tc>
              <w:tc>
                <w:tcPr>
                  <w:tcW w:w="624" w:type="pct"/>
                  <w:tcBorders>
                    <w:tl2br w:val="nil"/>
                    <w:tr2bl w:val="nil"/>
                  </w:tcBorders>
                  <w:noWrap w:val="0"/>
                  <w:vAlign w:val="center"/>
                </w:tcPr>
                <w:p w14:paraId="6745C666">
                  <w:pPr>
                    <w:pStyle w:val="1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firstLine="0" w:firstLineChars="0"/>
                    <w:jc w:val="center"/>
                    <w:textAlignment w:val="auto"/>
                    <w:rPr>
                      <w:rFonts w:hint="default" w:ascii="Times New Roman" w:hAnsi="Times New Roman"/>
                      <w:b w:val="0"/>
                      <w:color w:val="auto"/>
                      <w:sz w:val="21"/>
                      <w:vertAlign w:val="baseline"/>
                      <w:lang w:val="en-US" w:eastAsia="zh-CN"/>
                    </w:rPr>
                  </w:pPr>
                  <w:r>
                    <w:rPr>
                      <w:rFonts w:hint="eastAsia" w:ascii="Times New Roman" w:hAnsi="Times New Roman"/>
                      <w:b w:val="0"/>
                      <w:color w:val="auto"/>
                      <w:sz w:val="21"/>
                      <w:vertAlign w:val="baseline"/>
                      <w:lang w:val="en-US" w:eastAsia="zh-CN"/>
                    </w:rPr>
                    <w:t>100</w:t>
                  </w:r>
                </w:p>
              </w:tc>
              <w:tc>
                <w:tcPr>
                  <w:tcW w:w="833" w:type="pct"/>
                  <w:tcBorders>
                    <w:tl2br w:val="nil"/>
                    <w:tr2bl w:val="nil"/>
                  </w:tcBorders>
                  <w:noWrap w:val="0"/>
                  <w:vAlign w:val="center"/>
                </w:tcPr>
                <w:p w14:paraId="4768B5B6">
                  <w:pPr>
                    <w:pStyle w:val="1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b w:val="0"/>
                      <w:color w:val="auto"/>
                      <w:sz w:val="21"/>
                      <w:vertAlign w:val="baseline"/>
                      <w:lang w:val="en-US" w:eastAsia="zh-CN"/>
                    </w:rPr>
                  </w:pPr>
                  <w:r>
                    <w:rPr>
                      <w:rFonts w:hint="eastAsia" w:ascii="Times New Roman" w:hAnsi="Times New Roman"/>
                      <w:b w:val="0"/>
                      <w:color w:val="auto"/>
                      <w:sz w:val="21"/>
                      <w:vertAlign w:val="baseline"/>
                      <w:lang w:val="en-US" w:eastAsia="zh-CN"/>
                    </w:rPr>
                    <w:t>0.01</w:t>
                  </w:r>
                </w:p>
              </w:tc>
            </w:tr>
            <w:tr w14:paraId="3E86BB13">
              <w:trPr>
                <w:jc w:val="center"/>
              </w:trPr>
              <w:tc>
                <w:tcPr>
                  <w:tcW w:w="394" w:type="pct"/>
                  <w:tcBorders>
                    <w:tl2br w:val="nil"/>
                    <w:tr2bl w:val="nil"/>
                  </w:tcBorders>
                  <w:noWrap w:val="0"/>
                  <w:vAlign w:val="center"/>
                </w:tcPr>
                <w:p w14:paraId="56DA1F1B">
                  <w:pPr>
                    <w:pStyle w:val="17"/>
                    <w:keepNext w:val="0"/>
                    <w:keepLines w:val="0"/>
                    <w:pageBreakBefore w:val="0"/>
                    <w:widowControl w:val="0"/>
                    <w:numPr>
                      <w:ilvl w:val="0"/>
                      <w:numId w:val="27"/>
                    </w:numPr>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firstLine="0" w:firstLineChars="0"/>
                    <w:jc w:val="center"/>
                    <w:textAlignment w:val="auto"/>
                    <w:rPr>
                      <w:rFonts w:hint="eastAsia" w:ascii="Times New Roman" w:hAnsi="Times New Roman" w:eastAsia="宋体"/>
                      <w:b w:val="0"/>
                      <w:color w:val="auto"/>
                      <w:sz w:val="21"/>
                      <w:vertAlign w:val="baseline"/>
                      <w:lang w:val="en-US" w:eastAsia="zh-CN"/>
                    </w:rPr>
                  </w:pPr>
                </w:p>
              </w:tc>
              <w:tc>
                <w:tcPr>
                  <w:tcW w:w="1655" w:type="pct"/>
                  <w:gridSpan w:val="2"/>
                  <w:tcBorders>
                    <w:tl2br w:val="nil"/>
                    <w:tr2bl w:val="nil"/>
                  </w:tcBorders>
                  <w:noWrap w:val="0"/>
                  <w:vAlign w:val="center"/>
                </w:tcPr>
                <w:p w14:paraId="33BF18FD">
                  <w:pPr>
                    <w:pStyle w:val="1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firstLine="0" w:firstLineChars="0"/>
                    <w:jc w:val="center"/>
                    <w:textAlignment w:val="auto"/>
                    <w:rPr>
                      <w:rFonts w:hint="eastAsia" w:ascii="Times New Roman" w:hAnsi="Times New Roman" w:eastAsia="宋体"/>
                      <w:b w:val="0"/>
                      <w:bCs w:val="0"/>
                      <w:color w:val="auto"/>
                      <w:sz w:val="21"/>
                      <w:vertAlign w:val="baseline"/>
                      <w:lang w:val="en-US" w:eastAsia="zh-CN"/>
                    </w:rPr>
                  </w:pPr>
                  <w:r>
                    <w:rPr>
                      <w:rFonts w:hint="eastAsia" w:ascii="Times New Roman" w:hAnsi="Times New Roman"/>
                      <w:b w:val="0"/>
                      <w:bCs w:val="0"/>
                      <w:color w:val="auto"/>
                      <w:sz w:val="21"/>
                    </w:rPr>
                    <w:t>脱普621碱性泡沫清洗剂</w:t>
                  </w:r>
                </w:p>
              </w:tc>
              <w:tc>
                <w:tcPr>
                  <w:tcW w:w="736" w:type="pct"/>
                  <w:tcBorders>
                    <w:tl2br w:val="nil"/>
                    <w:tr2bl w:val="nil"/>
                  </w:tcBorders>
                  <w:noWrap w:val="0"/>
                  <w:vAlign w:val="center"/>
                </w:tcPr>
                <w:p w14:paraId="4B10215B">
                  <w:pPr>
                    <w:pStyle w:val="1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b w:val="0"/>
                      <w:color w:val="auto"/>
                      <w:sz w:val="21"/>
                      <w:vertAlign w:val="baseline"/>
                      <w:lang w:val="en-US" w:eastAsia="zh-CN"/>
                    </w:rPr>
                  </w:pPr>
                  <w:r>
                    <w:rPr>
                      <w:rFonts w:hint="eastAsia" w:ascii="Times New Roman" w:hAnsi="Times New Roman"/>
                      <w:b w:val="0"/>
                      <w:color w:val="auto"/>
                      <w:sz w:val="21"/>
                      <w:vertAlign w:val="baseline"/>
                      <w:lang w:val="en-US" w:eastAsia="zh-CN"/>
                    </w:rPr>
                    <w:t>/</w:t>
                  </w:r>
                </w:p>
              </w:tc>
              <w:tc>
                <w:tcPr>
                  <w:tcW w:w="755" w:type="pct"/>
                  <w:tcBorders>
                    <w:tl2br w:val="nil"/>
                    <w:tr2bl w:val="nil"/>
                  </w:tcBorders>
                  <w:noWrap w:val="0"/>
                  <w:vAlign w:val="center"/>
                </w:tcPr>
                <w:p w14:paraId="3CAB3D37">
                  <w:pPr>
                    <w:pStyle w:val="1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b w:val="0"/>
                      <w:color w:val="auto"/>
                      <w:sz w:val="21"/>
                      <w:vertAlign w:val="baseline"/>
                      <w:lang w:val="en-US" w:eastAsia="zh-CN"/>
                    </w:rPr>
                  </w:pPr>
                  <w:r>
                    <w:rPr>
                      <w:rFonts w:hint="eastAsia" w:ascii="Times New Roman" w:hAnsi="Times New Roman"/>
                      <w:b w:val="0"/>
                      <w:color w:val="auto"/>
                      <w:sz w:val="21"/>
                      <w:vertAlign w:val="baseline"/>
                      <w:lang w:val="en-US" w:eastAsia="zh-CN"/>
                    </w:rPr>
                    <w:t>1</w:t>
                  </w:r>
                </w:p>
              </w:tc>
              <w:tc>
                <w:tcPr>
                  <w:tcW w:w="624" w:type="pct"/>
                  <w:tcBorders>
                    <w:tl2br w:val="nil"/>
                    <w:tr2bl w:val="nil"/>
                  </w:tcBorders>
                  <w:noWrap w:val="0"/>
                  <w:vAlign w:val="center"/>
                </w:tcPr>
                <w:p w14:paraId="68F31ED0">
                  <w:pPr>
                    <w:pStyle w:val="1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firstLine="0" w:firstLineChars="0"/>
                    <w:jc w:val="center"/>
                    <w:textAlignment w:val="auto"/>
                    <w:rPr>
                      <w:rFonts w:hint="default" w:ascii="Times New Roman" w:hAnsi="Times New Roman"/>
                      <w:b w:val="0"/>
                      <w:color w:val="auto"/>
                      <w:sz w:val="21"/>
                      <w:vertAlign w:val="baseline"/>
                      <w:lang w:val="en-US" w:eastAsia="zh-CN"/>
                    </w:rPr>
                  </w:pPr>
                  <w:r>
                    <w:rPr>
                      <w:rFonts w:hint="eastAsia" w:ascii="Times New Roman" w:hAnsi="Times New Roman"/>
                      <w:b w:val="0"/>
                      <w:color w:val="auto"/>
                      <w:sz w:val="21"/>
                      <w:vertAlign w:val="baseline"/>
                      <w:lang w:val="en-US" w:eastAsia="zh-CN"/>
                    </w:rPr>
                    <w:t>100</w:t>
                  </w:r>
                </w:p>
              </w:tc>
              <w:tc>
                <w:tcPr>
                  <w:tcW w:w="833" w:type="pct"/>
                  <w:tcBorders>
                    <w:tl2br w:val="nil"/>
                    <w:tr2bl w:val="nil"/>
                  </w:tcBorders>
                  <w:noWrap w:val="0"/>
                  <w:vAlign w:val="center"/>
                </w:tcPr>
                <w:p w14:paraId="672C8AD8">
                  <w:pPr>
                    <w:pStyle w:val="1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b w:val="0"/>
                      <w:color w:val="auto"/>
                      <w:sz w:val="21"/>
                      <w:vertAlign w:val="baseline"/>
                      <w:lang w:val="en-US" w:eastAsia="zh-CN"/>
                    </w:rPr>
                  </w:pPr>
                  <w:r>
                    <w:rPr>
                      <w:rFonts w:hint="eastAsia" w:ascii="Times New Roman" w:hAnsi="Times New Roman"/>
                      <w:b w:val="0"/>
                      <w:color w:val="auto"/>
                      <w:sz w:val="21"/>
                      <w:vertAlign w:val="baseline"/>
                      <w:lang w:val="en-US" w:eastAsia="zh-CN"/>
                    </w:rPr>
                    <w:t>0.01</w:t>
                  </w:r>
                </w:p>
              </w:tc>
            </w:tr>
            <w:tr w14:paraId="2550F726">
              <w:trPr>
                <w:jc w:val="center"/>
              </w:trPr>
              <w:tc>
                <w:tcPr>
                  <w:tcW w:w="4166" w:type="pct"/>
                  <w:gridSpan w:val="6"/>
                  <w:tcBorders>
                    <w:tl2br w:val="nil"/>
                    <w:tr2bl w:val="nil"/>
                  </w:tcBorders>
                  <w:noWrap w:val="0"/>
                  <w:vAlign w:val="center"/>
                </w:tcPr>
                <w:p w14:paraId="66074652">
                  <w:pPr>
                    <w:pStyle w:val="1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right="0" w:firstLine="0" w:firstLineChars="0"/>
                    <w:jc w:val="center"/>
                    <w:textAlignment w:val="auto"/>
                    <w:rPr>
                      <w:rFonts w:hint="default" w:ascii="Times New Roman" w:hAnsi="Times New Roman" w:eastAsia="宋体"/>
                      <w:b w:val="0"/>
                      <w:color w:val="auto"/>
                      <w:sz w:val="21"/>
                      <w:vertAlign w:val="baseline"/>
                      <w:lang w:val="en-US" w:eastAsia="zh-CN"/>
                    </w:rPr>
                  </w:pPr>
                  <w:r>
                    <w:rPr>
                      <w:rFonts w:hint="eastAsia" w:ascii="Times New Roman" w:hAnsi="Times New Roman"/>
                      <w:b w:val="0"/>
                      <w:color w:val="auto"/>
                      <w:sz w:val="21"/>
                      <w:vertAlign w:val="baseline"/>
                      <w:lang w:val="en-US" w:eastAsia="zh-CN"/>
                    </w:rPr>
                    <w:t>项目Q值∑</w:t>
                  </w:r>
                </w:p>
              </w:tc>
              <w:tc>
                <w:tcPr>
                  <w:tcW w:w="833" w:type="pct"/>
                  <w:tcBorders>
                    <w:tl2br w:val="nil"/>
                    <w:tr2bl w:val="nil"/>
                  </w:tcBorders>
                  <w:noWrap w:val="0"/>
                  <w:vAlign w:val="center"/>
                </w:tcPr>
                <w:p w14:paraId="22C96E6B">
                  <w:pPr>
                    <w:pStyle w:val="1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right="0" w:firstLine="0" w:firstLineChars="0"/>
                    <w:jc w:val="center"/>
                    <w:textAlignment w:val="auto"/>
                    <w:rPr>
                      <w:rFonts w:hint="default" w:ascii="Times New Roman" w:hAnsi="Times New Roman" w:eastAsia="宋体"/>
                      <w:b w:val="0"/>
                      <w:color w:val="auto"/>
                      <w:sz w:val="21"/>
                      <w:vertAlign w:val="baseline"/>
                      <w:lang w:val="en-US" w:eastAsia="zh-CN"/>
                    </w:rPr>
                  </w:pPr>
                  <w:r>
                    <w:rPr>
                      <w:rFonts w:hint="eastAsia" w:ascii="Times New Roman" w:hAnsi="Times New Roman"/>
                      <w:b w:val="0"/>
                      <w:color w:val="auto"/>
                      <w:sz w:val="21"/>
                      <w:vertAlign w:val="baseline"/>
                      <w:lang w:val="en-US" w:eastAsia="zh-CN"/>
                    </w:rPr>
                    <w:t>0.7082</w:t>
                  </w:r>
                </w:p>
              </w:tc>
            </w:tr>
          </w:tbl>
          <w:p w14:paraId="0238A08B">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color w:val="auto"/>
                <w:sz w:val="24"/>
              </w:rPr>
            </w:pPr>
            <w:r>
              <w:rPr>
                <w:rFonts w:hint="eastAsia"/>
                <w:color w:val="auto"/>
                <w:sz w:val="24"/>
              </w:rPr>
              <w:t>项目Q=</w:t>
            </w:r>
            <w:r>
              <w:rPr>
                <w:rFonts w:hint="eastAsia" w:ascii="Times New Roman" w:hAnsi="Times New Roman"/>
                <w:b w:val="0"/>
                <w:color w:val="auto"/>
                <w:sz w:val="24"/>
                <w:szCs w:val="24"/>
                <w:vertAlign w:val="baseline"/>
                <w:lang w:val="en-US" w:eastAsia="zh-CN"/>
              </w:rPr>
              <w:t>0.</w:t>
            </w:r>
            <w:r>
              <w:rPr>
                <w:rFonts w:hint="eastAsia"/>
                <w:b w:val="0"/>
                <w:color w:val="auto"/>
                <w:sz w:val="24"/>
                <w:szCs w:val="24"/>
                <w:vertAlign w:val="baseline"/>
                <w:lang w:val="en-US" w:eastAsia="zh-CN"/>
              </w:rPr>
              <w:t>7082</w:t>
            </w:r>
            <w:r>
              <w:rPr>
                <w:rFonts w:hint="eastAsia"/>
                <w:color w:val="auto"/>
                <w:sz w:val="24"/>
              </w:rPr>
              <w:t>＜1，根据《建设项目环境风险评价技术导则》（HJ169-2018）附录C.1.1，本项目风险潜势为I。</w:t>
            </w:r>
          </w:p>
          <w:p w14:paraId="1A90FAFC">
            <w:pPr>
              <w:pStyle w:val="17"/>
              <w:keepNext w:val="0"/>
              <w:keepLines w:val="0"/>
              <w:pageBreakBefore w:val="0"/>
              <w:widowControl w:val="0"/>
              <w:numPr>
                <w:ilvl w:val="0"/>
                <w:numId w:val="28"/>
              </w:numPr>
              <w:kinsoku/>
              <w:wordWrap/>
              <w:overflowPunct/>
              <w:topLinePunct w:val="0"/>
              <w:bidi w:val="0"/>
              <w:adjustRightInd w:val="0"/>
              <w:spacing w:line="360" w:lineRule="auto"/>
              <w:ind w:firstLine="480" w:firstLineChars="200"/>
              <w:jc w:val="both"/>
              <w:textAlignment w:val="auto"/>
              <w:rPr>
                <w:rFonts w:hint="eastAsia" w:ascii="Times New Roman" w:hAnsi="Times New Roman"/>
                <w:b w:val="0"/>
                <w:bCs/>
                <w:color w:val="auto"/>
              </w:rPr>
            </w:pPr>
            <w:r>
              <w:rPr>
                <w:rFonts w:hint="eastAsia" w:ascii="Times New Roman" w:hAnsi="Times New Roman"/>
                <w:b w:val="0"/>
                <w:bCs/>
                <w:color w:val="auto"/>
              </w:rPr>
              <w:t>评价等级</w:t>
            </w:r>
          </w:p>
          <w:p w14:paraId="2ADD7A85">
            <w:pPr>
              <w:pStyle w:val="17"/>
              <w:keepNext w:val="0"/>
              <w:keepLines w:val="0"/>
              <w:pageBreakBefore w:val="0"/>
              <w:widowControl w:val="0"/>
              <w:kinsoku/>
              <w:wordWrap/>
              <w:overflowPunct/>
              <w:topLinePunct w:val="0"/>
              <w:bidi w:val="0"/>
              <w:adjustRightInd w:val="0"/>
              <w:spacing w:line="360" w:lineRule="auto"/>
              <w:ind w:firstLine="480" w:firstLineChars="200"/>
              <w:jc w:val="both"/>
              <w:textAlignment w:val="auto"/>
              <w:rPr>
                <w:b w:val="0"/>
                <w:bCs w:val="0"/>
                <w:color w:val="auto"/>
              </w:rPr>
            </w:pPr>
            <w:r>
              <w:rPr>
                <w:rFonts w:hint="eastAsia" w:ascii="Times New Roman" w:hAnsi="Times New Roman"/>
                <w:b w:val="0"/>
                <w:bCs w:val="0"/>
                <w:color w:val="auto"/>
              </w:rPr>
              <w:t>本项目风险潜势为I，</w:t>
            </w:r>
            <w:r>
              <w:rPr>
                <w:rFonts w:hint="eastAsia" w:ascii="Times New Roman" w:hAnsi="Times New Roman"/>
                <w:b w:val="0"/>
                <w:bCs w:val="0"/>
                <w:color w:val="auto"/>
                <w:lang w:eastAsia="zh-CN"/>
              </w:rPr>
              <w:t>无须设置</w:t>
            </w:r>
            <w:r>
              <w:rPr>
                <w:rFonts w:hint="eastAsia" w:ascii="Times New Roman" w:hAnsi="Times New Roman"/>
                <w:b w:val="0"/>
                <w:bCs w:val="0"/>
                <w:color w:val="auto"/>
              </w:rPr>
              <w:t>评价等级及评价范围，仅作简单分析。</w:t>
            </w:r>
          </w:p>
          <w:p w14:paraId="51D2BF45">
            <w:pPr>
              <w:keepNext w:val="0"/>
              <w:keepLines w:val="0"/>
              <w:pageBreakBefore w:val="0"/>
              <w:kinsoku/>
              <w:wordWrap/>
              <w:overflowPunct/>
              <w:topLinePunct w:val="0"/>
              <w:bidi w:val="0"/>
              <w:adjustRightInd w:val="0"/>
              <w:snapToGrid w:val="0"/>
              <w:spacing w:line="360" w:lineRule="auto"/>
              <w:ind w:firstLine="480" w:firstLineChars="200"/>
              <w:rPr>
                <w:color w:val="auto"/>
                <w:sz w:val="24"/>
              </w:rPr>
            </w:pPr>
            <w:r>
              <w:rPr>
                <w:rFonts w:hint="eastAsia"/>
                <w:color w:val="auto"/>
                <w:sz w:val="24"/>
                <w:lang w:eastAsia="zh-CN"/>
              </w:rPr>
              <w:t>3.</w:t>
            </w:r>
            <w:r>
              <w:rPr>
                <w:rFonts w:hint="eastAsia"/>
                <w:color w:val="auto"/>
                <w:sz w:val="24"/>
              </w:rPr>
              <w:t>风险单元识别</w:t>
            </w:r>
          </w:p>
          <w:p w14:paraId="23B0419E">
            <w:pPr>
              <w:keepNext w:val="0"/>
              <w:keepLines w:val="0"/>
              <w:pageBreakBefore w:val="0"/>
              <w:kinsoku/>
              <w:wordWrap/>
              <w:overflowPunct/>
              <w:topLinePunct w:val="0"/>
              <w:bidi w:val="0"/>
              <w:adjustRightInd w:val="0"/>
              <w:snapToGrid w:val="0"/>
              <w:spacing w:line="360" w:lineRule="auto"/>
              <w:ind w:firstLine="480" w:firstLineChars="200"/>
              <w:rPr>
                <w:color w:val="auto"/>
                <w:sz w:val="24"/>
              </w:rPr>
            </w:pPr>
            <w:r>
              <w:rPr>
                <w:color w:val="auto"/>
                <w:sz w:val="24"/>
              </w:rPr>
              <w:t>生产系统危险性识别包括主要生产装置、储运系统、公用工程系统、工程环保设施及辅助生产设施等。根据</w:t>
            </w:r>
            <w:r>
              <w:rPr>
                <w:rFonts w:hint="eastAsia"/>
                <w:color w:val="auto"/>
                <w:sz w:val="24"/>
              </w:rPr>
              <w:t>本</w:t>
            </w:r>
            <w:r>
              <w:rPr>
                <w:color w:val="auto"/>
                <w:sz w:val="24"/>
              </w:rPr>
              <w:t>项目特点，本次评价生产系统危险性识别结果为风险物质的储存设施，</w:t>
            </w:r>
            <w:r>
              <w:rPr>
                <w:rFonts w:hint="eastAsia"/>
                <w:color w:val="auto"/>
                <w:sz w:val="24"/>
              </w:rPr>
              <w:t>主要为危废暂存库和</w:t>
            </w:r>
            <w:r>
              <w:rPr>
                <w:rFonts w:hint="eastAsia"/>
                <w:color w:val="auto"/>
                <w:sz w:val="24"/>
                <w:lang w:eastAsia="zh-CN"/>
              </w:rPr>
              <w:t>原料库</w:t>
            </w:r>
            <w:r>
              <w:rPr>
                <w:color w:val="auto"/>
                <w:sz w:val="24"/>
              </w:rPr>
              <w:t>。</w:t>
            </w:r>
          </w:p>
          <w:p w14:paraId="11063ADF">
            <w:pPr>
              <w:keepNext w:val="0"/>
              <w:keepLines w:val="0"/>
              <w:pageBreakBefore w:val="0"/>
              <w:kinsoku/>
              <w:wordWrap/>
              <w:overflowPunct/>
              <w:topLinePunct w:val="0"/>
              <w:bidi w:val="0"/>
              <w:adjustRightInd w:val="0"/>
              <w:snapToGrid w:val="0"/>
              <w:spacing w:line="360" w:lineRule="auto"/>
              <w:ind w:firstLine="480" w:firstLineChars="200"/>
              <w:rPr>
                <w:color w:val="auto"/>
                <w:sz w:val="24"/>
              </w:rPr>
            </w:pPr>
            <w:r>
              <w:rPr>
                <w:rFonts w:hint="eastAsia"/>
                <w:color w:val="auto"/>
                <w:sz w:val="24"/>
                <w:lang w:eastAsia="zh-CN"/>
              </w:rPr>
              <w:t>4.</w:t>
            </w:r>
            <w:r>
              <w:rPr>
                <w:rFonts w:hint="eastAsia"/>
                <w:color w:val="auto"/>
                <w:sz w:val="24"/>
              </w:rPr>
              <w:t>环境</w:t>
            </w:r>
            <w:r>
              <w:rPr>
                <w:color w:val="auto"/>
                <w:sz w:val="24"/>
              </w:rPr>
              <w:t>风险</w:t>
            </w:r>
            <w:r>
              <w:rPr>
                <w:rFonts w:hint="eastAsia"/>
                <w:color w:val="auto"/>
                <w:sz w:val="24"/>
              </w:rPr>
              <w:t>类型</w:t>
            </w:r>
          </w:p>
          <w:p w14:paraId="2D082088">
            <w:pPr>
              <w:keepNext w:val="0"/>
              <w:keepLines w:val="0"/>
              <w:pageBreakBefore w:val="0"/>
              <w:kinsoku/>
              <w:wordWrap/>
              <w:overflowPunct/>
              <w:topLinePunct w:val="0"/>
              <w:bidi w:val="0"/>
              <w:spacing w:line="360" w:lineRule="auto"/>
              <w:ind w:firstLine="480" w:firstLineChars="200"/>
              <w:rPr>
                <w:color w:val="auto"/>
                <w:sz w:val="24"/>
              </w:rPr>
            </w:pPr>
            <w:r>
              <w:rPr>
                <w:color w:val="auto"/>
                <w:sz w:val="24"/>
              </w:rPr>
              <w:t>本项目环境风险类型主要为：</w:t>
            </w:r>
          </w:p>
          <w:p w14:paraId="42B5CFF5">
            <w:pPr>
              <w:keepNext w:val="0"/>
              <w:keepLines w:val="0"/>
              <w:pageBreakBefore w:val="0"/>
              <w:kinsoku/>
              <w:wordWrap/>
              <w:overflowPunct/>
              <w:topLinePunct w:val="0"/>
              <w:bidi w:val="0"/>
              <w:spacing w:line="360" w:lineRule="auto"/>
              <w:ind w:firstLine="480" w:firstLineChars="200"/>
              <w:rPr>
                <w:color w:val="auto"/>
                <w:sz w:val="24"/>
              </w:rPr>
            </w:pPr>
            <w:r>
              <w:rPr>
                <w:rFonts w:hint="eastAsia"/>
                <w:color w:val="auto"/>
                <w:sz w:val="24"/>
              </w:rPr>
              <w:t>①</w:t>
            </w:r>
            <w:r>
              <w:rPr>
                <w:color w:val="auto"/>
                <w:sz w:val="24"/>
              </w:rPr>
              <w:t>废气处理设施故障，从而影响大气环境；</w:t>
            </w:r>
          </w:p>
          <w:p w14:paraId="31519868">
            <w:pPr>
              <w:pStyle w:val="14"/>
              <w:keepNext w:val="0"/>
              <w:keepLines w:val="0"/>
              <w:pageBreakBefore w:val="0"/>
              <w:kinsoku/>
              <w:wordWrap/>
              <w:overflowPunct/>
              <w:topLinePunct w:val="0"/>
              <w:bidi w:val="0"/>
              <w:spacing w:before="0" w:beforeAutospacing="0" w:after="0" w:afterAutospacing="0" w:line="360" w:lineRule="auto"/>
              <w:ind w:firstLine="480" w:firstLineChars="200"/>
              <w:outlineLvl w:val="0"/>
              <w:rPr>
                <w:rFonts w:ascii="Times New Roman" w:hAnsi="Times New Roman"/>
                <w:color w:val="auto"/>
                <w:szCs w:val="24"/>
              </w:rPr>
            </w:pPr>
            <w:r>
              <w:rPr>
                <w:rFonts w:hint="eastAsia" w:ascii="Times New Roman" w:hAnsi="Times New Roman"/>
                <w:color w:val="auto"/>
                <w:szCs w:val="24"/>
              </w:rPr>
              <w:t>②</w:t>
            </w:r>
            <w:r>
              <w:rPr>
                <w:rFonts w:hint="eastAsia" w:ascii="Times New Roman" w:hAnsi="Times New Roman"/>
                <w:color w:val="auto"/>
                <w:szCs w:val="24"/>
                <w:lang w:val="en-US" w:eastAsia="zh-CN"/>
              </w:rPr>
              <w:t>成品库、</w:t>
            </w:r>
            <w:r>
              <w:rPr>
                <w:rFonts w:ascii="Times New Roman" w:hAnsi="Times New Roman"/>
                <w:color w:val="auto"/>
                <w:szCs w:val="24"/>
              </w:rPr>
              <w:t>一般固废暂存区遇明火发生火灾，</w:t>
            </w:r>
            <w:r>
              <w:rPr>
                <w:rFonts w:hint="eastAsia" w:ascii="Times New Roman" w:hAnsi="Times New Roman"/>
                <w:color w:val="auto"/>
                <w:szCs w:val="24"/>
                <w:lang w:val="en-US" w:eastAsia="zh-CN"/>
              </w:rPr>
              <w:t>产生</w:t>
            </w:r>
            <w:r>
              <w:rPr>
                <w:rFonts w:hint="eastAsia"/>
                <w:color w:val="auto"/>
                <w:lang w:val="en-US" w:eastAsia="zh-CN"/>
              </w:rPr>
              <w:t>次生/伴生</w:t>
            </w:r>
            <w:r>
              <w:rPr>
                <w:rFonts w:hint="default" w:ascii="Times New Roman" w:hAnsi="Times New Roman" w:cs="Times New Roman"/>
                <w:color w:val="auto"/>
                <w:lang w:val="en-US" w:eastAsia="zh-CN"/>
              </w:rPr>
              <w:t>CO</w:t>
            </w:r>
            <w:r>
              <w:rPr>
                <w:rFonts w:hint="eastAsia"/>
                <w:color w:val="auto"/>
                <w:lang w:val="en-US" w:eastAsia="zh-CN"/>
              </w:rPr>
              <w:t>等空气污染物</w:t>
            </w:r>
            <w:r>
              <w:rPr>
                <w:rFonts w:ascii="Times New Roman" w:hAnsi="Times New Roman"/>
                <w:color w:val="auto"/>
                <w:szCs w:val="24"/>
              </w:rPr>
              <w:t>从而影响大气环境</w:t>
            </w:r>
            <w:r>
              <w:rPr>
                <w:rFonts w:hint="eastAsia" w:ascii="Times New Roman" w:hAnsi="Times New Roman"/>
                <w:color w:val="auto"/>
                <w:szCs w:val="24"/>
              </w:rPr>
              <w:t>；</w:t>
            </w:r>
          </w:p>
          <w:p w14:paraId="16B8F527">
            <w:pPr>
              <w:pStyle w:val="14"/>
              <w:keepNext w:val="0"/>
              <w:keepLines w:val="0"/>
              <w:pageBreakBefore w:val="0"/>
              <w:kinsoku/>
              <w:wordWrap/>
              <w:overflowPunct/>
              <w:topLinePunct w:val="0"/>
              <w:bidi w:val="0"/>
              <w:spacing w:before="0" w:beforeAutospacing="0" w:after="0" w:afterAutospacing="0" w:line="360" w:lineRule="auto"/>
              <w:ind w:firstLine="480" w:firstLineChars="200"/>
              <w:outlineLvl w:val="0"/>
              <w:rPr>
                <w:rFonts w:ascii="Times New Roman" w:hAnsi="Times New Roman"/>
                <w:color w:val="auto"/>
                <w:szCs w:val="24"/>
              </w:rPr>
            </w:pPr>
            <w:r>
              <w:rPr>
                <w:rFonts w:ascii="Times New Roman" w:hAnsi="Times New Roman"/>
                <w:color w:val="auto"/>
                <w:szCs w:val="24"/>
              </w:rPr>
              <w:t>③</w:t>
            </w:r>
            <w:r>
              <w:rPr>
                <w:rFonts w:hint="eastAsia" w:ascii="Times New Roman" w:hAnsi="Times New Roman"/>
                <w:color w:val="auto"/>
                <w:szCs w:val="24"/>
                <w:lang w:eastAsia="zh-CN"/>
              </w:rPr>
              <w:t>危废库</w:t>
            </w:r>
            <w:r>
              <w:rPr>
                <w:rFonts w:ascii="Times New Roman" w:hAnsi="Times New Roman"/>
                <w:color w:val="auto"/>
                <w:szCs w:val="24"/>
              </w:rPr>
              <w:t>危险废物发生</w:t>
            </w:r>
            <w:r>
              <w:rPr>
                <w:rFonts w:hint="eastAsia" w:ascii="Times New Roman" w:hAnsi="Times New Roman"/>
                <w:color w:val="auto"/>
                <w:szCs w:val="24"/>
                <w:lang w:eastAsia="zh-CN"/>
              </w:rPr>
              <w:t>泄漏</w:t>
            </w:r>
            <w:r>
              <w:rPr>
                <w:rFonts w:ascii="Times New Roman" w:hAnsi="Times New Roman"/>
                <w:color w:val="auto"/>
                <w:szCs w:val="24"/>
              </w:rPr>
              <w:t>，从而影响地下水和土壤环境；</w:t>
            </w:r>
          </w:p>
          <w:p w14:paraId="707E2062">
            <w:pPr>
              <w:pStyle w:val="14"/>
              <w:keepNext w:val="0"/>
              <w:keepLines w:val="0"/>
              <w:pageBreakBefore w:val="0"/>
              <w:kinsoku/>
              <w:wordWrap/>
              <w:overflowPunct/>
              <w:topLinePunct w:val="0"/>
              <w:bidi w:val="0"/>
              <w:spacing w:before="0" w:beforeAutospacing="0" w:after="0" w:afterAutospacing="0" w:line="360" w:lineRule="auto"/>
              <w:ind w:firstLine="480" w:firstLineChars="200"/>
              <w:outlineLvl w:val="0"/>
              <w:rPr>
                <w:rFonts w:hint="eastAsia" w:ascii="Times New Roman" w:hAnsi="Times New Roman" w:eastAsia="宋体"/>
                <w:color w:val="auto"/>
                <w:szCs w:val="24"/>
                <w:lang w:eastAsia="zh-CN"/>
              </w:rPr>
            </w:pPr>
            <w:r>
              <w:rPr>
                <w:rFonts w:hint="eastAsia" w:ascii="Times New Roman" w:hAnsi="Times New Roman"/>
                <w:color w:val="auto"/>
                <w:szCs w:val="24"/>
              </w:rPr>
              <w:t>④</w:t>
            </w:r>
            <w:r>
              <w:rPr>
                <w:rFonts w:hint="eastAsia" w:ascii="Times New Roman" w:hAnsi="Times New Roman"/>
                <w:color w:val="auto"/>
                <w:szCs w:val="24"/>
                <w:lang w:val="en-US" w:eastAsia="zh-CN"/>
              </w:rPr>
              <w:t>润滑油、OAPIUS过氧乙酸消毒液、浩丽VN酸性清洗剂、脱普AC3酸性泡沫清洗剂、AC-110碱性清洗剂、脱普621碱性泡沫清洗剂发生泄漏</w:t>
            </w:r>
            <w:r>
              <w:rPr>
                <w:rFonts w:ascii="Times New Roman" w:hAnsi="Times New Roman"/>
                <w:color w:val="auto"/>
                <w:szCs w:val="24"/>
              </w:rPr>
              <w:t>，从而影响地下水和土壤环境</w:t>
            </w:r>
            <w:r>
              <w:rPr>
                <w:rFonts w:hint="eastAsia" w:ascii="Times New Roman" w:hAnsi="Times New Roman"/>
                <w:color w:val="auto"/>
                <w:szCs w:val="24"/>
                <w:lang w:eastAsia="zh-CN"/>
              </w:rPr>
              <w:t>。</w:t>
            </w:r>
          </w:p>
          <w:p w14:paraId="52B5BF56">
            <w:pPr>
              <w:pStyle w:val="14"/>
              <w:keepNext w:val="0"/>
              <w:keepLines w:val="0"/>
              <w:pageBreakBefore w:val="0"/>
              <w:kinsoku/>
              <w:wordWrap/>
              <w:overflowPunct/>
              <w:topLinePunct w:val="0"/>
              <w:bidi w:val="0"/>
              <w:spacing w:before="0" w:beforeAutospacing="0" w:after="0" w:afterAutospacing="0" w:line="360" w:lineRule="auto"/>
              <w:ind w:firstLine="480" w:firstLineChars="200"/>
              <w:outlineLvl w:val="0"/>
              <w:rPr>
                <w:rFonts w:ascii="Times New Roman" w:hAnsi="Times New Roman"/>
                <w:snapToGrid w:val="0"/>
                <w:color w:val="auto"/>
                <w:szCs w:val="24"/>
              </w:rPr>
            </w:pPr>
            <w:r>
              <w:rPr>
                <w:rFonts w:hint="eastAsia" w:ascii="Times New Roman" w:hAnsi="Times New Roman"/>
                <w:snapToGrid w:val="0"/>
                <w:color w:val="auto"/>
                <w:szCs w:val="24"/>
                <w:lang w:eastAsia="zh-CN"/>
              </w:rPr>
              <w:t>5.</w:t>
            </w:r>
            <w:r>
              <w:rPr>
                <w:rFonts w:ascii="Times New Roman" w:hAnsi="Times New Roman"/>
                <w:snapToGrid w:val="0"/>
                <w:color w:val="auto"/>
                <w:szCs w:val="24"/>
              </w:rPr>
              <w:t>环境风险防范措施</w:t>
            </w:r>
          </w:p>
          <w:p w14:paraId="3CC4A0DD">
            <w:pPr>
              <w:pStyle w:val="14"/>
              <w:keepNext w:val="0"/>
              <w:keepLines w:val="0"/>
              <w:pageBreakBefore w:val="0"/>
              <w:kinsoku/>
              <w:wordWrap/>
              <w:overflowPunct/>
              <w:topLinePunct w:val="0"/>
              <w:bidi w:val="0"/>
              <w:spacing w:before="0" w:beforeAutospacing="0" w:after="0" w:afterAutospacing="0" w:line="360" w:lineRule="auto"/>
              <w:ind w:firstLine="480" w:firstLineChars="200"/>
              <w:outlineLvl w:val="0"/>
              <w:rPr>
                <w:rFonts w:ascii="Times New Roman" w:hAnsi="Times New Roman"/>
                <w:snapToGrid w:val="0"/>
                <w:color w:val="auto"/>
                <w:szCs w:val="24"/>
              </w:rPr>
            </w:pPr>
            <w:r>
              <w:rPr>
                <w:rFonts w:ascii="Times New Roman" w:hAnsi="Times New Roman"/>
                <w:color w:val="auto"/>
                <w:szCs w:val="24"/>
              </w:rPr>
              <w:t>①</w:t>
            </w:r>
            <w:r>
              <w:rPr>
                <w:rFonts w:ascii="Times New Roman" w:hAnsi="Times New Roman"/>
                <w:snapToGrid w:val="0"/>
                <w:color w:val="auto"/>
                <w:szCs w:val="24"/>
              </w:rPr>
              <w:t>废气治理风险防范措施除加强操作人员工作素质外，主要在于对废气治理装置的日常运行维护，保证各废气处理系统处于良好的工作状态，最大程度减少废气治理风险事故发生的可能性。如发现人为原因不开启废气治理设施，责任人应受行政和经济处罚，并承担事故排放责任。若废气治理措施因故不能运行，则生产必须停止。</w:t>
            </w:r>
          </w:p>
          <w:p w14:paraId="4074A899">
            <w:pPr>
              <w:pStyle w:val="14"/>
              <w:keepNext w:val="0"/>
              <w:keepLines w:val="0"/>
              <w:pageBreakBefore w:val="0"/>
              <w:kinsoku/>
              <w:wordWrap/>
              <w:overflowPunct/>
              <w:topLinePunct w:val="0"/>
              <w:bidi w:val="0"/>
              <w:spacing w:before="0" w:beforeAutospacing="0" w:after="0" w:afterAutospacing="0" w:line="360" w:lineRule="auto"/>
              <w:ind w:firstLine="480" w:firstLineChars="200"/>
              <w:outlineLvl w:val="0"/>
              <w:rPr>
                <w:rFonts w:cs="宋体"/>
                <w:snapToGrid w:val="0"/>
                <w:color w:val="auto"/>
                <w:szCs w:val="24"/>
              </w:rPr>
            </w:pPr>
            <w:r>
              <w:rPr>
                <w:rFonts w:ascii="Times New Roman" w:hAnsi="Times New Roman"/>
                <w:color w:val="auto"/>
                <w:szCs w:val="24"/>
              </w:rPr>
              <w:t>②</w:t>
            </w:r>
            <w:r>
              <w:rPr>
                <w:bCs/>
                <w:color w:val="auto"/>
                <w:szCs w:val="24"/>
              </w:rPr>
              <w:t>安排</w:t>
            </w:r>
            <w:r>
              <w:rPr>
                <w:rFonts w:hint="eastAsia"/>
                <w:bCs/>
                <w:color w:val="auto"/>
                <w:szCs w:val="24"/>
              </w:rPr>
              <w:t>专员</w:t>
            </w:r>
            <w:r>
              <w:rPr>
                <w:bCs/>
                <w:color w:val="auto"/>
                <w:szCs w:val="24"/>
              </w:rPr>
              <w:t>定期对</w:t>
            </w:r>
            <w:r>
              <w:rPr>
                <w:rFonts w:hint="eastAsia"/>
                <w:bCs/>
                <w:color w:val="auto"/>
                <w:szCs w:val="24"/>
                <w:lang w:val="en-US" w:eastAsia="zh-CN"/>
              </w:rPr>
              <w:t>成品库、</w:t>
            </w:r>
            <w:r>
              <w:rPr>
                <w:rFonts w:hint="eastAsia"/>
                <w:bCs/>
                <w:color w:val="auto"/>
                <w:szCs w:val="24"/>
                <w:lang w:eastAsia="zh-CN"/>
              </w:rPr>
              <w:t>危废库</w:t>
            </w:r>
            <w:r>
              <w:rPr>
                <w:rFonts w:hint="eastAsia"/>
                <w:bCs/>
                <w:color w:val="auto"/>
                <w:szCs w:val="24"/>
              </w:rPr>
              <w:t>和一般固废暂存区</w:t>
            </w:r>
            <w:r>
              <w:rPr>
                <w:bCs/>
                <w:color w:val="auto"/>
                <w:szCs w:val="24"/>
              </w:rPr>
              <w:t>进行检查，严格遵守安全操作规程和消防安全管理制度，远离火种、热源，工作场所</w:t>
            </w:r>
            <w:r>
              <w:rPr>
                <w:rFonts w:hint="eastAsia"/>
                <w:color w:val="auto"/>
                <w:lang w:val="en-US" w:eastAsia="zh-CN"/>
              </w:rPr>
              <w:t>配备灭火器、消防栓、自喷系统，工作场所</w:t>
            </w:r>
            <w:r>
              <w:rPr>
                <w:bCs/>
                <w:color w:val="auto"/>
                <w:szCs w:val="24"/>
              </w:rPr>
              <w:t>严禁吸烟，从源头杜绝火灾事故发生。</w:t>
            </w:r>
          </w:p>
          <w:p w14:paraId="1DFBC021">
            <w:pPr>
              <w:pStyle w:val="14"/>
              <w:keepNext w:val="0"/>
              <w:keepLines w:val="0"/>
              <w:pageBreakBefore w:val="0"/>
              <w:kinsoku/>
              <w:wordWrap/>
              <w:overflowPunct/>
              <w:topLinePunct w:val="0"/>
              <w:bidi w:val="0"/>
              <w:spacing w:before="0" w:beforeAutospacing="0" w:after="0" w:afterAutospacing="0" w:line="360" w:lineRule="auto"/>
              <w:ind w:firstLine="480" w:firstLineChars="200"/>
              <w:outlineLvl w:val="0"/>
              <w:rPr>
                <w:rFonts w:ascii="Times New Roman" w:hAnsi="Times New Roman"/>
                <w:snapToGrid w:val="0"/>
                <w:color w:val="auto"/>
                <w:szCs w:val="24"/>
              </w:rPr>
            </w:pPr>
            <w:r>
              <w:rPr>
                <w:rFonts w:ascii="Times New Roman" w:hAnsi="Times New Roman"/>
                <w:color w:val="auto"/>
                <w:szCs w:val="24"/>
              </w:rPr>
              <w:t>③</w:t>
            </w:r>
            <w:r>
              <w:rPr>
                <w:rFonts w:ascii="Times New Roman" w:hAnsi="Times New Roman"/>
                <w:snapToGrid w:val="0"/>
                <w:color w:val="auto"/>
                <w:szCs w:val="24"/>
              </w:rPr>
              <w:t>定期进行安全环保宣传教育以及紧急事故模拟演习，提高事故应变能力</w:t>
            </w:r>
            <w:r>
              <w:rPr>
                <w:rFonts w:hint="eastAsia" w:ascii="Times New Roman" w:hAnsi="Times New Roman"/>
                <w:snapToGrid w:val="0"/>
                <w:color w:val="auto"/>
                <w:szCs w:val="24"/>
              </w:rPr>
              <w:t>。</w:t>
            </w:r>
          </w:p>
          <w:p w14:paraId="6D4BF31C">
            <w:pPr>
              <w:pStyle w:val="14"/>
              <w:keepNext w:val="0"/>
              <w:keepLines w:val="0"/>
              <w:pageBreakBefore w:val="0"/>
              <w:kinsoku/>
              <w:wordWrap/>
              <w:overflowPunct/>
              <w:topLinePunct w:val="0"/>
              <w:bidi w:val="0"/>
              <w:spacing w:before="0" w:beforeAutospacing="0" w:after="0" w:afterAutospacing="0" w:line="360" w:lineRule="auto"/>
              <w:ind w:firstLine="480" w:firstLineChars="200"/>
              <w:outlineLvl w:val="0"/>
              <w:rPr>
                <w:rFonts w:ascii="Times New Roman" w:hAnsi="Times New Roman"/>
                <w:snapToGrid w:val="0"/>
                <w:color w:val="auto"/>
                <w:szCs w:val="24"/>
              </w:rPr>
            </w:pPr>
            <w:r>
              <w:rPr>
                <w:rFonts w:hint="eastAsia" w:ascii="Times New Roman" w:hAnsi="Times New Roman"/>
                <w:snapToGrid w:val="0"/>
                <w:color w:val="auto"/>
                <w:szCs w:val="24"/>
                <w:lang w:eastAsia="zh-CN"/>
              </w:rPr>
              <w:t>6.</w:t>
            </w:r>
            <w:r>
              <w:rPr>
                <w:rFonts w:ascii="Times New Roman" w:hAnsi="Times New Roman"/>
                <w:snapToGrid w:val="0"/>
                <w:color w:val="auto"/>
                <w:szCs w:val="24"/>
              </w:rPr>
              <w:t>环境风险</w:t>
            </w:r>
            <w:r>
              <w:rPr>
                <w:rFonts w:hint="eastAsia" w:ascii="Times New Roman" w:hAnsi="Times New Roman"/>
                <w:snapToGrid w:val="0"/>
                <w:color w:val="auto"/>
                <w:szCs w:val="24"/>
              </w:rPr>
              <w:t>应急处置</w:t>
            </w:r>
            <w:r>
              <w:rPr>
                <w:rFonts w:ascii="Times New Roman" w:hAnsi="Times New Roman"/>
                <w:snapToGrid w:val="0"/>
                <w:color w:val="auto"/>
                <w:szCs w:val="24"/>
              </w:rPr>
              <w:t>措施</w:t>
            </w:r>
          </w:p>
          <w:p w14:paraId="6CAB2BC6">
            <w:pPr>
              <w:pStyle w:val="14"/>
              <w:keepNext w:val="0"/>
              <w:keepLines w:val="0"/>
              <w:pageBreakBefore w:val="0"/>
              <w:kinsoku/>
              <w:wordWrap/>
              <w:overflowPunct/>
              <w:topLinePunct w:val="0"/>
              <w:bidi w:val="0"/>
              <w:spacing w:before="0" w:beforeAutospacing="0" w:after="0" w:afterAutospacing="0" w:line="360" w:lineRule="auto"/>
              <w:ind w:firstLine="480" w:firstLineChars="200"/>
              <w:outlineLvl w:val="0"/>
              <w:rPr>
                <w:rFonts w:ascii="Times New Roman" w:hAnsi="Times New Roman"/>
                <w:snapToGrid w:val="0"/>
                <w:color w:val="auto"/>
                <w:szCs w:val="24"/>
              </w:rPr>
            </w:pPr>
            <w:r>
              <w:rPr>
                <w:rFonts w:hint="eastAsia" w:ascii="Times New Roman" w:hAnsi="Times New Roman"/>
                <w:color w:val="auto"/>
                <w:szCs w:val="24"/>
              </w:rPr>
              <w:t>①</w:t>
            </w:r>
            <w:r>
              <w:rPr>
                <w:rFonts w:hint="eastAsia" w:ascii="Times New Roman" w:hAnsi="Times New Roman"/>
                <w:snapToGrid w:val="0"/>
                <w:color w:val="auto"/>
                <w:szCs w:val="24"/>
              </w:rPr>
              <w:t>废气处理设施故障事故</w:t>
            </w:r>
          </w:p>
          <w:p w14:paraId="2BDF22A9">
            <w:pPr>
              <w:pStyle w:val="14"/>
              <w:keepNext w:val="0"/>
              <w:keepLines w:val="0"/>
              <w:pageBreakBefore w:val="0"/>
              <w:kinsoku/>
              <w:wordWrap/>
              <w:overflowPunct/>
              <w:topLinePunct w:val="0"/>
              <w:bidi w:val="0"/>
              <w:spacing w:before="0" w:beforeAutospacing="0" w:after="0" w:afterAutospacing="0" w:line="360" w:lineRule="auto"/>
              <w:ind w:firstLine="480" w:firstLineChars="200"/>
              <w:outlineLvl w:val="0"/>
              <w:rPr>
                <w:rFonts w:ascii="Times New Roman" w:hAnsi="Times New Roman"/>
                <w:snapToGrid w:val="0"/>
                <w:color w:val="auto"/>
                <w:szCs w:val="24"/>
              </w:rPr>
            </w:pPr>
            <w:r>
              <w:rPr>
                <w:rFonts w:hint="eastAsia" w:ascii="Times New Roman" w:hAnsi="Times New Roman"/>
                <w:snapToGrid w:val="0"/>
                <w:color w:val="auto"/>
                <w:szCs w:val="24"/>
              </w:rPr>
              <w:t>当本项目有机废气治理设施发生故障，不能正常运行时，应立即停止对应产污工序的设备运行，待废气处理设施维修好后再开机运行。</w:t>
            </w:r>
          </w:p>
          <w:p w14:paraId="65A092CB">
            <w:pPr>
              <w:pStyle w:val="14"/>
              <w:keepNext w:val="0"/>
              <w:keepLines w:val="0"/>
              <w:pageBreakBefore w:val="0"/>
              <w:kinsoku/>
              <w:wordWrap/>
              <w:overflowPunct/>
              <w:topLinePunct w:val="0"/>
              <w:bidi w:val="0"/>
              <w:spacing w:before="0" w:beforeAutospacing="0" w:after="0" w:afterAutospacing="0" w:line="360" w:lineRule="auto"/>
              <w:ind w:firstLine="480" w:firstLineChars="200"/>
              <w:outlineLvl w:val="0"/>
              <w:rPr>
                <w:rFonts w:ascii="Times New Roman" w:hAnsi="Times New Roman"/>
                <w:snapToGrid w:val="0"/>
                <w:color w:val="auto"/>
                <w:szCs w:val="24"/>
              </w:rPr>
            </w:pPr>
            <w:r>
              <w:rPr>
                <w:rFonts w:hint="eastAsia" w:ascii="Times New Roman" w:hAnsi="Times New Roman"/>
                <w:color w:val="auto"/>
                <w:szCs w:val="24"/>
              </w:rPr>
              <w:t>②</w:t>
            </w:r>
            <w:r>
              <w:rPr>
                <w:rFonts w:hint="eastAsia" w:ascii="Times New Roman" w:hAnsi="Times New Roman"/>
                <w:snapToGrid w:val="0"/>
                <w:color w:val="auto"/>
                <w:szCs w:val="24"/>
              </w:rPr>
              <w:t>火灾环境事故</w:t>
            </w:r>
          </w:p>
          <w:p w14:paraId="77C74E49">
            <w:pPr>
              <w:pStyle w:val="14"/>
              <w:keepNext w:val="0"/>
              <w:keepLines w:val="0"/>
              <w:pageBreakBefore w:val="0"/>
              <w:kinsoku/>
              <w:wordWrap/>
              <w:overflowPunct/>
              <w:topLinePunct w:val="0"/>
              <w:bidi w:val="0"/>
              <w:spacing w:before="0" w:beforeAutospacing="0" w:after="0" w:afterAutospacing="0" w:line="360" w:lineRule="auto"/>
              <w:ind w:firstLine="480" w:firstLineChars="200"/>
              <w:outlineLvl w:val="0"/>
              <w:rPr>
                <w:rFonts w:ascii="Times New Roman" w:hAnsi="Times New Roman"/>
                <w:snapToGrid w:val="0"/>
                <w:color w:val="auto"/>
                <w:szCs w:val="24"/>
              </w:rPr>
            </w:pPr>
            <w:r>
              <w:rPr>
                <w:rFonts w:hint="eastAsia" w:ascii="Times New Roman" w:hAnsi="Times New Roman"/>
                <w:snapToGrid w:val="0"/>
                <w:color w:val="auto"/>
                <w:szCs w:val="24"/>
              </w:rPr>
              <w:t>当发生火灾事故时，应迅速将易燃物撤离至安全区，禁止无关人员进入火灾区，严格限制出入。救援人员佩戴防毒面具及防护服，使用应急救援物资灭火。</w:t>
            </w:r>
            <w:r>
              <w:rPr>
                <w:rFonts w:ascii="Times New Roman" w:hAnsi="Times New Roman"/>
                <w:snapToGrid w:val="0"/>
                <w:color w:val="auto"/>
                <w:szCs w:val="24"/>
              </w:rPr>
              <w:t>发生小面积火灾</w:t>
            </w:r>
            <w:r>
              <w:rPr>
                <w:rFonts w:hint="eastAsia" w:ascii="Times New Roman" w:hAnsi="Times New Roman"/>
                <w:snapToGrid w:val="0"/>
                <w:color w:val="auto"/>
                <w:szCs w:val="24"/>
              </w:rPr>
              <w:t>时</w:t>
            </w:r>
            <w:r>
              <w:rPr>
                <w:rFonts w:ascii="Times New Roman" w:hAnsi="Times New Roman"/>
                <w:snapToGrid w:val="0"/>
                <w:color w:val="auto"/>
                <w:szCs w:val="24"/>
              </w:rPr>
              <w:t>，采用灭火器、消防沙灭火；</w:t>
            </w:r>
            <w:r>
              <w:rPr>
                <w:rFonts w:hint="eastAsia" w:ascii="Times New Roman" w:hAnsi="Times New Roman"/>
                <w:snapToGrid w:val="0"/>
                <w:color w:val="auto"/>
                <w:szCs w:val="24"/>
              </w:rPr>
              <w:t>发生</w:t>
            </w:r>
            <w:r>
              <w:rPr>
                <w:rFonts w:ascii="Times New Roman" w:hAnsi="Times New Roman"/>
                <w:snapToGrid w:val="0"/>
                <w:color w:val="auto"/>
                <w:szCs w:val="24"/>
              </w:rPr>
              <w:t>大面积火灾</w:t>
            </w:r>
            <w:r>
              <w:rPr>
                <w:rFonts w:hint="eastAsia" w:ascii="Times New Roman" w:hAnsi="Times New Roman"/>
                <w:snapToGrid w:val="0"/>
                <w:color w:val="auto"/>
                <w:szCs w:val="24"/>
              </w:rPr>
              <w:t>时，</w:t>
            </w:r>
            <w:r>
              <w:rPr>
                <w:rFonts w:ascii="Times New Roman" w:hAnsi="Times New Roman"/>
                <w:snapToGrid w:val="0"/>
                <w:color w:val="auto"/>
                <w:szCs w:val="24"/>
              </w:rPr>
              <w:t>需使用消防水灭火，产生的消防废水</w:t>
            </w:r>
            <w:r>
              <w:rPr>
                <w:rFonts w:hint="eastAsia" w:ascii="Times New Roman" w:hAnsi="Times New Roman"/>
                <w:snapToGrid w:val="0"/>
                <w:color w:val="auto"/>
                <w:szCs w:val="24"/>
              </w:rPr>
              <w:t>需进行收集</w:t>
            </w:r>
            <w:r>
              <w:rPr>
                <w:rFonts w:ascii="Times New Roman" w:hAnsi="Times New Roman"/>
                <w:snapToGrid w:val="0"/>
                <w:color w:val="auto"/>
                <w:szCs w:val="24"/>
              </w:rPr>
              <w:t>。在火灾事故发生时，及时关闭</w:t>
            </w:r>
            <w:r>
              <w:rPr>
                <w:rFonts w:hint="eastAsia" w:ascii="Times New Roman" w:hAnsi="Times New Roman"/>
                <w:snapToGrid w:val="0"/>
                <w:color w:val="auto"/>
                <w:szCs w:val="24"/>
              </w:rPr>
              <w:t>雨水口紧急关闭阀门，</w:t>
            </w:r>
            <w:r>
              <w:rPr>
                <w:rFonts w:ascii="Times New Roman" w:hAnsi="Times New Roman"/>
                <w:snapToGrid w:val="0"/>
                <w:color w:val="auto"/>
                <w:szCs w:val="24"/>
              </w:rPr>
              <w:t>使事故废水收集至事故应急池中进行暂存，待事故结束后，直接交由有资质单位处理。</w:t>
            </w:r>
          </w:p>
          <w:p w14:paraId="751BFEEE">
            <w:pPr>
              <w:pStyle w:val="14"/>
              <w:keepNext w:val="0"/>
              <w:keepLines w:val="0"/>
              <w:pageBreakBefore w:val="0"/>
              <w:kinsoku/>
              <w:wordWrap/>
              <w:overflowPunct/>
              <w:topLinePunct w:val="0"/>
              <w:bidi w:val="0"/>
              <w:spacing w:before="0" w:beforeAutospacing="0" w:after="0" w:afterAutospacing="0" w:line="360" w:lineRule="auto"/>
              <w:ind w:firstLine="480" w:firstLineChars="200"/>
              <w:outlineLvl w:val="0"/>
              <w:rPr>
                <w:rFonts w:ascii="Times New Roman" w:hAnsi="Times New Roman"/>
                <w:snapToGrid w:val="0"/>
                <w:color w:val="auto"/>
                <w:szCs w:val="24"/>
              </w:rPr>
            </w:pPr>
            <w:r>
              <w:rPr>
                <w:rFonts w:hint="eastAsia" w:ascii="Times New Roman" w:hAnsi="Times New Roman"/>
                <w:snapToGrid w:val="0"/>
                <w:color w:val="auto"/>
                <w:szCs w:val="24"/>
              </w:rPr>
              <w:t>③泄漏事故</w:t>
            </w:r>
          </w:p>
          <w:p w14:paraId="33FA3140">
            <w:pPr>
              <w:pStyle w:val="14"/>
              <w:keepNext w:val="0"/>
              <w:keepLines w:val="0"/>
              <w:pageBreakBefore w:val="0"/>
              <w:kinsoku/>
              <w:wordWrap/>
              <w:overflowPunct/>
              <w:topLinePunct w:val="0"/>
              <w:bidi w:val="0"/>
              <w:spacing w:before="0" w:beforeAutospacing="0" w:after="0" w:afterAutospacing="0" w:line="360" w:lineRule="auto"/>
              <w:ind w:firstLine="480" w:firstLineChars="200"/>
              <w:outlineLvl w:val="0"/>
              <w:rPr>
                <w:rFonts w:ascii="Times New Roman" w:hAnsi="Times New Roman"/>
                <w:snapToGrid w:val="0"/>
                <w:color w:val="auto"/>
                <w:szCs w:val="24"/>
              </w:rPr>
            </w:pPr>
            <w:r>
              <w:rPr>
                <w:rFonts w:hint="eastAsia" w:ascii="Times New Roman" w:hAnsi="Times New Roman"/>
                <w:color w:val="auto"/>
                <w:szCs w:val="24"/>
                <w:lang w:val="en-US" w:eastAsia="zh-CN"/>
              </w:rPr>
              <w:t>润滑油、OAPIUS过氧乙酸消毒液、浩丽VN酸性清洗剂、脱普AC3酸性泡沫清洗剂、AC-110碱性清洗剂、脱普621碱性泡沫清洗剂</w:t>
            </w:r>
            <w:r>
              <w:rPr>
                <w:rFonts w:ascii="Times New Roman" w:hAnsi="Times New Roman"/>
                <w:snapToGrid w:val="0"/>
                <w:color w:val="auto"/>
                <w:szCs w:val="24"/>
              </w:rPr>
              <w:t>发生泄漏时，容器均为常压容器，泄漏量、泄漏源强相对较小。发现泄漏事故时，及时用堵漏工具对泄漏部位进行堵漏或转移至液体收集设施内，杜绝泄漏液体与明火接触，及时对泄漏至地面的液体进行收集，将地面残留物擦拭干净，事故处置过程中产生的沾染废物作为危废暂存于危废暂存库内</w:t>
            </w:r>
            <w:r>
              <w:rPr>
                <w:rFonts w:hint="eastAsia" w:ascii="Times New Roman" w:hAnsi="Times New Roman"/>
                <w:snapToGrid w:val="0"/>
                <w:color w:val="auto"/>
                <w:szCs w:val="24"/>
              </w:rPr>
              <w:t>。</w:t>
            </w:r>
          </w:p>
          <w:p w14:paraId="63C83402">
            <w:pPr>
              <w:pStyle w:val="14"/>
              <w:keepNext w:val="0"/>
              <w:keepLines w:val="0"/>
              <w:pageBreakBefore w:val="0"/>
              <w:kinsoku/>
              <w:wordWrap/>
              <w:overflowPunct/>
              <w:topLinePunct w:val="0"/>
              <w:bidi w:val="0"/>
              <w:spacing w:before="0" w:beforeAutospacing="0" w:after="0" w:afterAutospacing="0" w:line="360" w:lineRule="auto"/>
              <w:ind w:firstLine="480" w:firstLineChars="200"/>
              <w:outlineLvl w:val="0"/>
              <w:rPr>
                <w:rFonts w:ascii="Times New Roman" w:hAnsi="Times New Roman"/>
                <w:snapToGrid w:val="0"/>
                <w:color w:val="auto"/>
                <w:szCs w:val="24"/>
              </w:rPr>
            </w:pPr>
            <w:bookmarkStart w:id="49" w:name="_GoBack"/>
            <w:r>
              <w:rPr>
                <w:rFonts w:hint="eastAsia" w:ascii="Times New Roman" w:hAnsi="Times New Roman"/>
                <w:snapToGrid w:val="0"/>
                <w:color w:val="auto"/>
                <w:szCs w:val="24"/>
                <w:lang w:eastAsia="zh-CN"/>
              </w:rPr>
              <w:t>7.</w:t>
            </w:r>
            <w:bookmarkEnd w:id="49"/>
            <w:r>
              <w:rPr>
                <w:rFonts w:hint="eastAsia" w:ascii="Times New Roman" w:hAnsi="Times New Roman"/>
                <w:snapToGrid w:val="0"/>
                <w:color w:val="auto"/>
                <w:szCs w:val="24"/>
              </w:rPr>
              <w:t>风险评价结论</w:t>
            </w:r>
          </w:p>
          <w:p w14:paraId="3555B3A3">
            <w:pPr>
              <w:pStyle w:val="14"/>
              <w:keepNext w:val="0"/>
              <w:keepLines w:val="0"/>
              <w:pageBreakBefore w:val="0"/>
              <w:kinsoku/>
              <w:wordWrap/>
              <w:overflowPunct/>
              <w:topLinePunct w:val="0"/>
              <w:bidi w:val="0"/>
              <w:spacing w:before="0" w:beforeAutospacing="0" w:after="0" w:afterAutospacing="0" w:line="360" w:lineRule="auto"/>
              <w:ind w:firstLine="480" w:firstLineChars="200"/>
              <w:outlineLvl w:val="0"/>
              <w:rPr>
                <w:rFonts w:ascii="Times New Roman" w:hAnsi="Times New Roman"/>
                <w:snapToGrid w:val="0"/>
                <w:color w:val="auto"/>
                <w:szCs w:val="24"/>
              </w:rPr>
            </w:pPr>
            <w:r>
              <w:rPr>
                <w:rFonts w:ascii="Times New Roman" w:hAnsi="Times New Roman"/>
                <w:snapToGrid w:val="0"/>
                <w:color w:val="auto"/>
                <w:szCs w:val="24"/>
              </w:rPr>
              <w:t>在各</w:t>
            </w:r>
            <w:r>
              <w:rPr>
                <w:rFonts w:hint="eastAsia" w:ascii="Times New Roman" w:hAnsi="Times New Roman"/>
                <w:snapToGrid w:val="0"/>
                <w:color w:val="auto"/>
                <w:szCs w:val="24"/>
              </w:rPr>
              <w:t>项</w:t>
            </w:r>
            <w:r>
              <w:rPr>
                <w:rFonts w:ascii="Times New Roman" w:hAnsi="Times New Roman"/>
                <w:snapToGrid w:val="0"/>
                <w:color w:val="auto"/>
                <w:szCs w:val="24"/>
              </w:rPr>
              <w:t>环境风险防范措施落实到位的情况下，可降低建设项目的环境风险，最大程度减少对环境可能造成的危害，本项目对环境的风险影响</w:t>
            </w:r>
            <w:r>
              <w:rPr>
                <w:rFonts w:hint="eastAsia" w:ascii="Times New Roman" w:hAnsi="Times New Roman"/>
                <w:snapToGrid w:val="0"/>
                <w:color w:val="auto"/>
                <w:szCs w:val="24"/>
              </w:rPr>
              <w:t>在可接受范围内</w:t>
            </w:r>
            <w:r>
              <w:rPr>
                <w:rFonts w:ascii="Times New Roman" w:hAnsi="Times New Roman"/>
                <w:snapToGrid w:val="0"/>
                <w:color w:val="auto"/>
                <w:szCs w:val="24"/>
              </w:rPr>
              <w:t>。</w:t>
            </w:r>
          </w:p>
          <w:p w14:paraId="0A2079F8">
            <w:pPr>
              <w:pStyle w:val="48"/>
              <w:keepNext w:val="0"/>
              <w:keepLines w:val="0"/>
              <w:pageBreakBefore w:val="0"/>
              <w:kinsoku/>
              <w:wordWrap/>
              <w:overflowPunct/>
              <w:topLinePunct w:val="0"/>
              <w:bidi w:val="0"/>
              <w:snapToGrid w:val="0"/>
              <w:spacing w:line="360" w:lineRule="auto"/>
              <w:ind w:firstLine="482"/>
              <w:jc w:val="both"/>
              <w:rPr>
                <w:rFonts w:ascii="Times New Roman" w:eastAsia="宋体"/>
                <w:b/>
                <w:color w:val="auto"/>
                <w:sz w:val="24"/>
                <w:szCs w:val="24"/>
              </w:rPr>
            </w:pPr>
            <w:r>
              <w:rPr>
                <w:rFonts w:hint="eastAsia" w:ascii="Times New Roman" w:eastAsia="宋体"/>
                <w:b/>
                <w:color w:val="auto"/>
                <w:sz w:val="24"/>
                <w:szCs w:val="24"/>
                <w:lang w:val="en-US" w:eastAsia="zh-CN"/>
              </w:rPr>
              <w:t>七</w:t>
            </w:r>
            <w:r>
              <w:rPr>
                <w:rFonts w:hint="eastAsia" w:ascii="Times New Roman" w:eastAsia="宋体"/>
                <w:b/>
                <w:color w:val="auto"/>
                <w:sz w:val="24"/>
                <w:szCs w:val="24"/>
              </w:rPr>
              <w:t>、本项目环保投资及“三同时”验收</w:t>
            </w:r>
          </w:p>
          <w:p w14:paraId="0B30CAAE">
            <w:pPr>
              <w:pStyle w:val="16"/>
              <w:keepNext w:val="0"/>
              <w:keepLines w:val="0"/>
              <w:pageBreakBefore w:val="0"/>
              <w:kinsoku/>
              <w:wordWrap/>
              <w:overflowPunct/>
              <w:topLinePunct w:val="0"/>
              <w:bidi w:val="0"/>
              <w:spacing w:after="0" w:line="360" w:lineRule="auto"/>
              <w:ind w:left="0" w:leftChars="0" w:firstLine="480"/>
              <w:rPr>
                <w:color w:val="auto"/>
              </w:rPr>
            </w:pPr>
            <w:r>
              <w:rPr>
                <w:color w:val="auto"/>
              </w:rPr>
              <w:t>本项目总投资为</w:t>
            </w:r>
            <w:r>
              <w:rPr>
                <w:rFonts w:hint="eastAsia"/>
                <w:color w:val="auto"/>
                <w:lang w:val="en-US" w:eastAsia="zh-CN"/>
              </w:rPr>
              <w:t>35000</w:t>
            </w:r>
            <w:r>
              <w:rPr>
                <w:color w:val="auto"/>
              </w:rPr>
              <w:t>万元，其中环保投资</w:t>
            </w:r>
            <w:r>
              <w:rPr>
                <w:rFonts w:hint="eastAsia"/>
                <w:color w:val="auto"/>
                <w:lang w:val="en-US" w:eastAsia="zh-CN"/>
              </w:rPr>
              <w:t>140</w:t>
            </w:r>
            <w:r>
              <w:rPr>
                <w:color w:val="auto"/>
              </w:rPr>
              <w:t>万元，环保投资占总投资的</w:t>
            </w:r>
            <w:r>
              <w:rPr>
                <w:rFonts w:hint="eastAsia"/>
                <w:color w:val="auto"/>
                <w:lang w:val="en-US" w:eastAsia="zh-CN"/>
              </w:rPr>
              <w:t>0.4%</w:t>
            </w:r>
            <w:r>
              <w:rPr>
                <w:rFonts w:hint="eastAsia"/>
                <w:color w:val="auto"/>
              </w:rPr>
              <w:t>。本项目环保投资及“三同时”验收内容见</w:t>
            </w:r>
            <w:r>
              <w:rPr>
                <w:rFonts w:hint="eastAsia"/>
                <w:color w:val="auto"/>
                <w:lang w:val="en-US" w:eastAsia="zh-CN"/>
              </w:rPr>
              <w:t>下表</w:t>
            </w:r>
            <w:r>
              <w:rPr>
                <w:rFonts w:hint="eastAsia"/>
                <w:color w:val="auto"/>
              </w:rPr>
              <w:t>。</w:t>
            </w:r>
          </w:p>
          <w:p w14:paraId="2528B647">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ascii="Times New Roman" w:hAnsi="Times New Roman"/>
                <w:b/>
                <w:bCs/>
                <w:color w:val="auto"/>
                <w:sz w:val="21"/>
                <w:szCs w:val="21"/>
              </w:rPr>
            </w:pPr>
            <w:r>
              <w:rPr>
                <w:rFonts w:hint="eastAsia" w:ascii="Times New Roman" w:hAnsi="Times New Roman"/>
                <w:b/>
                <w:bCs/>
                <w:color w:val="auto"/>
                <w:sz w:val="21"/>
                <w:szCs w:val="21"/>
              </w:rPr>
              <w:t>表4-</w:t>
            </w:r>
            <w:r>
              <w:rPr>
                <w:rFonts w:hint="eastAsia" w:ascii="Times New Roman" w:hAnsi="Times New Roman"/>
                <w:b/>
                <w:bCs/>
                <w:color w:val="auto"/>
                <w:sz w:val="21"/>
                <w:szCs w:val="21"/>
                <w:lang w:val="en-US" w:eastAsia="zh-CN"/>
              </w:rPr>
              <w:t xml:space="preserve">30  </w:t>
            </w:r>
            <w:r>
              <w:rPr>
                <w:rFonts w:hint="eastAsia" w:ascii="Times New Roman" w:hAnsi="Times New Roman"/>
                <w:b/>
                <w:bCs/>
                <w:color w:val="auto"/>
                <w:sz w:val="21"/>
                <w:szCs w:val="21"/>
              </w:rPr>
              <w:t>本项目环保投资及“三同时”验收一览表</w:t>
            </w:r>
          </w:p>
          <w:tbl>
            <w:tblPr>
              <w:tblStyle w:val="21"/>
              <w:tblW w:w="791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1050"/>
              <w:gridCol w:w="1140"/>
              <w:gridCol w:w="1680"/>
              <w:gridCol w:w="1710"/>
              <w:gridCol w:w="786"/>
              <w:gridCol w:w="474"/>
            </w:tblGrid>
            <w:tr w14:paraId="25CC0CE2">
              <w:trPr>
                <w:trHeight w:val="1134" w:hRule="atLeast"/>
              </w:trPr>
              <w:tc>
                <w:tcPr>
                  <w:tcW w:w="680" w:type="pct"/>
                  <w:noWrap w:val="0"/>
                  <w:vAlign w:val="center"/>
                </w:tcPr>
                <w:p w14:paraId="7E7D4A28">
                  <w:pPr>
                    <w:pStyle w:val="14"/>
                    <w:spacing w:before="0" w:beforeAutospacing="0" w:after="0" w:afterAutospacing="0"/>
                    <w:jc w:val="center"/>
                    <w:outlineLvl w:val="0"/>
                    <w:rPr>
                      <w:rFonts w:ascii="Times New Roman" w:hAnsi="Times New Roman" w:eastAsia="宋体"/>
                      <w:color w:val="auto"/>
                      <w:sz w:val="21"/>
                    </w:rPr>
                  </w:pPr>
                  <w:r>
                    <w:rPr>
                      <w:rFonts w:hint="eastAsia" w:ascii="Times New Roman" w:hAnsi="Times New Roman" w:eastAsia="宋体"/>
                      <w:color w:val="auto"/>
                      <w:sz w:val="21"/>
                    </w:rPr>
                    <w:t>项目</w:t>
                  </w:r>
                </w:p>
              </w:tc>
              <w:tc>
                <w:tcPr>
                  <w:tcW w:w="663" w:type="pct"/>
                  <w:noWrap w:val="0"/>
                  <w:vAlign w:val="center"/>
                </w:tcPr>
                <w:p w14:paraId="004853B1">
                  <w:pPr>
                    <w:pStyle w:val="14"/>
                    <w:spacing w:before="0" w:beforeAutospacing="0" w:after="0" w:afterAutospacing="0"/>
                    <w:jc w:val="center"/>
                    <w:outlineLvl w:val="0"/>
                    <w:rPr>
                      <w:rFonts w:ascii="Times New Roman" w:hAnsi="Times New Roman" w:eastAsia="宋体"/>
                      <w:color w:val="auto"/>
                      <w:sz w:val="21"/>
                    </w:rPr>
                  </w:pPr>
                  <w:r>
                    <w:rPr>
                      <w:rFonts w:hint="eastAsia" w:ascii="Times New Roman" w:hAnsi="Times New Roman" w:eastAsia="宋体"/>
                      <w:color w:val="auto"/>
                      <w:sz w:val="21"/>
                    </w:rPr>
                    <w:t>污染源</w:t>
                  </w:r>
                </w:p>
              </w:tc>
              <w:tc>
                <w:tcPr>
                  <w:tcW w:w="719" w:type="pct"/>
                  <w:noWrap w:val="0"/>
                  <w:vAlign w:val="center"/>
                </w:tcPr>
                <w:p w14:paraId="1CFC6152">
                  <w:pPr>
                    <w:pStyle w:val="14"/>
                    <w:spacing w:before="0" w:beforeAutospacing="0" w:after="0" w:afterAutospacing="0"/>
                    <w:jc w:val="center"/>
                    <w:outlineLvl w:val="0"/>
                    <w:rPr>
                      <w:rFonts w:ascii="Times New Roman" w:hAnsi="Times New Roman" w:eastAsia="宋体"/>
                      <w:color w:val="auto"/>
                      <w:sz w:val="21"/>
                    </w:rPr>
                  </w:pPr>
                  <w:r>
                    <w:rPr>
                      <w:rFonts w:hint="eastAsia" w:ascii="Times New Roman" w:hAnsi="Times New Roman" w:eastAsia="宋体"/>
                      <w:color w:val="auto"/>
                      <w:sz w:val="21"/>
                    </w:rPr>
                    <w:t>污染物</w:t>
                  </w:r>
                </w:p>
              </w:tc>
              <w:tc>
                <w:tcPr>
                  <w:tcW w:w="1061" w:type="pct"/>
                  <w:noWrap w:val="0"/>
                  <w:vAlign w:val="center"/>
                </w:tcPr>
                <w:p w14:paraId="38B52591">
                  <w:pPr>
                    <w:pStyle w:val="14"/>
                    <w:spacing w:before="0" w:beforeAutospacing="0" w:after="0" w:afterAutospacing="0"/>
                    <w:jc w:val="center"/>
                    <w:outlineLvl w:val="0"/>
                    <w:rPr>
                      <w:rFonts w:ascii="Times New Roman" w:hAnsi="Times New Roman" w:eastAsia="宋体"/>
                      <w:color w:val="auto"/>
                      <w:sz w:val="21"/>
                    </w:rPr>
                  </w:pPr>
                  <w:r>
                    <w:rPr>
                      <w:rFonts w:ascii="Times New Roman" w:hAnsi="Times New Roman" w:eastAsia="宋体"/>
                      <w:color w:val="auto"/>
                      <w:sz w:val="21"/>
                    </w:rPr>
                    <w:t>治理措施（设施数量、规模、处理能力等）</w:t>
                  </w:r>
                </w:p>
              </w:tc>
              <w:tc>
                <w:tcPr>
                  <w:tcW w:w="1079" w:type="pct"/>
                  <w:noWrap w:val="0"/>
                  <w:vAlign w:val="center"/>
                </w:tcPr>
                <w:p w14:paraId="28B2E838">
                  <w:pPr>
                    <w:pStyle w:val="14"/>
                    <w:spacing w:before="0" w:beforeAutospacing="0" w:after="0" w:afterAutospacing="0"/>
                    <w:jc w:val="center"/>
                    <w:outlineLvl w:val="0"/>
                    <w:rPr>
                      <w:rFonts w:ascii="Times New Roman" w:hAnsi="Times New Roman" w:eastAsia="宋体"/>
                      <w:color w:val="auto"/>
                      <w:sz w:val="21"/>
                    </w:rPr>
                  </w:pPr>
                  <w:r>
                    <w:rPr>
                      <w:rFonts w:ascii="Times New Roman" w:hAnsi="Times New Roman" w:eastAsia="宋体"/>
                      <w:color w:val="auto"/>
                      <w:sz w:val="21"/>
                    </w:rPr>
                    <w:t>处理效果、执行标准或拟达要求</w:t>
                  </w:r>
                </w:p>
              </w:tc>
              <w:tc>
                <w:tcPr>
                  <w:tcW w:w="496" w:type="pct"/>
                  <w:noWrap w:val="0"/>
                  <w:vAlign w:val="center"/>
                </w:tcPr>
                <w:p w14:paraId="088092B6">
                  <w:pPr>
                    <w:pStyle w:val="14"/>
                    <w:spacing w:before="0" w:beforeAutospacing="0" w:after="0" w:afterAutospacing="0"/>
                    <w:jc w:val="center"/>
                    <w:outlineLvl w:val="0"/>
                    <w:rPr>
                      <w:rFonts w:ascii="Times New Roman" w:hAnsi="Times New Roman" w:eastAsia="宋体"/>
                      <w:color w:val="auto"/>
                      <w:sz w:val="21"/>
                    </w:rPr>
                  </w:pPr>
                  <w:r>
                    <w:rPr>
                      <w:rFonts w:ascii="Times New Roman" w:hAnsi="Times New Roman" w:eastAsia="宋体"/>
                      <w:color w:val="auto"/>
                      <w:sz w:val="21"/>
                    </w:rPr>
                    <w:t>环保投资（万元）</w:t>
                  </w:r>
                </w:p>
              </w:tc>
              <w:tc>
                <w:tcPr>
                  <w:tcW w:w="299" w:type="pct"/>
                  <w:noWrap w:val="0"/>
                  <w:vAlign w:val="center"/>
                </w:tcPr>
                <w:p w14:paraId="3C9684D4">
                  <w:pPr>
                    <w:pStyle w:val="14"/>
                    <w:spacing w:before="0" w:beforeAutospacing="0" w:after="0" w:afterAutospacing="0"/>
                    <w:jc w:val="center"/>
                    <w:outlineLvl w:val="0"/>
                    <w:rPr>
                      <w:rFonts w:hint="eastAsia" w:ascii="Times New Roman" w:hAnsi="Times New Roman" w:eastAsia="宋体"/>
                      <w:color w:val="auto"/>
                      <w:sz w:val="21"/>
                      <w:lang w:val="en-US" w:eastAsia="zh-CN"/>
                    </w:rPr>
                  </w:pPr>
                  <w:r>
                    <w:rPr>
                      <w:rFonts w:hint="eastAsia" w:ascii="Times New Roman" w:hAnsi="Times New Roman"/>
                      <w:color w:val="auto"/>
                      <w:sz w:val="21"/>
                      <w:lang w:val="en-US" w:eastAsia="zh-CN"/>
                    </w:rPr>
                    <w:t>进度</w:t>
                  </w:r>
                </w:p>
              </w:tc>
            </w:tr>
            <w:tr w14:paraId="51E14873">
              <w:trPr>
                <w:trHeight w:val="1634" w:hRule="atLeast"/>
              </w:trPr>
              <w:tc>
                <w:tcPr>
                  <w:tcW w:w="680" w:type="pct"/>
                  <w:vMerge w:val="restart"/>
                  <w:noWrap w:val="0"/>
                  <w:vAlign w:val="center"/>
                </w:tcPr>
                <w:p w14:paraId="7F37962C">
                  <w:pPr>
                    <w:pStyle w:val="14"/>
                    <w:spacing w:before="0" w:beforeAutospacing="0" w:after="0" w:afterAutospacing="0"/>
                    <w:jc w:val="center"/>
                    <w:outlineLvl w:val="0"/>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废气治理</w:t>
                  </w:r>
                </w:p>
              </w:tc>
              <w:tc>
                <w:tcPr>
                  <w:tcW w:w="663" w:type="pct"/>
                  <w:noWrap w:val="0"/>
                  <w:vAlign w:val="center"/>
                </w:tcPr>
                <w:p w14:paraId="728DE980">
                  <w:pPr>
                    <w:pStyle w:val="14"/>
                    <w:spacing w:before="0" w:beforeAutospacing="0" w:after="0" w:afterAutospacing="0"/>
                    <w:jc w:val="center"/>
                    <w:outlineLvl w:val="0"/>
                    <w:rPr>
                      <w:rFonts w:hint="default" w:ascii="Times New Roman" w:hAnsi="Times New Roman" w:eastAsia="宋体"/>
                      <w:color w:val="auto"/>
                      <w:kern w:val="0"/>
                      <w:sz w:val="21"/>
                      <w:szCs w:val="20"/>
                      <w:lang w:val="en-US" w:eastAsia="zh-CN" w:bidi="ar-SA"/>
                    </w:rPr>
                  </w:pPr>
                  <w:r>
                    <w:rPr>
                      <w:rFonts w:hint="eastAsia" w:ascii="Times New Roman" w:hAnsi="Times New Roman"/>
                      <w:color w:val="auto"/>
                      <w:sz w:val="21"/>
                      <w:lang w:val="en-US" w:eastAsia="zh-CN"/>
                    </w:rPr>
                    <w:t>消毒废气</w:t>
                  </w:r>
                </w:p>
              </w:tc>
              <w:tc>
                <w:tcPr>
                  <w:tcW w:w="719" w:type="pct"/>
                  <w:noWrap w:val="0"/>
                  <w:vAlign w:val="center"/>
                </w:tcPr>
                <w:p w14:paraId="32875F48">
                  <w:pPr>
                    <w:pStyle w:val="14"/>
                    <w:spacing w:before="0" w:beforeAutospacing="0" w:after="0" w:afterAutospacing="0"/>
                    <w:jc w:val="center"/>
                    <w:outlineLvl w:val="0"/>
                    <w:rPr>
                      <w:rFonts w:hint="default" w:ascii="Times New Roman" w:hAnsi="Times New Roman" w:eastAsia="宋体"/>
                      <w:color w:val="auto"/>
                      <w:kern w:val="0"/>
                      <w:sz w:val="21"/>
                      <w:szCs w:val="20"/>
                      <w:lang w:val="en-US" w:eastAsia="zh-CN" w:bidi="ar-SA"/>
                    </w:rPr>
                  </w:pPr>
                  <w:r>
                    <w:rPr>
                      <w:rFonts w:hint="eastAsia" w:ascii="Times New Roman" w:hAnsi="Times New Roman" w:eastAsia="宋体"/>
                      <w:color w:val="auto"/>
                      <w:sz w:val="21"/>
                      <w:lang w:val="en-US" w:eastAsia="zh-CN"/>
                    </w:rPr>
                    <w:t>非甲烷总烃</w:t>
                  </w:r>
                </w:p>
              </w:tc>
              <w:tc>
                <w:tcPr>
                  <w:tcW w:w="1061" w:type="pct"/>
                  <w:noWrap w:val="0"/>
                  <w:vAlign w:val="center"/>
                </w:tcPr>
                <w:p w14:paraId="752C4F8A">
                  <w:pPr>
                    <w:pStyle w:val="14"/>
                    <w:spacing w:before="0" w:beforeAutospacing="0" w:after="0" w:afterAutospacing="0"/>
                    <w:jc w:val="center"/>
                    <w:outlineLvl w:val="0"/>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sz w:val="21"/>
                      <w:szCs w:val="21"/>
                      <w:lang w:val="en-US" w:eastAsia="zh-CN"/>
                    </w:rPr>
                    <w:t>密闭</w:t>
                  </w:r>
                  <w:r>
                    <w:rPr>
                      <w:rFonts w:hint="eastAsia" w:ascii="Times New Roman" w:hAnsi="Times New Roman" w:eastAsia="宋体"/>
                      <w:color w:val="auto"/>
                      <w:sz w:val="21"/>
                      <w:szCs w:val="21"/>
                      <w:lang w:val="en-US" w:eastAsia="zh-CN"/>
                    </w:rPr>
                    <w:t>收集</w:t>
                  </w:r>
                  <w:r>
                    <w:rPr>
                      <w:rFonts w:hint="eastAsia" w:ascii="Times New Roman" w:hAnsi="Times New Roman" w:eastAsia="宋体"/>
                      <w:color w:val="auto"/>
                      <w:sz w:val="21"/>
                      <w:szCs w:val="21"/>
                    </w:rPr>
                    <w:t>+</w:t>
                  </w:r>
                  <w:r>
                    <w:rPr>
                      <w:rFonts w:hint="eastAsia" w:ascii="Times New Roman" w:hAnsi="Times New Roman"/>
                      <w:color w:val="auto"/>
                      <w:sz w:val="21"/>
                      <w:szCs w:val="21"/>
                      <w:lang w:val="en-US" w:eastAsia="zh-CN"/>
                    </w:rPr>
                    <w:t>碱喷淋</w:t>
                  </w:r>
                  <w:r>
                    <w:rPr>
                      <w:rFonts w:hint="eastAsia" w:ascii="Times New Roman" w:hAnsi="Times New Roman" w:eastAsia="宋体"/>
                      <w:color w:val="auto"/>
                      <w:sz w:val="21"/>
                      <w:szCs w:val="21"/>
                    </w:rPr>
                    <w:t>+15米高排气筒</w:t>
                  </w:r>
                  <w:r>
                    <w:rPr>
                      <w:rFonts w:hint="eastAsia" w:ascii="Times New Roman" w:hAnsi="Times New Roman" w:eastAsia="宋体"/>
                      <w:color w:val="auto"/>
                      <w:sz w:val="21"/>
                      <w:szCs w:val="21"/>
                      <w:lang w:val="en-US" w:eastAsia="zh-CN"/>
                    </w:rPr>
                    <w:t>DA001</w:t>
                  </w:r>
                  <w:r>
                    <w:rPr>
                      <w:rFonts w:hint="eastAsia" w:ascii="Times New Roman" w:hAnsi="Times New Roman" w:eastAsia="宋体"/>
                      <w:color w:val="auto"/>
                      <w:sz w:val="21"/>
                      <w:szCs w:val="21"/>
                    </w:rPr>
                    <w:t>排放</w:t>
                  </w:r>
                </w:p>
              </w:tc>
              <w:tc>
                <w:tcPr>
                  <w:tcW w:w="1079" w:type="pct"/>
                  <w:noWrap w:val="0"/>
                  <w:vAlign w:val="center"/>
                </w:tcPr>
                <w:p w14:paraId="5E5612AA">
                  <w:pPr>
                    <w:pStyle w:val="36"/>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olor w:val="auto"/>
                      <w:kern w:val="0"/>
                      <w:sz w:val="21"/>
                      <w:szCs w:val="20"/>
                      <w:lang w:val="en-US" w:eastAsia="zh-CN" w:bidi="ar-SA"/>
                    </w:rPr>
                  </w:pPr>
                  <w:r>
                    <w:rPr>
                      <w:rFonts w:ascii="Times New Roman" w:hAnsi="Times New Roman"/>
                      <w:color w:val="auto"/>
                      <w:sz w:val="21"/>
                    </w:rPr>
                    <w:t>《大气污染物综合排放标准》（DB32/4041-2021）</w:t>
                  </w:r>
                  <w:r>
                    <w:rPr>
                      <w:rFonts w:hint="eastAsia" w:ascii="Times New Roman" w:hAnsi="Times New Roman"/>
                      <w:color w:val="auto"/>
                      <w:sz w:val="21"/>
                      <w:lang w:val="en-US" w:eastAsia="zh-CN"/>
                    </w:rPr>
                    <w:t>表1中限值要求</w:t>
                  </w:r>
                </w:p>
              </w:tc>
              <w:tc>
                <w:tcPr>
                  <w:tcW w:w="496" w:type="pct"/>
                  <w:noWrap w:val="0"/>
                  <w:vAlign w:val="center"/>
                </w:tcPr>
                <w:p w14:paraId="7E1AE6F9">
                  <w:pPr>
                    <w:pStyle w:val="14"/>
                    <w:spacing w:before="0" w:beforeAutospacing="0" w:after="0" w:afterAutospacing="0"/>
                    <w:jc w:val="center"/>
                    <w:outlineLvl w:val="0"/>
                    <w:rPr>
                      <w:rFonts w:hint="default" w:ascii="Times New Roman" w:hAnsi="Times New Roman" w:eastAsia="宋体"/>
                      <w:color w:val="auto"/>
                      <w:sz w:val="21"/>
                      <w:lang w:val="en-US" w:eastAsia="zh-CN"/>
                    </w:rPr>
                  </w:pPr>
                  <w:r>
                    <w:rPr>
                      <w:rFonts w:hint="eastAsia" w:ascii="Times New Roman" w:hAnsi="Times New Roman"/>
                      <w:color w:val="auto"/>
                      <w:sz w:val="21"/>
                      <w:lang w:val="en-US" w:eastAsia="zh-CN"/>
                    </w:rPr>
                    <w:t>30</w:t>
                  </w:r>
                </w:p>
              </w:tc>
              <w:tc>
                <w:tcPr>
                  <w:tcW w:w="299" w:type="pct"/>
                  <w:vMerge w:val="restart"/>
                  <w:noWrap w:val="0"/>
                  <w:vAlign w:val="center"/>
                </w:tcPr>
                <w:p w14:paraId="388C3EC1">
                  <w:pPr>
                    <w:pStyle w:val="14"/>
                    <w:spacing w:before="0" w:beforeAutospacing="0" w:after="0" w:afterAutospacing="0"/>
                    <w:jc w:val="center"/>
                    <w:outlineLvl w:val="0"/>
                    <w:rPr>
                      <w:rFonts w:hint="eastAsia" w:ascii="Times New Roman" w:hAnsi="Times New Roman" w:eastAsia="宋体"/>
                      <w:color w:val="auto"/>
                      <w:sz w:val="21"/>
                      <w:lang w:val="en-US" w:eastAsia="zh-CN"/>
                    </w:rPr>
                  </w:pPr>
                  <w:bookmarkStart w:id="45" w:name="_Toc11022"/>
                  <w:bookmarkStart w:id="46" w:name="_Toc21015"/>
                  <w:bookmarkStart w:id="47" w:name="_Toc13513"/>
                  <w:r>
                    <w:rPr>
                      <w:rFonts w:hint="default" w:ascii="Times New Roman" w:hAnsi="Times New Roman"/>
                      <w:color w:val="auto"/>
                      <w:sz w:val="21"/>
                      <w:lang w:val="en-US" w:eastAsia="zh-CN"/>
                    </w:rPr>
                    <w:t>与主体工程同时设计、同时施工、同时投入运行</w:t>
                  </w:r>
                  <w:bookmarkEnd w:id="45"/>
                  <w:bookmarkEnd w:id="46"/>
                  <w:bookmarkEnd w:id="47"/>
                </w:p>
              </w:tc>
            </w:tr>
            <w:tr w14:paraId="4F7B01EC">
              <w:trPr>
                <w:trHeight w:val="1906" w:hRule="atLeast"/>
              </w:trPr>
              <w:tc>
                <w:tcPr>
                  <w:tcW w:w="680" w:type="pct"/>
                  <w:vMerge w:val="continue"/>
                  <w:noWrap w:val="0"/>
                  <w:vAlign w:val="center"/>
                </w:tcPr>
                <w:p w14:paraId="210B5932">
                  <w:pPr>
                    <w:pStyle w:val="14"/>
                    <w:spacing w:before="0" w:beforeAutospacing="0" w:after="0" w:afterAutospacing="0"/>
                    <w:jc w:val="center"/>
                    <w:outlineLvl w:val="0"/>
                    <w:rPr>
                      <w:rFonts w:hint="eastAsia" w:ascii="Times New Roman" w:hAnsi="Times New Roman" w:eastAsia="宋体"/>
                      <w:color w:val="auto"/>
                      <w:sz w:val="21"/>
                      <w:lang w:val="en-US" w:eastAsia="zh-CN"/>
                    </w:rPr>
                  </w:pPr>
                </w:p>
              </w:tc>
              <w:tc>
                <w:tcPr>
                  <w:tcW w:w="663" w:type="pct"/>
                  <w:noWrap w:val="0"/>
                  <w:vAlign w:val="center"/>
                </w:tcPr>
                <w:p w14:paraId="0DE7B569">
                  <w:pPr>
                    <w:pStyle w:val="14"/>
                    <w:spacing w:before="0" w:beforeAutospacing="0" w:after="0" w:afterAutospacing="0"/>
                    <w:jc w:val="center"/>
                    <w:outlineLvl w:val="0"/>
                    <w:rPr>
                      <w:rFonts w:hint="default" w:ascii="Times New Roman" w:hAnsi="Times New Roman"/>
                      <w:color w:val="auto"/>
                      <w:sz w:val="21"/>
                      <w:lang w:val="en-US" w:eastAsia="zh-CN"/>
                    </w:rPr>
                  </w:pPr>
                  <w:r>
                    <w:rPr>
                      <w:rFonts w:hint="eastAsia" w:ascii="Times New Roman" w:hAnsi="Times New Roman"/>
                      <w:color w:val="auto"/>
                      <w:sz w:val="21"/>
                      <w:lang w:val="en-US" w:eastAsia="zh-CN"/>
                    </w:rPr>
                    <w:t>吹瓶废气</w:t>
                  </w:r>
                </w:p>
              </w:tc>
              <w:tc>
                <w:tcPr>
                  <w:tcW w:w="719" w:type="pct"/>
                  <w:noWrap w:val="0"/>
                  <w:vAlign w:val="center"/>
                </w:tcPr>
                <w:p w14:paraId="76D7D64B">
                  <w:pPr>
                    <w:pStyle w:val="14"/>
                    <w:spacing w:before="0" w:beforeAutospacing="0" w:after="0" w:afterAutospacing="0"/>
                    <w:jc w:val="center"/>
                    <w:outlineLvl w:val="0"/>
                    <w:rPr>
                      <w:rFonts w:hint="default" w:ascii="Times New Roman" w:hAnsi="Times New Roman" w:eastAsia="宋体"/>
                      <w:color w:val="auto"/>
                      <w:sz w:val="21"/>
                      <w:lang w:val="en-US" w:eastAsia="zh-CN"/>
                    </w:rPr>
                  </w:pPr>
                  <w:r>
                    <w:rPr>
                      <w:rFonts w:hint="eastAsia" w:ascii="Times New Roman" w:hAnsi="Times New Roman"/>
                      <w:color w:val="auto"/>
                      <w:sz w:val="21"/>
                      <w:lang w:val="en-US" w:eastAsia="zh-CN"/>
                    </w:rPr>
                    <w:t>非甲烷总烃</w:t>
                  </w:r>
                </w:p>
              </w:tc>
              <w:tc>
                <w:tcPr>
                  <w:tcW w:w="1061" w:type="pct"/>
                  <w:noWrap w:val="0"/>
                  <w:vAlign w:val="center"/>
                </w:tcPr>
                <w:p w14:paraId="68EC72BE">
                  <w:pPr>
                    <w:pStyle w:val="14"/>
                    <w:spacing w:before="0" w:beforeAutospacing="0" w:after="0" w:afterAutospacing="0"/>
                    <w:jc w:val="center"/>
                    <w:outlineLvl w:val="0"/>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密闭</w:t>
                  </w:r>
                  <w:r>
                    <w:rPr>
                      <w:rFonts w:hint="eastAsia" w:ascii="Times New Roman" w:hAnsi="Times New Roman" w:eastAsia="宋体"/>
                      <w:color w:val="auto"/>
                      <w:sz w:val="21"/>
                      <w:szCs w:val="21"/>
                      <w:lang w:val="en-US" w:eastAsia="zh-CN"/>
                    </w:rPr>
                    <w:t>收集</w:t>
                  </w:r>
                  <w:r>
                    <w:rPr>
                      <w:rFonts w:hint="eastAsia" w:ascii="Times New Roman" w:hAnsi="Times New Roman" w:eastAsia="宋体"/>
                      <w:color w:val="auto"/>
                      <w:sz w:val="21"/>
                      <w:szCs w:val="21"/>
                    </w:rPr>
                    <w:t>+</w:t>
                  </w:r>
                  <w:r>
                    <w:rPr>
                      <w:rFonts w:hint="eastAsia" w:ascii="Times New Roman" w:hAnsi="Times New Roman"/>
                      <w:color w:val="auto"/>
                      <w:sz w:val="21"/>
                      <w:szCs w:val="21"/>
                      <w:lang w:val="en-US" w:eastAsia="zh-CN"/>
                    </w:rPr>
                    <w:t>二级活性炭吸附装置</w:t>
                  </w:r>
                  <w:r>
                    <w:rPr>
                      <w:rFonts w:hint="eastAsia" w:ascii="Times New Roman" w:hAnsi="Times New Roman" w:eastAsia="宋体"/>
                      <w:color w:val="auto"/>
                      <w:sz w:val="21"/>
                      <w:szCs w:val="21"/>
                    </w:rPr>
                    <w:t>+15米高排气筒</w:t>
                  </w:r>
                  <w:r>
                    <w:rPr>
                      <w:rFonts w:hint="eastAsia" w:ascii="Times New Roman" w:hAnsi="Times New Roman" w:eastAsia="宋体"/>
                      <w:color w:val="auto"/>
                      <w:sz w:val="21"/>
                      <w:szCs w:val="21"/>
                      <w:lang w:val="en-US" w:eastAsia="zh-CN"/>
                    </w:rPr>
                    <w:t>DA00</w:t>
                  </w:r>
                  <w:r>
                    <w:rPr>
                      <w:rFonts w:hint="eastAsia" w:ascii="Times New Roman" w:hAnsi="Times New Roman"/>
                      <w:color w:val="auto"/>
                      <w:sz w:val="21"/>
                      <w:szCs w:val="21"/>
                      <w:lang w:val="en-US" w:eastAsia="zh-CN"/>
                    </w:rPr>
                    <w:t>2</w:t>
                  </w:r>
                  <w:r>
                    <w:rPr>
                      <w:rFonts w:hint="eastAsia" w:ascii="Times New Roman" w:hAnsi="Times New Roman" w:eastAsia="宋体"/>
                      <w:color w:val="auto"/>
                      <w:sz w:val="21"/>
                      <w:szCs w:val="21"/>
                    </w:rPr>
                    <w:t>排放</w:t>
                  </w:r>
                </w:p>
              </w:tc>
              <w:tc>
                <w:tcPr>
                  <w:tcW w:w="1079" w:type="pct"/>
                  <w:noWrap w:val="0"/>
                  <w:vAlign w:val="center"/>
                </w:tcPr>
                <w:p w14:paraId="74318853">
                  <w:pPr>
                    <w:pStyle w:val="36"/>
                    <w:keepNext w:val="0"/>
                    <w:keepLines w:val="0"/>
                    <w:suppressLineNumbers w:val="0"/>
                    <w:bidi w:val="0"/>
                    <w:spacing w:before="0" w:beforeAutospacing="0" w:after="0" w:afterAutospacing="0"/>
                    <w:ind w:left="0" w:right="0"/>
                    <w:rPr>
                      <w:rFonts w:hint="eastAsia" w:ascii="Times New Roman" w:hAnsi="Times New Roman" w:eastAsia="宋体"/>
                      <w:color w:val="auto"/>
                      <w:sz w:val="21"/>
                      <w:lang w:eastAsia="zh-CN"/>
                    </w:rPr>
                  </w:pPr>
                  <w:r>
                    <w:rPr>
                      <w:rFonts w:hint="eastAsia" w:ascii="Times New Roman" w:hAnsi="Times New Roman"/>
                      <w:color w:val="auto"/>
                      <w:sz w:val="21"/>
                    </w:rPr>
                    <w:t>《合成树脂工业污染物排放标准》（GB 31572-2015，含2024年修改单）</w:t>
                  </w:r>
                  <w:r>
                    <w:rPr>
                      <w:rFonts w:hint="eastAsia" w:ascii="Times New Roman" w:hAnsi="Times New Roman"/>
                      <w:color w:val="auto"/>
                      <w:sz w:val="21"/>
                      <w:lang w:val="en-US" w:eastAsia="zh-CN"/>
                    </w:rPr>
                    <w:t>表5中限值要求</w:t>
                  </w:r>
                </w:p>
              </w:tc>
              <w:tc>
                <w:tcPr>
                  <w:tcW w:w="496" w:type="pct"/>
                  <w:noWrap w:val="0"/>
                  <w:vAlign w:val="center"/>
                </w:tcPr>
                <w:p w14:paraId="2F6CD8CB">
                  <w:pPr>
                    <w:pStyle w:val="14"/>
                    <w:spacing w:before="0" w:beforeAutospacing="0" w:after="0" w:afterAutospacing="0"/>
                    <w:jc w:val="center"/>
                    <w:outlineLvl w:val="0"/>
                    <w:rPr>
                      <w:rFonts w:hint="default" w:ascii="Times New Roman" w:hAnsi="Times New Roman"/>
                      <w:color w:val="auto"/>
                      <w:sz w:val="21"/>
                      <w:lang w:val="en-US" w:eastAsia="zh-CN"/>
                    </w:rPr>
                  </w:pPr>
                  <w:r>
                    <w:rPr>
                      <w:rFonts w:hint="eastAsia" w:ascii="Times New Roman" w:hAnsi="Times New Roman"/>
                      <w:color w:val="auto"/>
                      <w:sz w:val="21"/>
                      <w:lang w:val="en-US" w:eastAsia="zh-CN"/>
                    </w:rPr>
                    <w:t>30</w:t>
                  </w:r>
                </w:p>
              </w:tc>
              <w:tc>
                <w:tcPr>
                  <w:tcW w:w="299" w:type="pct"/>
                  <w:vMerge w:val="continue"/>
                  <w:noWrap w:val="0"/>
                  <w:vAlign w:val="center"/>
                </w:tcPr>
                <w:p w14:paraId="7BFB8C67">
                  <w:pPr>
                    <w:pStyle w:val="14"/>
                    <w:spacing w:before="0" w:beforeAutospacing="0" w:after="0" w:afterAutospacing="0"/>
                    <w:jc w:val="center"/>
                    <w:outlineLvl w:val="0"/>
                    <w:rPr>
                      <w:rFonts w:hint="default" w:ascii="Times New Roman" w:hAnsi="Times New Roman"/>
                      <w:color w:val="auto"/>
                      <w:sz w:val="21"/>
                      <w:lang w:val="en-US" w:eastAsia="zh-CN"/>
                    </w:rPr>
                  </w:pPr>
                </w:p>
              </w:tc>
            </w:tr>
            <w:tr w14:paraId="570392FB">
              <w:trPr>
                <w:trHeight w:val="1774" w:hRule="atLeast"/>
              </w:trPr>
              <w:tc>
                <w:tcPr>
                  <w:tcW w:w="680" w:type="pct"/>
                  <w:vMerge w:val="continue"/>
                  <w:noWrap w:val="0"/>
                  <w:vAlign w:val="center"/>
                </w:tcPr>
                <w:p w14:paraId="488C93B3">
                  <w:pPr>
                    <w:pStyle w:val="14"/>
                    <w:spacing w:before="0" w:beforeAutospacing="0" w:after="0" w:afterAutospacing="0"/>
                    <w:jc w:val="center"/>
                    <w:outlineLvl w:val="0"/>
                    <w:rPr>
                      <w:rFonts w:hint="eastAsia" w:ascii="Times New Roman" w:hAnsi="Times New Roman" w:eastAsia="宋体"/>
                      <w:color w:val="auto"/>
                      <w:sz w:val="21"/>
                      <w:lang w:val="en-US" w:eastAsia="zh-CN"/>
                    </w:rPr>
                  </w:pPr>
                </w:p>
              </w:tc>
              <w:tc>
                <w:tcPr>
                  <w:tcW w:w="663" w:type="pct"/>
                  <w:noWrap w:val="0"/>
                  <w:vAlign w:val="center"/>
                </w:tcPr>
                <w:p w14:paraId="6A29FAC1">
                  <w:pPr>
                    <w:pStyle w:val="36"/>
                    <w:keepNext w:val="0"/>
                    <w:keepLines w:val="0"/>
                    <w:suppressLineNumbers w:val="0"/>
                    <w:bidi w:val="0"/>
                    <w:spacing w:before="0" w:beforeAutospacing="0" w:after="0" w:afterAutospacing="0"/>
                    <w:ind w:left="0" w:leftChars="0" w:right="0" w:rightChars="0"/>
                    <w:rPr>
                      <w:rFonts w:hint="eastAsia" w:ascii="Times New Roman" w:hAnsi="Times New Roman"/>
                      <w:color w:val="auto"/>
                      <w:sz w:val="21"/>
                      <w:lang w:val="en-US" w:eastAsia="zh-CN"/>
                    </w:rPr>
                  </w:pPr>
                  <w:r>
                    <w:rPr>
                      <w:rFonts w:hint="eastAsia"/>
                      <w:color w:val="auto"/>
                      <w:lang w:val="en-US" w:eastAsia="zh-CN"/>
                    </w:rPr>
                    <w:t>食堂</w:t>
                  </w:r>
                </w:p>
              </w:tc>
              <w:tc>
                <w:tcPr>
                  <w:tcW w:w="719" w:type="pct"/>
                  <w:noWrap w:val="0"/>
                  <w:vAlign w:val="center"/>
                </w:tcPr>
                <w:p w14:paraId="554F4B4F">
                  <w:pPr>
                    <w:pStyle w:val="36"/>
                    <w:keepNext w:val="0"/>
                    <w:keepLines w:val="0"/>
                    <w:suppressLineNumbers w:val="0"/>
                    <w:bidi w:val="0"/>
                    <w:spacing w:before="0" w:beforeAutospacing="0" w:after="0" w:afterAutospacing="0"/>
                    <w:ind w:left="0" w:leftChars="0" w:right="0" w:rightChars="0"/>
                    <w:rPr>
                      <w:rFonts w:hint="eastAsia" w:ascii="Times New Roman" w:hAnsi="Times New Roman"/>
                      <w:color w:val="auto"/>
                      <w:sz w:val="21"/>
                      <w:lang w:val="en-US" w:eastAsia="zh-CN"/>
                    </w:rPr>
                  </w:pPr>
                  <w:r>
                    <w:rPr>
                      <w:rFonts w:hint="eastAsia"/>
                      <w:color w:val="auto"/>
                    </w:rPr>
                    <w:t>油烟</w:t>
                  </w:r>
                </w:p>
              </w:tc>
              <w:tc>
                <w:tcPr>
                  <w:tcW w:w="1061" w:type="pct"/>
                  <w:noWrap w:val="0"/>
                  <w:vAlign w:val="center"/>
                </w:tcPr>
                <w:p w14:paraId="2E74B6C6">
                  <w:pPr>
                    <w:pStyle w:val="36"/>
                    <w:keepNext w:val="0"/>
                    <w:keepLines w:val="0"/>
                    <w:suppressLineNumbers w:val="0"/>
                    <w:bidi w:val="0"/>
                    <w:spacing w:before="0" w:beforeAutospacing="0" w:after="0" w:afterAutospacing="0"/>
                    <w:ind w:left="0" w:leftChars="0" w:right="0" w:rightChars="0"/>
                    <w:rPr>
                      <w:rFonts w:hint="eastAsia" w:ascii="Times New Roman" w:hAnsi="Times New Roman"/>
                      <w:color w:val="auto"/>
                      <w:sz w:val="21"/>
                      <w:szCs w:val="21"/>
                      <w:lang w:val="en-US" w:eastAsia="zh-CN"/>
                    </w:rPr>
                  </w:pPr>
                  <w:r>
                    <w:rPr>
                      <w:rFonts w:hint="eastAsia"/>
                      <w:color w:val="auto"/>
                    </w:rPr>
                    <w:t>采用油烟净化设施净化处理后经油烟专用烟道排放</w:t>
                  </w:r>
                </w:p>
              </w:tc>
              <w:tc>
                <w:tcPr>
                  <w:tcW w:w="1079" w:type="pct"/>
                  <w:noWrap w:val="0"/>
                  <w:vAlign w:val="center"/>
                </w:tcPr>
                <w:p w14:paraId="37F48D4E">
                  <w:pPr>
                    <w:pStyle w:val="36"/>
                    <w:keepNext w:val="0"/>
                    <w:keepLines w:val="0"/>
                    <w:suppressLineNumbers w:val="0"/>
                    <w:bidi w:val="0"/>
                    <w:spacing w:before="0" w:beforeAutospacing="0" w:after="0" w:afterAutospacing="0"/>
                    <w:ind w:left="0" w:right="0"/>
                    <w:rPr>
                      <w:rFonts w:hint="eastAsia" w:ascii="Times New Roman" w:hAnsi="Times New Roman"/>
                      <w:color w:val="auto"/>
                      <w:sz w:val="21"/>
                      <w:lang w:val="en-US" w:eastAsia="zh-CN"/>
                    </w:rPr>
                  </w:pPr>
                  <w:r>
                    <w:rPr>
                      <w:rFonts w:hint="eastAsia" w:ascii="Times New Roman" w:hAnsi="Times New Roman"/>
                      <w:color w:val="auto"/>
                      <w:sz w:val="21"/>
                    </w:rPr>
                    <w:t>《饮食业油烟排放标准》（试行）（GB18483-2001）</w:t>
                  </w:r>
                  <w:r>
                    <w:rPr>
                      <w:rFonts w:hint="eastAsia" w:ascii="Times New Roman" w:hAnsi="Times New Roman"/>
                      <w:color w:val="auto"/>
                      <w:sz w:val="21"/>
                      <w:lang w:val="en-US" w:eastAsia="zh-CN"/>
                    </w:rPr>
                    <w:t>表2中限值要求</w:t>
                  </w:r>
                </w:p>
              </w:tc>
              <w:tc>
                <w:tcPr>
                  <w:tcW w:w="496" w:type="pct"/>
                  <w:noWrap w:val="0"/>
                  <w:vAlign w:val="center"/>
                </w:tcPr>
                <w:p w14:paraId="217A302D">
                  <w:pPr>
                    <w:pStyle w:val="36"/>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color w:val="auto"/>
                      <w:sz w:val="21"/>
                      <w:lang w:val="en-US" w:eastAsia="zh-CN"/>
                    </w:rPr>
                  </w:pPr>
                  <w:r>
                    <w:rPr>
                      <w:rFonts w:hint="eastAsia" w:ascii="Times New Roman" w:hAnsi="Times New Roman" w:cs="Times New Roman"/>
                      <w:color w:val="auto"/>
                      <w:kern w:val="2"/>
                      <w:sz w:val="21"/>
                      <w:szCs w:val="21"/>
                      <w:lang w:val="en-US" w:eastAsia="zh-CN" w:bidi="ar-SA"/>
                    </w:rPr>
                    <w:t>5</w:t>
                  </w:r>
                </w:p>
              </w:tc>
              <w:tc>
                <w:tcPr>
                  <w:tcW w:w="299" w:type="pct"/>
                  <w:vMerge w:val="continue"/>
                  <w:noWrap w:val="0"/>
                  <w:vAlign w:val="center"/>
                </w:tcPr>
                <w:p w14:paraId="6F6109BE">
                  <w:pPr>
                    <w:pStyle w:val="14"/>
                    <w:spacing w:before="0" w:beforeAutospacing="0" w:after="0" w:afterAutospacing="0"/>
                    <w:jc w:val="center"/>
                    <w:outlineLvl w:val="0"/>
                    <w:rPr>
                      <w:rFonts w:hint="default" w:ascii="Times New Roman" w:hAnsi="Times New Roman"/>
                      <w:color w:val="auto"/>
                      <w:sz w:val="21"/>
                      <w:lang w:val="en-US" w:eastAsia="zh-CN"/>
                    </w:rPr>
                  </w:pPr>
                </w:p>
              </w:tc>
            </w:tr>
            <w:tr w14:paraId="2247D235">
              <w:trPr>
                <w:trHeight w:val="1744" w:hRule="atLeast"/>
              </w:trPr>
              <w:tc>
                <w:tcPr>
                  <w:tcW w:w="680" w:type="pct"/>
                  <w:vMerge w:val="continue"/>
                  <w:noWrap w:val="0"/>
                  <w:vAlign w:val="center"/>
                </w:tcPr>
                <w:p w14:paraId="58252E02">
                  <w:pPr>
                    <w:pStyle w:val="14"/>
                    <w:spacing w:before="0" w:beforeAutospacing="0" w:after="0" w:afterAutospacing="0"/>
                    <w:jc w:val="center"/>
                    <w:outlineLvl w:val="0"/>
                    <w:rPr>
                      <w:rFonts w:hint="eastAsia" w:ascii="Times New Roman" w:hAnsi="Times New Roman" w:eastAsia="宋体"/>
                      <w:color w:val="auto"/>
                      <w:sz w:val="21"/>
                      <w:lang w:val="en-US" w:eastAsia="zh-CN"/>
                    </w:rPr>
                  </w:pPr>
                </w:p>
              </w:tc>
              <w:tc>
                <w:tcPr>
                  <w:tcW w:w="663" w:type="pct"/>
                  <w:noWrap w:val="0"/>
                  <w:vAlign w:val="center"/>
                </w:tcPr>
                <w:p w14:paraId="0133E417">
                  <w:pPr>
                    <w:pStyle w:val="36"/>
                    <w:keepNext w:val="0"/>
                    <w:keepLines w:val="0"/>
                    <w:suppressLineNumbers w:val="0"/>
                    <w:bidi w:val="0"/>
                    <w:spacing w:before="0" w:beforeAutospacing="0" w:after="0" w:afterAutospacing="0"/>
                    <w:ind w:left="0" w:leftChars="0" w:right="0" w:rightChars="0"/>
                    <w:rPr>
                      <w:rFonts w:hint="eastAsia" w:ascii="Times New Roman" w:hAnsi="Times New Roman"/>
                      <w:color w:val="auto"/>
                      <w:sz w:val="21"/>
                      <w:lang w:val="en-US" w:eastAsia="zh-CN"/>
                    </w:rPr>
                  </w:pPr>
                  <w:r>
                    <w:rPr>
                      <w:rFonts w:hint="eastAsia"/>
                      <w:color w:val="auto"/>
                      <w:lang w:val="en-US" w:eastAsia="zh-CN"/>
                    </w:rPr>
                    <w:t>污水处理站</w:t>
                  </w:r>
                </w:p>
              </w:tc>
              <w:tc>
                <w:tcPr>
                  <w:tcW w:w="719" w:type="pct"/>
                  <w:noWrap w:val="0"/>
                  <w:vAlign w:val="center"/>
                </w:tcPr>
                <w:p w14:paraId="44021CF5">
                  <w:pPr>
                    <w:pStyle w:val="36"/>
                    <w:keepNext w:val="0"/>
                    <w:keepLines w:val="0"/>
                    <w:suppressLineNumbers w:val="0"/>
                    <w:bidi w:val="0"/>
                    <w:spacing w:before="0" w:beforeAutospacing="0" w:after="0" w:afterAutospacing="0"/>
                    <w:ind w:left="0" w:leftChars="0" w:right="0" w:rightChars="0"/>
                    <w:rPr>
                      <w:rFonts w:hint="default" w:ascii="Times New Roman" w:hAnsi="Times New Roman" w:eastAsia="宋体"/>
                      <w:color w:val="auto"/>
                      <w:sz w:val="21"/>
                      <w:lang w:val="en-US" w:eastAsia="zh-CN"/>
                    </w:rPr>
                  </w:pPr>
                  <w:r>
                    <w:rPr>
                      <w:rFonts w:hint="eastAsia"/>
                      <w:color w:val="auto"/>
                    </w:rPr>
                    <w:t>氨、硫化氢</w:t>
                  </w:r>
                  <w:r>
                    <w:rPr>
                      <w:rFonts w:hint="eastAsia"/>
                      <w:color w:val="auto"/>
                      <w:lang w:eastAsia="zh-CN"/>
                    </w:rPr>
                    <w:t>、</w:t>
                  </w:r>
                  <w:r>
                    <w:rPr>
                      <w:rFonts w:hint="eastAsia"/>
                      <w:color w:val="auto"/>
                      <w:lang w:val="en-US" w:eastAsia="zh-CN"/>
                    </w:rPr>
                    <w:t>臭气浓度</w:t>
                  </w:r>
                </w:p>
              </w:tc>
              <w:tc>
                <w:tcPr>
                  <w:tcW w:w="1061" w:type="pct"/>
                  <w:noWrap w:val="0"/>
                  <w:vAlign w:val="center"/>
                </w:tcPr>
                <w:p w14:paraId="282BBD14">
                  <w:pPr>
                    <w:pStyle w:val="36"/>
                    <w:keepNext w:val="0"/>
                    <w:keepLines w:val="0"/>
                    <w:suppressLineNumbers w:val="0"/>
                    <w:bidi w:val="0"/>
                    <w:spacing w:before="0" w:beforeAutospacing="0" w:after="0" w:afterAutospacing="0"/>
                    <w:ind w:left="0" w:leftChars="0" w:right="0" w:rightChars="0"/>
                    <w:rPr>
                      <w:rFonts w:hint="eastAsia" w:ascii="Times New Roman" w:hAnsi="Times New Roman"/>
                      <w:color w:val="auto"/>
                      <w:sz w:val="21"/>
                      <w:szCs w:val="21"/>
                      <w:lang w:val="en-US" w:eastAsia="zh-CN"/>
                    </w:rPr>
                  </w:pPr>
                  <w:r>
                    <w:rPr>
                      <w:rFonts w:hint="eastAsia"/>
                      <w:color w:val="auto"/>
                    </w:rPr>
                    <w:t>对厂内污水处理站产生恶臭的区域加盖</w:t>
                  </w:r>
                  <w:r>
                    <w:rPr>
                      <w:rFonts w:hint="eastAsia"/>
                      <w:color w:val="auto"/>
                      <w:lang w:val="en-US" w:eastAsia="zh-CN"/>
                    </w:rPr>
                    <w:t>并</w:t>
                  </w:r>
                  <w:r>
                    <w:rPr>
                      <w:rFonts w:hint="eastAsia"/>
                      <w:color w:val="auto"/>
                    </w:rPr>
                    <w:t>投放除臭剂</w:t>
                  </w:r>
                  <w:r>
                    <w:rPr>
                      <w:rFonts w:hint="eastAsia"/>
                      <w:color w:val="auto"/>
                      <w:lang w:eastAsia="zh-CN"/>
                    </w:rPr>
                    <w:t>，</w:t>
                  </w:r>
                  <w:r>
                    <w:rPr>
                      <w:rFonts w:hint="eastAsia"/>
                      <w:color w:val="auto"/>
                    </w:rPr>
                    <w:t>无组织排放</w:t>
                  </w:r>
                </w:p>
              </w:tc>
              <w:tc>
                <w:tcPr>
                  <w:tcW w:w="1079" w:type="pct"/>
                  <w:noWrap w:val="0"/>
                  <w:vAlign w:val="center"/>
                </w:tcPr>
                <w:p w14:paraId="0AF12B3C">
                  <w:pPr>
                    <w:pStyle w:val="36"/>
                    <w:keepNext w:val="0"/>
                    <w:keepLines w:val="0"/>
                    <w:suppressLineNumbers w:val="0"/>
                    <w:bidi w:val="0"/>
                    <w:spacing w:before="0" w:beforeAutospacing="0" w:after="0" w:afterAutospacing="0"/>
                    <w:ind w:left="0" w:leftChars="0" w:right="0" w:rightChars="0"/>
                    <w:rPr>
                      <w:rFonts w:hint="eastAsia" w:ascii="Times New Roman" w:hAnsi="Times New Roman"/>
                      <w:color w:val="auto"/>
                      <w:sz w:val="21"/>
                      <w:lang w:val="en-US" w:eastAsia="zh-CN"/>
                    </w:rPr>
                  </w:pPr>
                  <w:r>
                    <w:rPr>
                      <w:rFonts w:hint="eastAsia" w:ascii="Times New Roman" w:hAnsi="Times New Roman"/>
                      <w:color w:val="auto"/>
                      <w:sz w:val="21"/>
                    </w:rPr>
                    <w:t>《恶臭污染物排放标准》（</w:t>
                  </w:r>
                  <w:r>
                    <w:rPr>
                      <w:rFonts w:ascii="Times New Roman" w:hAnsi="Times New Roman"/>
                      <w:color w:val="auto"/>
                      <w:sz w:val="21"/>
                    </w:rPr>
                    <w:t>GB14554-93</w:t>
                  </w:r>
                  <w:r>
                    <w:rPr>
                      <w:rFonts w:hint="eastAsia" w:ascii="Times New Roman" w:hAnsi="Times New Roman"/>
                      <w:color w:val="auto"/>
                      <w:sz w:val="21"/>
                    </w:rPr>
                    <w:t>）表</w:t>
                  </w:r>
                  <w:r>
                    <w:rPr>
                      <w:rFonts w:ascii="Times New Roman" w:hAnsi="Times New Roman"/>
                      <w:color w:val="auto"/>
                      <w:sz w:val="21"/>
                    </w:rPr>
                    <w:t>1</w:t>
                  </w:r>
                  <w:r>
                    <w:rPr>
                      <w:rFonts w:hint="eastAsia" w:ascii="Times New Roman" w:hAnsi="Times New Roman"/>
                      <w:color w:val="auto"/>
                      <w:sz w:val="21"/>
                    </w:rPr>
                    <w:t>中二级新改扩建二级标准</w:t>
                  </w:r>
                </w:p>
              </w:tc>
              <w:tc>
                <w:tcPr>
                  <w:tcW w:w="496" w:type="pct"/>
                  <w:noWrap w:val="0"/>
                  <w:vAlign w:val="center"/>
                </w:tcPr>
                <w:p w14:paraId="627FBFAC">
                  <w:pPr>
                    <w:pStyle w:val="36"/>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color w:val="auto"/>
                      <w:sz w:val="21"/>
                      <w:lang w:val="en-US" w:eastAsia="zh-CN"/>
                    </w:rPr>
                  </w:pPr>
                  <w:r>
                    <w:rPr>
                      <w:rFonts w:hint="eastAsia" w:cs="Times New Roman"/>
                      <w:color w:val="auto"/>
                      <w:kern w:val="2"/>
                      <w:sz w:val="21"/>
                      <w:szCs w:val="21"/>
                      <w:lang w:val="en-US" w:eastAsia="zh-CN" w:bidi="ar-SA"/>
                    </w:rPr>
                    <w:t>/</w:t>
                  </w:r>
                </w:p>
              </w:tc>
              <w:tc>
                <w:tcPr>
                  <w:tcW w:w="299" w:type="pct"/>
                  <w:vMerge w:val="continue"/>
                  <w:noWrap w:val="0"/>
                  <w:vAlign w:val="center"/>
                </w:tcPr>
                <w:p w14:paraId="6CAAC083">
                  <w:pPr>
                    <w:pStyle w:val="14"/>
                    <w:spacing w:before="0" w:beforeAutospacing="0" w:after="0" w:afterAutospacing="0"/>
                    <w:jc w:val="center"/>
                    <w:outlineLvl w:val="0"/>
                    <w:rPr>
                      <w:rFonts w:hint="default" w:ascii="Times New Roman" w:hAnsi="Times New Roman"/>
                      <w:color w:val="auto"/>
                      <w:sz w:val="21"/>
                      <w:lang w:val="en-US" w:eastAsia="zh-CN"/>
                    </w:rPr>
                  </w:pPr>
                </w:p>
              </w:tc>
            </w:tr>
            <w:tr w14:paraId="4A53F0BC">
              <w:trPr>
                <w:trHeight w:val="1634" w:hRule="atLeast"/>
              </w:trPr>
              <w:tc>
                <w:tcPr>
                  <w:tcW w:w="680" w:type="pct"/>
                  <w:vMerge w:val="restart"/>
                  <w:noWrap w:val="0"/>
                  <w:vAlign w:val="center"/>
                </w:tcPr>
                <w:p w14:paraId="76B4A2C6">
                  <w:pPr>
                    <w:pStyle w:val="14"/>
                    <w:spacing w:before="0" w:beforeAutospacing="0" w:after="0" w:afterAutospacing="0"/>
                    <w:jc w:val="center"/>
                    <w:outlineLvl w:val="0"/>
                    <w:rPr>
                      <w:rFonts w:ascii="Times New Roman" w:hAnsi="Times New Roman" w:eastAsia="宋体"/>
                      <w:color w:val="auto"/>
                      <w:sz w:val="21"/>
                    </w:rPr>
                  </w:pPr>
                  <w:r>
                    <w:rPr>
                      <w:rFonts w:hint="eastAsia" w:ascii="Times New Roman" w:hAnsi="Times New Roman" w:eastAsia="宋体"/>
                      <w:color w:val="auto"/>
                      <w:sz w:val="21"/>
                    </w:rPr>
                    <w:t>废水治理</w:t>
                  </w:r>
                </w:p>
              </w:tc>
              <w:tc>
                <w:tcPr>
                  <w:tcW w:w="663" w:type="pct"/>
                  <w:noWrap w:val="0"/>
                  <w:vAlign w:val="center"/>
                </w:tcPr>
                <w:p w14:paraId="6A2F8574">
                  <w:pPr>
                    <w:pStyle w:val="36"/>
                    <w:keepNext w:val="0"/>
                    <w:keepLines w:val="0"/>
                    <w:suppressLineNumbers w:val="0"/>
                    <w:bidi w:val="0"/>
                    <w:spacing w:before="0" w:beforeAutospacing="0" w:after="0" w:afterAutospacing="0"/>
                    <w:ind w:left="0" w:leftChars="0" w:right="0" w:rightChars="0"/>
                    <w:rPr>
                      <w:rFonts w:ascii="Times New Roman" w:hAnsi="Times New Roman" w:eastAsia="宋体"/>
                      <w:color w:val="auto"/>
                      <w:sz w:val="21"/>
                    </w:rPr>
                  </w:pPr>
                  <w:r>
                    <w:rPr>
                      <w:rFonts w:hint="eastAsia"/>
                      <w:color w:val="auto"/>
                      <w:lang w:val="en-US" w:eastAsia="zh-CN"/>
                    </w:rPr>
                    <w:t>生活污水（含食堂废水）</w:t>
                  </w:r>
                </w:p>
              </w:tc>
              <w:tc>
                <w:tcPr>
                  <w:tcW w:w="719" w:type="pct"/>
                  <w:noWrap w:val="0"/>
                  <w:vAlign w:val="center"/>
                </w:tcPr>
                <w:p w14:paraId="63D64570">
                  <w:pPr>
                    <w:pStyle w:val="36"/>
                    <w:keepNext w:val="0"/>
                    <w:keepLines w:val="0"/>
                    <w:suppressLineNumbers w:val="0"/>
                    <w:bidi w:val="0"/>
                    <w:spacing w:before="0" w:beforeAutospacing="0" w:after="0" w:afterAutospacing="0"/>
                    <w:ind w:left="0" w:leftChars="0" w:right="0" w:rightChars="0"/>
                    <w:rPr>
                      <w:rFonts w:ascii="Times New Roman" w:hAnsi="Times New Roman" w:eastAsia="宋体"/>
                      <w:color w:val="auto"/>
                      <w:sz w:val="21"/>
                      <w:szCs w:val="21"/>
                    </w:rPr>
                  </w:pPr>
                  <w:r>
                    <w:rPr>
                      <w:rFonts w:hint="eastAsia" w:ascii="Times New Roman" w:hAnsi="Times New Roman" w:eastAsia="宋体"/>
                      <w:color w:val="auto"/>
                      <w:sz w:val="21"/>
                    </w:rPr>
                    <w:t>COD、SS、NH</w:t>
                  </w:r>
                  <w:r>
                    <w:rPr>
                      <w:rFonts w:hint="eastAsia" w:ascii="Times New Roman" w:hAnsi="Times New Roman" w:eastAsia="宋体"/>
                      <w:color w:val="auto"/>
                      <w:sz w:val="21"/>
                      <w:vertAlign w:val="subscript"/>
                    </w:rPr>
                    <w:t>3</w:t>
                  </w:r>
                  <w:r>
                    <w:rPr>
                      <w:rFonts w:hint="eastAsia" w:ascii="Times New Roman" w:hAnsi="Times New Roman" w:eastAsia="宋体"/>
                      <w:color w:val="auto"/>
                      <w:sz w:val="21"/>
                    </w:rPr>
                    <w:t>-N、T</w:t>
                  </w:r>
                  <w:r>
                    <w:rPr>
                      <w:rFonts w:hint="eastAsia" w:ascii="Times New Roman" w:hAnsi="Times New Roman" w:eastAsia="宋体"/>
                      <w:color w:val="auto"/>
                      <w:sz w:val="21"/>
                      <w:lang w:val="en-US" w:eastAsia="zh-CN"/>
                    </w:rPr>
                    <w:t>N</w:t>
                  </w:r>
                  <w:r>
                    <w:rPr>
                      <w:rFonts w:hint="eastAsia" w:ascii="Times New Roman" w:hAnsi="Times New Roman" w:eastAsia="宋体"/>
                      <w:color w:val="auto"/>
                      <w:sz w:val="21"/>
                    </w:rPr>
                    <w:t>、T</w:t>
                  </w:r>
                  <w:r>
                    <w:rPr>
                      <w:rFonts w:hint="eastAsia" w:ascii="Times New Roman" w:hAnsi="Times New Roman" w:eastAsia="宋体"/>
                      <w:color w:val="auto"/>
                      <w:sz w:val="21"/>
                      <w:lang w:val="en-US" w:eastAsia="zh-CN"/>
                    </w:rPr>
                    <w:t>P</w:t>
                  </w:r>
                  <w:r>
                    <w:rPr>
                      <w:rFonts w:hint="eastAsia" w:ascii="Times New Roman" w:hAnsi="Times New Roman"/>
                      <w:color w:val="auto"/>
                      <w:sz w:val="21"/>
                      <w:lang w:val="en-US" w:eastAsia="zh-CN"/>
                    </w:rPr>
                    <w:t>、动植物油</w:t>
                  </w:r>
                </w:p>
              </w:tc>
              <w:tc>
                <w:tcPr>
                  <w:tcW w:w="1061" w:type="pct"/>
                  <w:noWrap w:val="0"/>
                  <w:vAlign w:val="center"/>
                </w:tcPr>
                <w:p w14:paraId="3E292543">
                  <w:pPr>
                    <w:pStyle w:val="36"/>
                    <w:keepNext w:val="0"/>
                    <w:keepLines w:val="0"/>
                    <w:suppressLineNumbers w:val="0"/>
                    <w:bidi w:val="0"/>
                    <w:spacing w:before="0" w:beforeAutospacing="0" w:after="0" w:afterAutospacing="0"/>
                    <w:ind w:left="0" w:leftChars="0" w:right="0" w:rightChars="0"/>
                    <w:rPr>
                      <w:rFonts w:hint="eastAsia" w:ascii="Times New Roman" w:hAnsi="Times New Roman" w:eastAsia="宋体"/>
                      <w:color w:val="auto"/>
                      <w:sz w:val="21"/>
                      <w:szCs w:val="21"/>
                      <w:lang w:val="en-US" w:eastAsia="zh-CN"/>
                    </w:rPr>
                  </w:pPr>
                  <w:r>
                    <w:rPr>
                      <w:rFonts w:hint="eastAsia" w:ascii="Times New Roman" w:hAnsi="Times New Roman"/>
                      <w:color w:val="auto"/>
                      <w:sz w:val="21"/>
                      <w:lang w:val="en-US" w:eastAsia="zh-CN"/>
                    </w:rPr>
                    <w:t>食堂废水经隔油池处理后与生活污水混合经化粪池处理后接管至涟水经济开发区西区污水处理厂处理</w:t>
                  </w:r>
                </w:p>
              </w:tc>
              <w:tc>
                <w:tcPr>
                  <w:tcW w:w="1079" w:type="pct"/>
                  <w:noWrap w:val="0"/>
                  <w:vAlign w:val="center"/>
                </w:tcPr>
                <w:p w14:paraId="406DA082">
                  <w:pPr>
                    <w:pStyle w:val="36"/>
                    <w:keepNext w:val="0"/>
                    <w:keepLines w:val="0"/>
                    <w:suppressLineNumbers w:val="0"/>
                    <w:bidi w:val="0"/>
                    <w:spacing w:before="0" w:beforeAutospacing="0" w:after="0" w:afterAutospacing="0"/>
                    <w:ind w:left="0" w:leftChars="0" w:right="0" w:rightChars="0"/>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达到涟水经济开发区西区污水处理厂接管标准</w:t>
                  </w:r>
                </w:p>
              </w:tc>
              <w:tc>
                <w:tcPr>
                  <w:tcW w:w="496" w:type="pct"/>
                  <w:vMerge w:val="restart"/>
                  <w:noWrap w:val="0"/>
                  <w:vAlign w:val="center"/>
                </w:tcPr>
                <w:p w14:paraId="0EC38FC0">
                  <w:pPr>
                    <w:pStyle w:val="14"/>
                    <w:spacing w:before="0" w:beforeAutospacing="0" w:after="0" w:afterAutospacing="0"/>
                    <w:jc w:val="center"/>
                    <w:outlineLvl w:val="0"/>
                    <w:rPr>
                      <w:rFonts w:hint="default" w:ascii="Times New Roman" w:hAnsi="Times New Roman" w:eastAsia="宋体"/>
                      <w:color w:val="auto"/>
                      <w:sz w:val="21"/>
                      <w:lang w:val="en-US" w:eastAsia="zh-CN"/>
                    </w:rPr>
                  </w:pPr>
                  <w:r>
                    <w:rPr>
                      <w:rFonts w:hint="eastAsia" w:ascii="Times New Roman" w:hAnsi="Times New Roman"/>
                      <w:color w:val="auto"/>
                      <w:sz w:val="21"/>
                      <w:lang w:val="en-US" w:eastAsia="zh-CN"/>
                    </w:rPr>
                    <w:t>55</w:t>
                  </w:r>
                </w:p>
              </w:tc>
              <w:tc>
                <w:tcPr>
                  <w:tcW w:w="299" w:type="pct"/>
                  <w:vMerge w:val="continue"/>
                  <w:noWrap w:val="0"/>
                  <w:vAlign w:val="center"/>
                </w:tcPr>
                <w:p w14:paraId="00BD1445">
                  <w:pPr>
                    <w:pStyle w:val="14"/>
                    <w:spacing w:before="0" w:beforeAutospacing="0" w:after="0" w:afterAutospacing="0"/>
                    <w:jc w:val="center"/>
                    <w:outlineLvl w:val="0"/>
                    <w:rPr>
                      <w:rFonts w:hint="eastAsia" w:ascii="Times New Roman" w:hAnsi="Times New Roman" w:eastAsia="宋体"/>
                      <w:color w:val="auto"/>
                      <w:sz w:val="21"/>
                      <w:lang w:val="en-US" w:eastAsia="zh-CN"/>
                    </w:rPr>
                  </w:pPr>
                </w:p>
              </w:tc>
            </w:tr>
            <w:tr w14:paraId="3D68A83A">
              <w:trPr>
                <w:trHeight w:val="1634" w:hRule="atLeast"/>
              </w:trPr>
              <w:tc>
                <w:tcPr>
                  <w:tcW w:w="680" w:type="pct"/>
                  <w:vMerge w:val="continue"/>
                  <w:noWrap w:val="0"/>
                  <w:vAlign w:val="center"/>
                </w:tcPr>
                <w:p w14:paraId="251BDA3B">
                  <w:pPr>
                    <w:pStyle w:val="14"/>
                    <w:spacing w:before="0" w:beforeAutospacing="0" w:after="0" w:afterAutospacing="0"/>
                    <w:jc w:val="center"/>
                    <w:outlineLvl w:val="0"/>
                    <w:rPr>
                      <w:rFonts w:hint="eastAsia" w:ascii="Times New Roman" w:hAnsi="Times New Roman" w:eastAsia="宋体"/>
                      <w:color w:val="auto"/>
                      <w:sz w:val="21"/>
                    </w:rPr>
                  </w:pPr>
                </w:p>
              </w:tc>
              <w:tc>
                <w:tcPr>
                  <w:tcW w:w="663" w:type="pct"/>
                  <w:noWrap w:val="0"/>
                  <w:vAlign w:val="center"/>
                </w:tcPr>
                <w:p w14:paraId="5E540940">
                  <w:pPr>
                    <w:pStyle w:val="36"/>
                    <w:keepNext w:val="0"/>
                    <w:keepLines w:val="0"/>
                    <w:suppressLineNumbers w:val="0"/>
                    <w:bidi w:val="0"/>
                    <w:spacing w:before="0" w:beforeAutospacing="0" w:after="0" w:afterAutospacing="0"/>
                    <w:ind w:left="0" w:leftChars="0" w:right="0" w:rightChars="0"/>
                    <w:rPr>
                      <w:rFonts w:hint="eastAsia" w:ascii="Times New Roman" w:hAnsi="Times New Roman" w:eastAsia="宋体"/>
                      <w:color w:val="auto"/>
                      <w:sz w:val="21"/>
                      <w:lang w:val="en-US" w:eastAsia="zh-CN"/>
                    </w:rPr>
                  </w:pPr>
                  <w:r>
                    <w:rPr>
                      <w:rFonts w:hint="eastAsia"/>
                      <w:color w:val="auto"/>
                      <w:lang w:val="en-US" w:eastAsia="zh-CN"/>
                    </w:rPr>
                    <w:t>生产废水</w:t>
                  </w:r>
                </w:p>
              </w:tc>
              <w:tc>
                <w:tcPr>
                  <w:tcW w:w="719" w:type="pct"/>
                  <w:noWrap w:val="0"/>
                  <w:vAlign w:val="center"/>
                </w:tcPr>
                <w:p w14:paraId="290044CE">
                  <w:pPr>
                    <w:pStyle w:val="36"/>
                    <w:keepNext w:val="0"/>
                    <w:keepLines w:val="0"/>
                    <w:suppressLineNumbers w:val="0"/>
                    <w:bidi w:val="0"/>
                    <w:spacing w:before="0" w:beforeAutospacing="0" w:after="0" w:afterAutospacing="0"/>
                    <w:ind w:left="0" w:leftChars="0" w:right="0" w:rightChars="0"/>
                    <w:rPr>
                      <w:rFonts w:hint="eastAsia" w:cs="宋体"/>
                      <w:color w:val="auto"/>
                      <w:kern w:val="2"/>
                      <w:sz w:val="21"/>
                      <w:szCs w:val="21"/>
                      <w:lang w:val="en-US" w:eastAsia="zh-CN" w:bidi="ar-SA"/>
                    </w:rPr>
                  </w:pPr>
                  <w:r>
                    <w:rPr>
                      <w:rFonts w:hint="eastAsia" w:ascii="Times New Roman" w:hAnsi="Times New Roman" w:eastAsia="宋体"/>
                      <w:color w:val="auto"/>
                      <w:sz w:val="21"/>
                    </w:rPr>
                    <w:t>COD、SS、</w:t>
                  </w:r>
                  <w:r>
                    <w:rPr>
                      <w:rFonts w:hint="eastAsia" w:ascii="Times New Roman" w:hAnsi="Times New Roman" w:eastAsia="宋体"/>
                      <w:color w:val="auto"/>
                      <w:sz w:val="21"/>
                      <w:lang w:val="en-US" w:eastAsia="zh-CN"/>
                    </w:rPr>
                    <w:t>BOD</w:t>
                  </w:r>
                  <w:r>
                    <w:rPr>
                      <w:rFonts w:hint="eastAsia" w:ascii="Times New Roman" w:hAnsi="Times New Roman" w:eastAsia="宋体"/>
                      <w:color w:val="auto"/>
                      <w:sz w:val="21"/>
                      <w:vertAlign w:val="subscript"/>
                      <w:lang w:val="en-US" w:eastAsia="zh-CN"/>
                    </w:rPr>
                    <w:t>5</w:t>
                  </w:r>
                  <w:r>
                    <w:rPr>
                      <w:rFonts w:hint="eastAsia" w:ascii="Times New Roman" w:hAnsi="Times New Roman" w:eastAsia="宋体"/>
                      <w:color w:val="auto"/>
                      <w:sz w:val="21"/>
                      <w:vertAlign w:val="baseline"/>
                      <w:lang w:val="en-US" w:eastAsia="zh-CN"/>
                    </w:rPr>
                    <w:t>、</w:t>
                  </w:r>
                  <w:r>
                    <w:rPr>
                      <w:rFonts w:hint="eastAsia" w:ascii="Times New Roman" w:hAnsi="Times New Roman" w:eastAsia="宋体"/>
                      <w:color w:val="auto"/>
                      <w:sz w:val="21"/>
                    </w:rPr>
                    <w:t>NH</w:t>
                  </w:r>
                  <w:r>
                    <w:rPr>
                      <w:rFonts w:hint="eastAsia" w:ascii="Times New Roman" w:hAnsi="Times New Roman" w:eastAsia="宋体"/>
                      <w:color w:val="auto"/>
                      <w:sz w:val="21"/>
                      <w:vertAlign w:val="subscript"/>
                    </w:rPr>
                    <w:t>3</w:t>
                  </w:r>
                  <w:r>
                    <w:rPr>
                      <w:rFonts w:hint="eastAsia" w:ascii="Times New Roman" w:hAnsi="Times New Roman" w:eastAsia="宋体"/>
                      <w:color w:val="auto"/>
                      <w:sz w:val="21"/>
                    </w:rPr>
                    <w:t>-N、T</w:t>
                  </w:r>
                  <w:r>
                    <w:rPr>
                      <w:rFonts w:hint="eastAsia" w:ascii="Times New Roman" w:hAnsi="Times New Roman" w:eastAsia="宋体"/>
                      <w:color w:val="auto"/>
                      <w:sz w:val="21"/>
                      <w:lang w:val="en-US" w:eastAsia="zh-CN"/>
                    </w:rPr>
                    <w:t>N</w:t>
                  </w:r>
                  <w:r>
                    <w:rPr>
                      <w:rFonts w:hint="eastAsia" w:ascii="Times New Roman" w:hAnsi="Times New Roman" w:eastAsia="宋体"/>
                      <w:color w:val="auto"/>
                      <w:sz w:val="21"/>
                    </w:rPr>
                    <w:t>、T</w:t>
                  </w:r>
                  <w:r>
                    <w:rPr>
                      <w:rFonts w:hint="eastAsia" w:ascii="Times New Roman" w:hAnsi="Times New Roman" w:eastAsia="宋体"/>
                      <w:color w:val="auto"/>
                      <w:sz w:val="21"/>
                      <w:lang w:val="en-US" w:eastAsia="zh-CN"/>
                    </w:rPr>
                    <w:t>P</w:t>
                  </w:r>
                </w:p>
              </w:tc>
              <w:tc>
                <w:tcPr>
                  <w:tcW w:w="1061" w:type="pct"/>
                  <w:noWrap w:val="0"/>
                  <w:vAlign w:val="center"/>
                </w:tcPr>
                <w:p w14:paraId="09DE4245">
                  <w:pPr>
                    <w:pStyle w:val="36"/>
                    <w:keepNext w:val="0"/>
                    <w:keepLines w:val="0"/>
                    <w:suppressLineNumbers w:val="0"/>
                    <w:bidi w:val="0"/>
                    <w:spacing w:before="0" w:beforeAutospacing="0" w:after="0" w:afterAutospacing="0"/>
                    <w:ind w:left="0" w:leftChars="0" w:right="0" w:rightChars="0"/>
                    <w:rPr>
                      <w:rFonts w:hint="default" w:eastAsia="宋体" w:cs="宋体"/>
                      <w:color w:val="auto"/>
                      <w:kern w:val="2"/>
                      <w:sz w:val="21"/>
                      <w:szCs w:val="21"/>
                      <w:lang w:val="en-US" w:eastAsia="zh-CN" w:bidi="ar-SA"/>
                    </w:rPr>
                  </w:pPr>
                  <w:r>
                    <w:rPr>
                      <w:rFonts w:hint="eastAsia"/>
                      <w:color w:val="auto"/>
                      <w:lang w:val="en-US" w:eastAsia="zh-CN"/>
                    </w:rPr>
                    <w:t>经厂区污水处理站处理</w:t>
                  </w:r>
                  <w:r>
                    <w:rPr>
                      <w:rFonts w:hint="eastAsia" w:ascii="Times New Roman" w:hAnsi="Times New Roman"/>
                      <w:color w:val="auto"/>
                      <w:sz w:val="21"/>
                      <w:lang w:val="en-US" w:eastAsia="zh-CN"/>
                    </w:rPr>
                    <w:t>达标后接管至涟水经济开发区西区污水处理厂处理</w:t>
                  </w:r>
                </w:p>
              </w:tc>
              <w:tc>
                <w:tcPr>
                  <w:tcW w:w="1079" w:type="pct"/>
                  <w:noWrap w:val="0"/>
                  <w:vAlign w:val="center"/>
                </w:tcPr>
                <w:p w14:paraId="12B58978">
                  <w:pPr>
                    <w:pStyle w:val="36"/>
                    <w:keepNext w:val="0"/>
                    <w:keepLines w:val="0"/>
                    <w:suppressLineNumbers w:val="0"/>
                    <w:bidi w:val="0"/>
                    <w:spacing w:before="0" w:beforeAutospacing="0" w:after="0" w:afterAutospacing="0"/>
                    <w:ind w:left="0" w:leftChars="0" w:right="0" w:rightChars="0"/>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达到涟水经济开发区西区污水处理厂接管标准</w:t>
                  </w:r>
                </w:p>
              </w:tc>
              <w:tc>
                <w:tcPr>
                  <w:tcW w:w="496" w:type="pct"/>
                  <w:vMerge w:val="continue"/>
                  <w:noWrap w:val="0"/>
                  <w:vAlign w:val="center"/>
                </w:tcPr>
                <w:p w14:paraId="770208F8">
                  <w:pPr>
                    <w:pStyle w:val="14"/>
                    <w:spacing w:before="0" w:beforeAutospacing="0" w:after="0" w:afterAutospacing="0"/>
                    <w:jc w:val="center"/>
                    <w:outlineLvl w:val="0"/>
                    <w:rPr>
                      <w:rFonts w:hint="eastAsia" w:ascii="Times New Roman" w:hAnsi="Times New Roman" w:eastAsia="宋体"/>
                      <w:color w:val="auto"/>
                      <w:sz w:val="21"/>
                      <w:lang w:val="en-US" w:eastAsia="zh-CN"/>
                    </w:rPr>
                  </w:pPr>
                </w:p>
              </w:tc>
              <w:tc>
                <w:tcPr>
                  <w:tcW w:w="299" w:type="pct"/>
                  <w:vMerge w:val="continue"/>
                  <w:noWrap w:val="0"/>
                  <w:vAlign w:val="center"/>
                </w:tcPr>
                <w:p w14:paraId="53FCFD4C">
                  <w:pPr>
                    <w:pStyle w:val="14"/>
                    <w:spacing w:before="0" w:beforeAutospacing="0" w:after="0" w:afterAutospacing="0"/>
                    <w:jc w:val="center"/>
                    <w:outlineLvl w:val="0"/>
                    <w:rPr>
                      <w:rFonts w:hint="eastAsia" w:ascii="Times New Roman" w:hAnsi="Times New Roman" w:eastAsia="宋体"/>
                      <w:color w:val="auto"/>
                      <w:sz w:val="21"/>
                      <w:lang w:val="en-US" w:eastAsia="zh-CN"/>
                    </w:rPr>
                  </w:pPr>
                </w:p>
              </w:tc>
            </w:tr>
            <w:tr w14:paraId="56FB207F">
              <w:trPr>
                <w:trHeight w:val="787" w:hRule="atLeast"/>
              </w:trPr>
              <w:tc>
                <w:tcPr>
                  <w:tcW w:w="680" w:type="pct"/>
                  <w:noWrap w:val="0"/>
                  <w:vAlign w:val="center"/>
                </w:tcPr>
                <w:p w14:paraId="3144C36E">
                  <w:pPr>
                    <w:pStyle w:val="14"/>
                    <w:spacing w:before="0" w:beforeAutospacing="0" w:after="0" w:afterAutospacing="0"/>
                    <w:jc w:val="center"/>
                    <w:outlineLvl w:val="0"/>
                    <w:rPr>
                      <w:rFonts w:ascii="Times New Roman" w:hAnsi="Times New Roman" w:eastAsia="宋体"/>
                      <w:color w:val="auto"/>
                      <w:sz w:val="21"/>
                    </w:rPr>
                  </w:pPr>
                  <w:r>
                    <w:rPr>
                      <w:rFonts w:hint="eastAsia" w:ascii="Times New Roman" w:hAnsi="Times New Roman" w:eastAsia="宋体"/>
                      <w:color w:val="auto"/>
                      <w:sz w:val="21"/>
                    </w:rPr>
                    <w:t>噪声治理</w:t>
                  </w:r>
                </w:p>
              </w:tc>
              <w:tc>
                <w:tcPr>
                  <w:tcW w:w="663" w:type="pct"/>
                  <w:noWrap w:val="0"/>
                  <w:vAlign w:val="center"/>
                </w:tcPr>
                <w:p w14:paraId="2097292B">
                  <w:pPr>
                    <w:pStyle w:val="14"/>
                    <w:spacing w:before="0" w:beforeAutospacing="0" w:after="0" w:afterAutospacing="0"/>
                    <w:jc w:val="center"/>
                    <w:outlineLvl w:val="0"/>
                    <w:rPr>
                      <w:rFonts w:hint="eastAsia" w:ascii="Times New Roman" w:hAnsi="Times New Roman" w:eastAsia="宋体"/>
                      <w:color w:val="auto"/>
                      <w:sz w:val="21"/>
                    </w:rPr>
                  </w:pPr>
                  <w:r>
                    <w:rPr>
                      <w:rFonts w:hint="eastAsia" w:ascii="Times New Roman" w:hAnsi="Times New Roman" w:eastAsia="宋体"/>
                      <w:color w:val="auto"/>
                      <w:sz w:val="21"/>
                    </w:rPr>
                    <w:t>生产</w:t>
                  </w:r>
                </w:p>
                <w:p w14:paraId="3E4C3FEA">
                  <w:pPr>
                    <w:pStyle w:val="14"/>
                    <w:spacing w:before="0" w:beforeAutospacing="0" w:after="0" w:afterAutospacing="0"/>
                    <w:jc w:val="center"/>
                    <w:outlineLvl w:val="0"/>
                    <w:rPr>
                      <w:rFonts w:ascii="Times New Roman" w:hAnsi="Times New Roman" w:eastAsia="宋体"/>
                      <w:color w:val="auto"/>
                      <w:sz w:val="21"/>
                    </w:rPr>
                  </w:pPr>
                  <w:r>
                    <w:rPr>
                      <w:rFonts w:hint="eastAsia" w:ascii="Times New Roman" w:hAnsi="Times New Roman" w:eastAsia="宋体"/>
                      <w:color w:val="auto"/>
                      <w:sz w:val="21"/>
                    </w:rPr>
                    <w:t>设备</w:t>
                  </w:r>
                </w:p>
              </w:tc>
              <w:tc>
                <w:tcPr>
                  <w:tcW w:w="719" w:type="pct"/>
                  <w:noWrap w:val="0"/>
                  <w:vAlign w:val="center"/>
                </w:tcPr>
                <w:p w14:paraId="5C8321DC">
                  <w:pPr>
                    <w:pStyle w:val="14"/>
                    <w:spacing w:before="0" w:beforeAutospacing="0" w:after="0" w:afterAutospacing="0"/>
                    <w:jc w:val="center"/>
                    <w:outlineLvl w:val="0"/>
                    <w:rPr>
                      <w:rFonts w:ascii="Times New Roman" w:hAnsi="Times New Roman" w:eastAsia="宋体"/>
                      <w:color w:val="auto"/>
                      <w:sz w:val="21"/>
                    </w:rPr>
                  </w:pPr>
                  <w:r>
                    <w:rPr>
                      <w:rFonts w:hint="eastAsia" w:ascii="Times New Roman" w:hAnsi="Times New Roman" w:eastAsia="宋体"/>
                      <w:color w:val="auto"/>
                      <w:sz w:val="21"/>
                    </w:rPr>
                    <w:t>噪声</w:t>
                  </w:r>
                </w:p>
              </w:tc>
              <w:tc>
                <w:tcPr>
                  <w:tcW w:w="1061" w:type="pct"/>
                  <w:noWrap w:val="0"/>
                  <w:vAlign w:val="center"/>
                </w:tcPr>
                <w:p w14:paraId="29DE6F09">
                  <w:pPr>
                    <w:pStyle w:val="14"/>
                    <w:spacing w:before="0" w:beforeAutospacing="0" w:after="0" w:afterAutospacing="0"/>
                    <w:jc w:val="center"/>
                    <w:outlineLvl w:val="0"/>
                    <w:rPr>
                      <w:rFonts w:ascii="Times New Roman" w:hAnsi="Times New Roman" w:eastAsia="宋体"/>
                      <w:color w:val="auto"/>
                      <w:sz w:val="21"/>
                    </w:rPr>
                  </w:pPr>
                  <w:r>
                    <w:rPr>
                      <w:rFonts w:ascii="Times New Roman" w:hAnsi="Times New Roman" w:eastAsia="宋体"/>
                      <w:color w:val="auto"/>
                      <w:sz w:val="21"/>
                    </w:rPr>
                    <w:t>合理布局、基础</w:t>
                  </w:r>
                  <w:r>
                    <w:rPr>
                      <w:rFonts w:hint="eastAsia" w:ascii="Times New Roman" w:hAnsi="Times New Roman" w:eastAsia="宋体"/>
                      <w:color w:val="auto"/>
                      <w:sz w:val="21"/>
                      <w:lang w:val="en-US" w:eastAsia="zh-CN"/>
                    </w:rPr>
                    <w:t>减</w:t>
                  </w:r>
                  <w:r>
                    <w:rPr>
                      <w:rFonts w:ascii="Times New Roman" w:hAnsi="Times New Roman" w:eastAsia="宋体"/>
                      <w:color w:val="auto"/>
                      <w:sz w:val="21"/>
                    </w:rPr>
                    <w:t>震、墙体隔声</w:t>
                  </w:r>
                </w:p>
              </w:tc>
              <w:tc>
                <w:tcPr>
                  <w:tcW w:w="1079" w:type="pct"/>
                  <w:noWrap w:val="0"/>
                  <w:vAlign w:val="center"/>
                </w:tcPr>
                <w:p w14:paraId="4B3FC453">
                  <w:pPr>
                    <w:pStyle w:val="14"/>
                    <w:spacing w:before="0" w:beforeAutospacing="0" w:after="0" w:afterAutospacing="0"/>
                    <w:jc w:val="center"/>
                    <w:outlineLvl w:val="0"/>
                    <w:rPr>
                      <w:rFonts w:ascii="Times New Roman" w:hAnsi="Times New Roman" w:eastAsia="宋体"/>
                      <w:color w:val="auto"/>
                      <w:sz w:val="21"/>
                    </w:rPr>
                  </w:pPr>
                  <w:r>
                    <w:rPr>
                      <w:rFonts w:hint="eastAsia" w:ascii="Times New Roman" w:hAnsi="Times New Roman" w:eastAsia="宋体"/>
                      <w:color w:val="auto"/>
                      <w:sz w:val="21"/>
                    </w:rPr>
                    <w:t>厂界达标</w:t>
                  </w:r>
                </w:p>
              </w:tc>
              <w:tc>
                <w:tcPr>
                  <w:tcW w:w="496" w:type="pct"/>
                  <w:noWrap w:val="0"/>
                  <w:vAlign w:val="center"/>
                </w:tcPr>
                <w:p w14:paraId="3DD63CBB">
                  <w:pPr>
                    <w:pStyle w:val="14"/>
                    <w:spacing w:before="0" w:beforeAutospacing="0" w:after="0" w:afterAutospacing="0"/>
                    <w:jc w:val="center"/>
                    <w:outlineLvl w:val="0"/>
                    <w:rPr>
                      <w:rFonts w:hint="eastAsia" w:ascii="Times New Roman" w:hAnsi="Times New Roman" w:eastAsia="宋体"/>
                      <w:color w:val="auto"/>
                      <w:sz w:val="21"/>
                      <w:lang w:eastAsia="zh-CN"/>
                    </w:rPr>
                  </w:pPr>
                  <w:r>
                    <w:rPr>
                      <w:rFonts w:hint="eastAsia" w:ascii="Times New Roman" w:hAnsi="Times New Roman"/>
                      <w:color w:val="auto"/>
                      <w:sz w:val="21"/>
                      <w:lang w:val="en-US" w:eastAsia="zh-CN"/>
                    </w:rPr>
                    <w:t>4</w:t>
                  </w:r>
                </w:p>
              </w:tc>
              <w:tc>
                <w:tcPr>
                  <w:tcW w:w="299" w:type="pct"/>
                  <w:vMerge w:val="continue"/>
                  <w:noWrap w:val="0"/>
                  <w:vAlign w:val="center"/>
                </w:tcPr>
                <w:p w14:paraId="5AD841D1">
                  <w:pPr>
                    <w:pStyle w:val="14"/>
                    <w:spacing w:before="0" w:beforeAutospacing="0" w:after="0" w:afterAutospacing="0"/>
                    <w:jc w:val="center"/>
                    <w:outlineLvl w:val="0"/>
                    <w:rPr>
                      <w:rFonts w:hint="eastAsia" w:ascii="Times New Roman" w:hAnsi="Times New Roman" w:eastAsia="宋体"/>
                      <w:color w:val="auto"/>
                      <w:sz w:val="21"/>
                    </w:rPr>
                  </w:pPr>
                </w:p>
              </w:tc>
            </w:tr>
            <w:tr w14:paraId="2A49781B">
              <w:trPr>
                <w:trHeight w:val="1039" w:hRule="atLeast"/>
              </w:trPr>
              <w:tc>
                <w:tcPr>
                  <w:tcW w:w="680" w:type="pct"/>
                  <w:vMerge w:val="restart"/>
                  <w:noWrap w:val="0"/>
                  <w:vAlign w:val="center"/>
                </w:tcPr>
                <w:p w14:paraId="102134FC">
                  <w:pPr>
                    <w:pStyle w:val="14"/>
                    <w:spacing w:before="0" w:beforeAutospacing="0" w:after="0" w:afterAutospacing="0"/>
                    <w:jc w:val="center"/>
                    <w:outlineLvl w:val="0"/>
                    <w:rPr>
                      <w:rFonts w:ascii="Times New Roman" w:hAnsi="Times New Roman" w:eastAsia="宋体"/>
                      <w:color w:val="auto"/>
                      <w:sz w:val="21"/>
                    </w:rPr>
                  </w:pPr>
                  <w:r>
                    <w:rPr>
                      <w:rFonts w:hint="eastAsia" w:ascii="Times New Roman" w:hAnsi="Times New Roman" w:eastAsia="宋体"/>
                      <w:color w:val="auto"/>
                      <w:sz w:val="21"/>
                    </w:rPr>
                    <w:t>固废处理</w:t>
                  </w:r>
                </w:p>
              </w:tc>
              <w:tc>
                <w:tcPr>
                  <w:tcW w:w="663" w:type="pct"/>
                  <w:shd w:val="clear" w:color="auto" w:fill="auto"/>
                  <w:noWrap w:val="0"/>
                  <w:vAlign w:val="center"/>
                </w:tcPr>
                <w:p w14:paraId="3CF55403">
                  <w:pPr>
                    <w:pStyle w:val="36"/>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原辅料包装、产品包装</w:t>
                  </w:r>
                </w:p>
              </w:tc>
              <w:tc>
                <w:tcPr>
                  <w:tcW w:w="719" w:type="pct"/>
                  <w:noWrap w:val="0"/>
                  <w:vAlign w:val="center"/>
                </w:tcPr>
                <w:p w14:paraId="628BB4DC">
                  <w:pPr>
                    <w:pStyle w:val="17"/>
                    <w:spacing w:line="240" w:lineRule="auto"/>
                    <w:ind w:left="0" w:leftChars="0" w:firstLine="0" w:firstLineChars="0"/>
                    <w:jc w:val="center"/>
                    <w:rPr>
                      <w:rFonts w:hint="default" w:ascii="Times New Roman" w:hAnsi="Times New Roman" w:eastAsia="宋体"/>
                      <w:color w:val="auto"/>
                      <w:sz w:val="21"/>
                      <w:lang w:val="en-US" w:eastAsia="zh-CN"/>
                    </w:rPr>
                  </w:pPr>
                  <w:r>
                    <w:rPr>
                      <w:rFonts w:hint="eastAsia" w:ascii="Times New Roman" w:hAnsi="Times New Roman" w:cs="Times New Roman"/>
                      <w:b w:val="0"/>
                      <w:color w:val="auto"/>
                      <w:sz w:val="21"/>
                      <w:szCs w:val="18"/>
                      <w:lang w:val="en-US" w:eastAsia="zh-CN"/>
                    </w:rPr>
                    <w:t>一般包装材料</w:t>
                  </w:r>
                </w:p>
              </w:tc>
              <w:tc>
                <w:tcPr>
                  <w:tcW w:w="1061" w:type="pct"/>
                  <w:vMerge w:val="restart"/>
                  <w:noWrap w:val="0"/>
                  <w:vAlign w:val="center"/>
                </w:tcPr>
                <w:p w14:paraId="47898819">
                  <w:pPr>
                    <w:pStyle w:val="14"/>
                    <w:spacing w:before="0" w:beforeAutospacing="0" w:after="0" w:afterAutospacing="0"/>
                    <w:jc w:val="center"/>
                    <w:outlineLvl w:val="0"/>
                    <w:rPr>
                      <w:rFonts w:hint="default" w:ascii="Times New Roman" w:hAnsi="Times New Roman" w:eastAsia="宋体"/>
                      <w:color w:val="auto"/>
                      <w:sz w:val="21"/>
                      <w:lang w:val="en-US" w:eastAsia="zh-CN"/>
                    </w:rPr>
                  </w:pPr>
                  <w:r>
                    <w:rPr>
                      <w:rFonts w:ascii="Times New Roman" w:hAnsi="Times New Roman" w:eastAsia="宋体"/>
                      <w:color w:val="auto"/>
                      <w:sz w:val="21"/>
                    </w:rPr>
                    <w:t>设置1个</w:t>
                  </w:r>
                  <w:r>
                    <w:rPr>
                      <w:rFonts w:hint="eastAsia" w:ascii="Times New Roman" w:hAnsi="Times New Roman"/>
                      <w:color w:val="auto"/>
                      <w:sz w:val="21"/>
                      <w:lang w:val="en-US" w:eastAsia="zh-CN"/>
                    </w:rPr>
                    <w:t>15</w:t>
                  </w:r>
                  <w:r>
                    <w:rPr>
                      <w:rFonts w:hint="eastAsia" w:ascii="Times New Roman" w:hAnsi="Times New Roman" w:eastAsia="宋体"/>
                      <w:color w:val="auto"/>
                      <w:sz w:val="21"/>
                      <w:lang w:val="en-US" w:eastAsia="zh-CN"/>
                    </w:rPr>
                    <w:t>0</w:t>
                  </w:r>
                  <w:r>
                    <w:rPr>
                      <w:rFonts w:ascii="Times New Roman" w:hAnsi="Times New Roman" w:eastAsia="宋体"/>
                      <w:color w:val="auto"/>
                      <w:sz w:val="21"/>
                    </w:rPr>
                    <w:t>m</w:t>
                  </w:r>
                  <w:r>
                    <w:rPr>
                      <w:rFonts w:ascii="Times New Roman" w:hAnsi="Times New Roman" w:eastAsia="宋体"/>
                      <w:color w:val="auto"/>
                      <w:sz w:val="21"/>
                      <w:vertAlign w:val="superscript"/>
                    </w:rPr>
                    <w:t>2</w:t>
                  </w:r>
                  <w:r>
                    <w:rPr>
                      <w:rFonts w:ascii="Times New Roman" w:hAnsi="Times New Roman" w:eastAsia="宋体"/>
                      <w:color w:val="auto"/>
                      <w:sz w:val="21"/>
                    </w:rPr>
                    <w:t>一般固废暂存区，</w:t>
                  </w:r>
                  <w:r>
                    <w:rPr>
                      <w:rFonts w:hint="eastAsia" w:ascii="Times New Roman" w:hAnsi="Times New Roman"/>
                      <w:color w:val="auto"/>
                      <w:sz w:val="21"/>
                      <w:lang w:val="en-US" w:eastAsia="zh-CN"/>
                    </w:rPr>
                    <w:t>一般包装材料、滤渣、茶叶渣</w:t>
                  </w:r>
                  <w:r>
                    <w:rPr>
                      <w:rFonts w:ascii="Times New Roman" w:hAnsi="Times New Roman" w:eastAsia="宋体"/>
                      <w:color w:val="auto"/>
                      <w:sz w:val="21"/>
                    </w:rPr>
                    <w:t>外售给废旧资源回收公司</w:t>
                  </w:r>
                  <w:r>
                    <w:rPr>
                      <w:rFonts w:hint="eastAsia" w:ascii="Times New Roman" w:hAnsi="Times New Roman"/>
                      <w:color w:val="auto"/>
                      <w:sz w:val="21"/>
                      <w:lang w:eastAsia="zh-CN"/>
                    </w:rPr>
                    <w:t>，废石英砂、活性炭和滤膜</w:t>
                  </w:r>
                  <w:r>
                    <w:rPr>
                      <w:rFonts w:hint="eastAsia" w:ascii="Times New Roman" w:hAnsi="Times New Roman"/>
                      <w:color w:val="auto"/>
                      <w:sz w:val="21"/>
                      <w:lang w:val="en-US" w:eastAsia="zh-CN"/>
                    </w:rPr>
                    <w:t>由厂家回收，污水处理污泥委托一般污泥处置单位利用处置</w:t>
                  </w:r>
                </w:p>
              </w:tc>
              <w:tc>
                <w:tcPr>
                  <w:tcW w:w="1079" w:type="pct"/>
                  <w:vMerge w:val="restart"/>
                  <w:noWrap w:val="0"/>
                  <w:vAlign w:val="center"/>
                </w:tcPr>
                <w:p w14:paraId="377DB675">
                  <w:pPr>
                    <w:pStyle w:val="14"/>
                    <w:spacing w:before="0" w:beforeAutospacing="0" w:after="0" w:afterAutospacing="0"/>
                    <w:jc w:val="center"/>
                    <w:outlineLvl w:val="0"/>
                    <w:rPr>
                      <w:rFonts w:ascii="Times New Roman" w:hAnsi="Times New Roman" w:eastAsia="宋体"/>
                      <w:color w:val="auto"/>
                      <w:sz w:val="21"/>
                    </w:rPr>
                  </w:pPr>
                  <w:r>
                    <w:rPr>
                      <w:rFonts w:hint="eastAsia" w:ascii="Times New Roman" w:hAnsi="Times New Roman" w:eastAsia="宋体"/>
                      <w:color w:val="auto"/>
                      <w:sz w:val="21"/>
                    </w:rPr>
                    <w:t>零排放</w:t>
                  </w:r>
                </w:p>
              </w:tc>
              <w:tc>
                <w:tcPr>
                  <w:tcW w:w="496" w:type="pct"/>
                  <w:vMerge w:val="restart"/>
                  <w:noWrap w:val="0"/>
                  <w:vAlign w:val="center"/>
                </w:tcPr>
                <w:p w14:paraId="4BF73A02">
                  <w:pPr>
                    <w:pStyle w:val="14"/>
                    <w:spacing w:before="0" w:beforeAutospacing="0" w:after="0" w:afterAutospacing="0"/>
                    <w:jc w:val="center"/>
                    <w:outlineLvl w:val="0"/>
                    <w:rPr>
                      <w:rFonts w:ascii="Times New Roman" w:hAnsi="Times New Roman" w:eastAsia="宋体"/>
                      <w:color w:val="auto"/>
                      <w:sz w:val="21"/>
                    </w:rPr>
                  </w:pPr>
                </w:p>
                <w:p w14:paraId="0C5456DD">
                  <w:pPr>
                    <w:pStyle w:val="14"/>
                    <w:spacing w:before="0" w:beforeAutospacing="0" w:after="0" w:afterAutospacing="0"/>
                    <w:jc w:val="center"/>
                    <w:outlineLvl w:val="0"/>
                    <w:rPr>
                      <w:rFonts w:ascii="Times New Roman" w:hAnsi="Times New Roman" w:eastAsia="宋体"/>
                      <w:color w:val="auto"/>
                      <w:sz w:val="21"/>
                    </w:rPr>
                  </w:pPr>
                </w:p>
                <w:p w14:paraId="0C2AB0B9">
                  <w:pPr>
                    <w:pStyle w:val="14"/>
                    <w:spacing w:before="0" w:beforeAutospacing="0" w:after="0" w:afterAutospacing="0"/>
                    <w:jc w:val="center"/>
                    <w:outlineLvl w:val="0"/>
                    <w:rPr>
                      <w:rFonts w:ascii="Times New Roman" w:hAnsi="Times New Roman" w:eastAsia="宋体"/>
                      <w:color w:val="auto"/>
                      <w:sz w:val="21"/>
                    </w:rPr>
                  </w:pPr>
                </w:p>
                <w:p w14:paraId="07EC5423">
                  <w:pPr>
                    <w:pStyle w:val="14"/>
                    <w:spacing w:before="0" w:beforeAutospacing="0" w:after="0" w:afterAutospacing="0"/>
                    <w:jc w:val="center"/>
                    <w:outlineLvl w:val="0"/>
                    <w:rPr>
                      <w:rFonts w:hint="eastAsia" w:ascii="Times New Roman" w:hAnsi="Times New Roman" w:eastAsia="宋体"/>
                      <w:color w:val="auto"/>
                      <w:sz w:val="21"/>
                      <w:lang w:eastAsia="zh-CN"/>
                    </w:rPr>
                  </w:pPr>
                  <w:r>
                    <w:rPr>
                      <w:rFonts w:hint="eastAsia" w:ascii="Times New Roman" w:hAnsi="Times New Roman"/>
                      <w:color w:val="auto"/>
                      <w:sz w:val="21"/>
                      <w:lang w:val="en-US" w:eastAsia="zh-CN"/>
                    </w:rPr>
                    <w:t>1</w:t>
                  </w:r>
                </w:p>
              </w:tc>
              <w:tc>
                <w:tcPr>
                  <w:tcW w:w="299" w:type="pct"/>
                  <w:vMerge w:val="continue"/>
                  <w:noWrap w:val="0"/>
                  <w:vAlign w:val="center"/>
                </w:tcPr>
                <w:p w14:paraId="53F44C72">
                  <w:pPr>
                    <w:pStyle w:val="14"/>
                    <w:spacing w:before="0" w:beforeAutospacing="0" w:after="0" w:afterAutospacing="0"/>
                    <w:jc w:val="center"/>
                    <w:outlineLvl w:val="0"/>
                    <w:rPr>
                      <w:rFonts w:hint="eastAsia" w:ascii="Times New Roman" w:hAnsi="Times New Roman" w:eastAsia="宋体"/>
                      <w:color w:val="auto"/>
                      <w:sz w:val="21"/>
                    </w:rPr>
                  </w:pPr>
                </w:p>
              </w:tc>
            </w:tr>
            <w:tr w14:paraId="4B1A41C6">
              <w:trPr>
                <w:trHeight w:val="708" w:hRule="atLeast"/>
              </w:trPr>
              <w:tc>
                <w:tcPr>
                  <w:tcW w:w="680" w:type="pct"/>
                  <w:vMerge w:val="continue"/>
                  <w:noWrap w:val="0"/>
                  <w:vAlign w:val="center"/>
                </w:tcPr>
                <w:p w14:paraId="53730153">
                  <w:pPr>
                    <w:pStyle w:val="14"/>
                    <w:spacing w:before="0" w:beforeAutospacing="0" w:after="0" w:afterAutospacing="0"/>
                    <w:jc w:val="center"/>
                    <w:outlineLvl w:val="0"/>
                    <w:rPr>
                      <w:color w:val="auto"/>
                    </w:rPr>
                  </w:pPr>
                </w:p>
              </w:tc>
              <w:tc>
                <w:tcPr>
                  <w:tcW w:w="663" w:type="pct"/>
                  <w:shd w:val="clear" w:color="auto" w:fill="auto"/>
                  <w:noWrap w:val="0"/>
                  <w:vAlign w:val="center"/>
                </w:tcPr>
                <w:p w14:paraId="053465CF">
                  <w:pPr>
                    <w:pStyle w:val="36"/>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过滤</w:t>
                  </w:r>
                </w:p>
              </w:tc>
              <w:tc>
                <w:tcPr>
                  <w:tcW w:w="719" w:type="pct"/>
                  <w:noWrap w:val="0"/>
                  <w:vAlign w:val="center"/>
                </w:tcPr>
                <w:p w14:paraId="43A8D2D0">
                  <w:pPr>
                    <w:pStyle w:val="17"/>
                    <w:spacing w:line="240" w:lineRule="auto"/>
                    <w:ind w:left="0" w:leftChars="0" w:firstLine="0" w:firstLineChars="0"/>
                    <w:jc w:val="center"/>
                    <w:rPr>
                      <w:rFonts w:hint="eastAsia" w:ascii="Times New Roman" w:hAnsi="Times New Roman" w:eastAsia="宋体"/>
                      <w:color w:val="auto"/>
                      <w:sz w:val="21"/>
                      <w:lang w:val="en-US" w:eastAsia="zh-CN"/>
                    </w:rPr>
                  </w:pPr>
                  <w:r>
                    <w:rPr>
                      <w:rFonts w:hint="eastAsia" w:ascii="Times New Roman" w:hAnsi="Times New Roman" w:cs="Times New Roman"/>
                      <w:b w:val="0"/>
                      <w:color w:val="auto"/>
                      <w:sz w:val="21"/>
                      <w:szCs w:val="18"/>
                      <w:lang w:val="en-US" w:eastAsia="zh-CN"/>
                    </w:rPr>
                    <w:t>滤渣</w:t>
                  </w:r>
                </w:p>
              </w:tc>
              <w:tc>
                <w:tcPr>
                  <w:tcW w:w="1061" w:type="pct"/>
                  <w:vMerge w:val="continue"/>
                  <w:noWrap w:val="0"/>
                  <w:vAlign w:val="center"/>
                </w:tcPr>
                <w:p w14:paraId="3F655722">
                  <w:pPr>
                    <w:pStyle w:val="14"/>
                    <w:spacing w:before="0" w:beforeAutospacing="0" w:after="0" w:afterAutospacing="0"/>
                    <w:jc w:val="center"/>
                    <w:outlineLvl w:val="0"/>
                    <w:rPr>
                      <w:rFonts w:hint="eastAsia" w:ascii="Times New Roman" w:hAnsi="Times New Roman" w:eastAsia="宋体"/>
                      <w:color w:val="auto"/>
                      <w:sz w:val="21"/>
                      <w:lang w:val="en-US" w:eastAsia="zh-CN"/>
                    </w:rPr>
                  </w:pPr>
                </w:p>
              </w:tc>
              <w:tc>
                <w:tcPr>
                  <w:tcW w:w="1079" w:type="pct"/>
                  <w:vMerge w:val="continue"/>
                  <w:noWrap w:val="0"/>
                  <w:vAlign w:val="center"/>
                </w:tcPr>
                <w:p w14:paraId="7AE0F183">
                  <w:pPr>
                    <w:pStyle w:val="14"/>
                    <w:spacing w:before="0" w:beforeAutospacing="0" w:after="0" w:afterAutospacing="0"/>
                    <w:jc w:val="center"/>
                    <w:outlineLvl w:val="0"/>
                    <w:rPr>
                      <w:rFonts w:hint="eastAsia" w:ascii="Times New Roman" w:hAnsi="Times New Roman" w:eastAsia="宋体"/>
                      <w:color w:val="auto"/>
                      <w:sz w:val="21"/>
                      <w:lang w:val="en-US" w:eastAsia="zh-CN"/>
                    </w:rPr>
                  </w:pPr>
                </w:p>
              </w:tc>
              <w:tc>
                <w:tcPr>
                  <w:tcW w:w="496" w:type="pct"/>
                  <w:vMerge w:val="continue"/>
                  <w:noWrap w:val="0"/>
                  <w:vAlign w:val="center"/>
                </w:tcPr>
                <w:p w14:paraId="50013C68">
                  <w:pPr>
                    <w:pStyle w:val="14"/>
                    <w:spacing w:before="0" w:beforeAutospacing="0" w:after="0" w:afterAutospacing="0"/>
                    <w:jc w:val="center"/>
                    <w:outlineLvl w:val="0"/>
                    <w:rPr>
                      <w:rFonts w:hint="eastAsia" w:ascii="Times New Roman" w:hAnsi="Times New Roman" w:eastAsia="宋体"/>
                      <w:color w:val="auto"/>
                      <w:sz w:val="21"/>
                      <w:lang w:val="en-US" w:eastAsia="zh-CN"/>
                    </w:rPr>
                  </w:pPr>
                </w:p>
              </w:tc>
              <w:tc>
                <w:tcPr>
                  <w:tcW w:w="299" w:type="pct"/>
                  <w:vMerge w:val="continue"/>
                  <w:noWrap w:val="0"/>
                  <w:vAlign w:val="center"/>
                </w:tcPr>
                <w:p w14:paraId="3727A266">
                  <w:pPr>
                    <w:pStyle w:val="14"/>
                    <w:spacing w:before="0" w:beforeAutospacing="0" w:after="0" w:afterAutospacing="0"/>
                    <w:jc w:val="center"/>
                    <w:outlineLvl w:val="0"/>
                    <w:rPr>
                      <w:rFonts w:hint="eastAsia" w:ascii="Times New Roman" w:hAnsi="Times New Roman" w:eastAsia="宋体"/>
                      <w:color w:val="auto"/>
                      <w:sz w:val="21"/>
                      <w:lang w:val="en-US" w:eastAsia="zh-CN"/>
                    </w:rPr>
                  </w:pPr>
                </w:p>
              </w:tc>
            </w:tr>
            <w:tr w14:paraId="3FE1A2E4">
              <w:trPr>
                <w:trHeight w:val="557" w:hRule="atLeast"/>
              </w:trPr>
              <w:tc>
                <w:tcPr>
                  <w:tcW w:w="680" w:type="pct"/>
                  <w:vMerge w:val="continue"/>
                  <w:noWrap w:val="0"/>
                  <w:vAlign w:val="center"/>
                </w:tcPr>
                <w:p w14:paraId="4CBE666B">
                  <w:pPr>
                    <w:pStyle w:val="14"/>
                    <w:spacing w:before="0" w:beforeAutospacing="0" w:after="0" w:afterAutospacing="0"/>
                    <w:jc w:val="center"/>
                    <w:outlineLvl w:val="0"/>
                    <w:rPr>
                      <w:rFonts w:hint="eastAsia" w:ascii="Times New Roman" w:hAnsi="Times New Roman" w:eastAsia="宋体"/>
                      <w:color w:val="auto"/>
                      <w:sz w:val="21"/>
                    </w:rPr>
                  </w:pPr>
                </w:p>
              </w:tc>
              <w:tc>
                <w:tcPr>
                  <w:tcW w:w="663" w:type="pct"/>
                  <w:shd w:val="clear" w:color="auto" w:fill="auto"/>
                  <w:noWrap w:val="0"/>
                  <w:vAlign w:val="center"/>
                </w:tcPr>
                <w:p w14:paraId="099CF5A1">
                  <w:pPr>
                    <w:pStyle w:val="36"/>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b w:val="0"/>
                      <w:color w:val="auto"/>
                      <w:kern w:val="2"/>
                      <w:sz w:val="21"/>
                      <w:szCs w:val="18"/>
                      <w:lang w:val="en-US" w:eastAsia="zh-CN" w:bidi="ar-SA"/>
                    </w:rPr>
                  </w:pPr>
                  <w:r>
                    <w:rPr>
                      <w:rFonts w:hint="eastAsia"/>
                      <w:color w:val="auto"/>
                      <w:lang w:val="en-US" w:eastAsia="zh-CN"/>
                    </w:rPr>
                    <w:t>过滤</w:t>
                  </w:r>
                </w:p>
              </w:tc>
              <w:tc>
                <w:tcPr>
                  <w:tcW w:w="719" w:type="pct"/>
                  <w:noWrap w:val="0"/>
                  <w:vAlign w:val="center"/>
                </w:tcPr>
                <w:p w14:paraId="3E534D4A">
                  <w:pPr>
                    <w:pStyle w:val="17"/>
                    <w:spacing w:line="240" w:lineRule="auto"/>
                    <w:ind w:left="0" w:leftChars="0" w:firstLine="0" w:firstLineChars="0"/>
                    <w:jc w:val="center"/>
                    <w:rPr>
                      <w:rFonts w:hint="default" w:ascii="Times New Roman" w:hAnsi="Times New Roman" w:eastAsia="宋体" w:cs="Times New Roman"/>
                      <w:b w:val="0"/>
                      <w:color w:val="auto"/>
                      <w:kern w:val="2"/>
                      <w:sz w:val="21"/>
                      <w:szCs w:val="18"/>
                      <w:lang w:val="en-US" w:eastAsia="zh-CN" w:bidi="ar-SA"/>
                    </w:rPr>
                  </w:pPr>
                  <w:r>
                    <w:rPr>
                      <w:rFonts w:hint="eastAsia" w:ascii="Times New Roman" w:hAnsi="Times New Roman" w:cs="Times New Roman"/>
                      <w:b w:val="0"/>
                      <w:color w:val="auto"/>
                      <w:sz w:val="21"/>
                      <w:szCs w:val="18"/>
                      <w:lang w:val="en-US" w:eastAsia="zh-CN"/>
                    </w:rPr>
                    <w:t>茶叶渣</w:t>
                  </w:r>
                </w:p>
              </w:tc>
              <w:tc>
                <w:tcPr>
                  <w:tcW w:w="1061" w:type="pct"/>
                  <w:vMerge w:val="continue"/>
                  <w:noWrap w:val="0"/>
                  <w:vAlign w:val="center"/>
                </w:tcPr>
                <w:p w14:paraId="6FDDAEA9">
                  <w:pPr>
                    <w:pStyle w:val="14"/>
                    <w:spacing w:before="0" w:beforeAutospacing="0" w:after="0" w:afterAutospacing="0"/>
                    <w:jc w:val="center"/>
                    <w:outlineLvl w:val="0"/>
                    <w:rPr>
                      <w:rFonts w:ascii="Times New Roman" w:hAnsi="Times New Roman" w:eastAsia="宋体"/>
                      <w:color w:val="auto"/>
                      <w:sz w:val="21"/>
                    </w:rPr>
                  </w:pPr>
                </w:p>
              </w:tc>
              <w:tc>
                <w:tcPr>
                  <w:tcW w:w="1079" w:type="pct"/>
                  <w:vMerge w:val="continue"/>
                  <w:noWrap w:val="0"/>
                  <w:vAlign w:val="center"/>
                </w:tcPr>
                <w:p w14:paraId="42070054">
                  <w:pPr>
                    <w:pStyle w:val="14"/>
                    <w:spacing w:before="0" w:beforeAutospacing="0" w:after="0" w:afterAutospacing="0"/>
                    <w:jc w:val="center"/>
                    <w:outlineLvl w:val="0"/>
                    <w:rPr>
                      <w:rFonts w:hint="eastAsia" w:ascii="Times New Roman" w:hAnsi="Times New Roman" w:eastAsia="宋体"/>
                      <w:color w:val="auto"/>
                      <w:sz w:val="21"/>
                    </w:rPr>
                  </w:pPr>
                </w:p>
              </w:tc>
              <w:tc>
                <w:tcPr>
                  <w:tcW w:w="496" w:type="pct"/>
                  <w:vMerge w:val="continue"/>
                  <w:noWrap w:val="0"/>
                  <w:vAlign w:val="center"/>
                </w:tcPr>
                <w:p w14:paraId="197E7C0D">
                  <w:pPr>
                    <w:pStyle w:val="14"/>
                    <w:spacing w:before="0" w:beforeAutospacing="0" w:after="0" w:afterAutospacing="0"/>
                    <w:jc w:val="center"/>
                    <w:outlineLvl w:val="0"/>
                    <w:rPr>
                      <w:rFonts w:hint="eastAsia" w:ascii="Times New Roman" w:hAnsi="Times New Roman" w:eastAsia="宋体"/>
                      <w:color w:val="auto"/>
                      <w:sz w:val="21"/>
                    </w:rPr>
                  </w:pPr>
                </w:p>
              </w:tc>
              <w:tc>
                <w:tcPr>
                  <w:tcW w:w="299" w:type="pct"/>
                  <w:vMerge w:val="continue"/>
                  <w:noWrap w:val="0"/>
                  <w:vAlign w:val="center"/>
                </w:tcPr>
                <w:p w14:paraId="732BC37B">
                  <w:pPr>
                    <w:pStyle w:val="14"/>
                    <w:spacing w:before="0" w:beforeAutospacing="0" w:after="0" w:afterAutospacing="0"/>
                    <w:jc w:val="center"/>
                    <w:outlineLvl w:val="0"/>
                    <w:rPr>
                      <w:rFonts w:hint="eastAsia" w:ascii="Times New Roman" w:hAnsi="Times New Roman" w:eastAsia="宋体"/>
                      <w:color w:val="auto"/>
                      <w:sz w:val="21"/>
                    </w:rPr>
                  </w:pPr>
                </w:p>
              </w:tc>
            </w:tr>
            <w:tr w14:paraId="6D409C54">
              <w:trPr>
                <w:trHeight w:val="557" w:hRule="atLeast"/>
              </w:trPr>
              <w:tc>
                <w:tcPr>
                  <w:tcW w:w="680" w:type="pct"/>
                  <w:vMerge w:val="continue"/>
                  <w:noWrap w:val="0"/>
                  <w:vAlign w:val="center"/>
                </w:tcPr>
                <w:p w14:paraId="2D50095A">
                  <w:pPr>
                    <w:pStyle w:val="14"/>
                    <w:spacing w:before="0" w:beforeAutospacing="0" w:after="0" w:afterAutospacing="0"/>
                    <w:jc w:val="center"/>
                    <w:outlineLvl w:val="0"/>
                    <w:rPr>
                      <w:rFonts w:hint="eastAsia" w:ascii="Times New Roman" w:hAnsi="Times New Roman" w:eastAsia="宋体"/>
                      <w:color w:val="auto"/>
                      <w:sz w:val="21"/>
                    </w:rPr>
                  </w:pPr>
                </w:p>
              </w:tc>
              <w:tc>
                <w:tcPr>
                  <w:tcW w:w="663" w:type="pct"/>
                  <w:shd w:val="clear" w:color="auto" w:fill="auto"/>
                  <w:noWrap w:val="0"/>
                  <w:vAlign w:val="center"/>
                </w:tcPr>
                <w:p w14:paraId="78CD5C2F">
                  <w:pPr>
                    <w:pStyle w:val="36"/>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b w:val="0"/>
                      <w:color w:val="auto"/>
                      <w:kern w:val="0"/>
                      <w:sz w:val="21"/>
                      <w:szCs w:val="18"/>
                      <w:lang w:val="en-US" w:eastAsia="zh-CN" w:bidi="ar-SA"/>
                    </w:rPr>
                  </w:pPr>
                  <w:r>
                    <w:rPr>
                      <w:rFonts w:hint="eastAsia" w:cs="Times New Roman"/>
                      <w:color w:val="auto"/>
                      <w:kern w:val="2"/>
                      <w:sz w:val="21"/>
                      <w:szCs w:val="21"/>
                      <w:lang w:val="en-US" w:eastAsia="zh-CN" w:bidi="ar-SA"/>
                    </w:rPr>
                    <w:t>纯水制备</w:t>
                  </w:r>
                </w:p>
              </w:tc>
              <w:tc>
                <w:tcPr>
                  <w:tcW w:w="719" w:type="pct"/>
                  <w:noWrap w:val="0"/>
                  <w:vAlign w:val="center"/>
                </w:tcPr>
                <w:p w14:paraId="421AA131">
                  <w:pPr>
                    <w:pStyle w:val="17"/>
                    <w:spacing w:line="240" w:lineRule="auto"/>
                    <w:ind w:left="0" w:leftChars="0" w:firstLine="0" w:firstLineChars="0"/>
                    <w:jc w:val="center"/>
                    <w:rPr>
                      <w:rFonts w:hint="eastAsia"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废石英砂、活性炭和滤膜</w:t>
                  </w:r>
                </w:p>
              </w:tc>
              <w:tc>
                <w:tcPr>
                  <w:tcW w:w="1061" w:type="pct"/>
                  <w:vMerge w:val="continue"/>
                  <w:noWrap w:val="0"/>
                  <w:vAlign w:val="center"/>
                </w:tcPr>
                <w:p w14:paraId="451795C3">
                  <w:pPr>
                    <w:pStyle w:val="14"/>
                    <w:spacing w:before="0" w:beforeAutospacing="0" w:after="0" w:afterAutospacing="0"/>
                    <w:jc w:val="center"/>
                    <w:outlineLvl w:val="0"/>
                    <w:rPr>
                      <w:rFonts w:ascii="Times New Roman" w:hAnsi="Times New Roman" w:eastAsia="宋体"/>
                      <w:color w:val="auto"/>
                      <w:sz w:val="21"/>
                    </w:rPr>
                  </w:pPr>
                </w:p>
              </w:tc>
              <w:tc>
                <w:tcPr>
                  <w:tcW w:w="1079" w:type="pct"/>
                  <w:vMerge w:val="continue"/>
                  <w:noWrap w:val="0"/>
                  <w:vAlign w:val="center"/>
                </w:tcPr>
                <w:p w14:paraId="73E6025E">
                  <w:pPr>
                    <w:pStyle w:val="14"/>
                    <w:spacing w:before="0" w:beforeAutospacing="0" w:after="0" w:afterAutospacing="0"/>
                    <w:jc w:val="center"/>
                    <w:outlineLvl w:val="0"/>
                    <w:rPr>
                      <w:rFonts w:hint="eastAsia" w:ascii="Times New Roman" w:hAnsi="Times New Roman" w:eastAsia="宋体"/>
                      <w:color w:val="auto"/>
                      <w:sz w:val="21"/>
                    </w:rPr>
                  </w:pPr>
                </w:p>
              </w:tc>
              <w:tc>
                <w:tcPr>
                  <w:tcW w:w="496" w:type="pct"/>
                  <w:vMerge w:val="continue"/>
                  <w:noWrap w:val="0"/>
                  <w:vAlign w:val="center"/>
                </w:tcPr>
                <w:p w14:paraId="2EF1F6E1">
                  <w:pPr>
                    <w:pStyle w:val="14"/>
                    <w:spacing w:before="0" w:beforeAutospacing="0" w:after="0" w:afterAutospacing="0"/>
                    <w:jc w:val="center"/>
                    <w:outlineLvl w:val="0"/>
                    <w:rPr>
                      <w:rFonts w:hint="eastAsia" w:ascii="Times New Roman" w:hAnsi="Times New Roman" w:eastAsia="宋体"/>
                      <w:color w:val="auto"/>
                      <w:sz w:val="21"/>
                    </w:rPr>
                  </w:pPr>
                </w:p>
              </w:tc>
              <w:tc>
                <w:tcPr>
                  <w:tcW w:w="299" w:type="pct"/>
                  <w:vMerge w:val="continue"/>
                  <w:noWrap w:val="0"/>
                  <w:vAlign w:val="center"/>
                </w:tcPr>
                <w:p w14:paraId="4AC58D3C">
                  <w:pPr>
                    <w:pStyle w:val="14"/>
                    <w:spacing w:before="0" w:beforeAutospacing="0" w:after="0" w:afterAutospacing="0"/>
                    <w:jc w:val="center"/>
                    <w:outlineLvl w:val="0"/>
                    <w:rPr>
                      <w:rFonts w:hint="eastAsia" w:ascii="Times New Roman" w:hAnsi="Times New Roman" w:eastAsia="宋体"/>
                      <w:color w:val="auto"/>
                      <w:sz w:val="21"/>
                    </w:rPr>
                  </w:pPr>
                </w:p>
              </w:tc>
            </w:tr>
            <w:tr w14:paraId="52BD9E69">
              <w:trPr>
                <w:trHeight w:val="557" w:hRule="atLeast"/>
              </w:trPr>
              <w:tc>
                <w:tcPr>
                  <w:tcW w:w="680" w:type="pct"/>
                  <w:vMerge w:val="continue"/>
                  <w:noWrap w:val="0"/>
                  <w:vAlign w:val="center"/>
                </w:tcPr>
                <w:p w14:paraId="1035EEE7">
                  <w:pPr>
                    <w:pStyle w:val="14"/>
                    <w:spacing w:before="0" w:beforeAutospacing="0" w:after="0" w:afterAutospacing="0"/>
                    <w:jc w:val="center"/>
                    <w:outlineLvl w:val="0"/>
                    <w:rPr>
                      <w:rFonts w:hint="eastAsia" w:ascii="Times New Roman" w:hAnsi="Times New Roman" w:eastAsia="宋体"/>
                      <w:color w:val="auto"/>
                      <w:sz w:val="21"/>
                    </w:rPr>
                  </w:pPr>
                </w:p>
              </w:tc>
              <w:tc>
                <w:tcPr>
                  <w:tcW w:w="663" w:type="pct"/>
                  <w:shd w:val="clear" w:color="auto" w:fill="auto"/>
                  <w:noWrap w:val="0"/>
                  <w:vAlign w:val="center"/>
                </w:tcPr>
                <w:p w14:paraId="27D44B2C">
                  <w:pPr>
                    <w:pStyle w:val="36"/>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b w:val="0"/>
                      <w:color w:val="auto"/>
                      <w:kern w:val="0"/>
                      <w:sz w:val="21"/>
                      <w:szCs w:val="18"/>
                      <w:lang w:val="en-US" w:eastAsia="zh-CN" w:bidi="ar-SA"/>
                    </w:rPr>
                  </w:pPr>
                  <w:r>
                    <w:rPr>
                      <w:rFonts w:hint="eastAsia"/>
                      <w:color w:val="auto"/>
                      <w:lang w:val="en-US" w:eastAsia="zh-CN"/>
                    </w:rPr>
                    <w:t>污水处理</w:t>
                  </w:r>
                </w:p>
              </w:tc>
              <w:tc>
                <w:tcPr>
                  <w:tcW w:w="719" w:type="pct"/>
                  <w:noWrap w:val="0"/>
                  <w:vAlign w:val="center"/>
                </w:tcPr>
                <w:p w14:paraId="2FD5CDA4">
                  <w:pPr>
                    <w:pStyle w:val="17"/>
                    <w:spacing w:line="240" w:lineRule="auto"/>
                    <w:ind w:left="0" w:leftChars="0" w:firstLine="0" w:firstLineChars="0"/>
                    <w:jc w:val="center"/>
                    <w:rPr>
                      <w:rFonts w:hint="eastAsia"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污水处理污泥</w:t>
                  </w:r>
                </w:p>
              </w:tc>
              <w:tc>
                <w:tcPr>
                  <w:tcW w:w="1061" w:type="pct"/>
                  <w:vMerge w:val="continue"/>
                  <w:noWrap w:val="0"/>
                  <w:vAlign w:val="center"/>
                </w:tcPr>
                <w:p w14:paraId="6E9983CF">
                  <w:pPr>
                    <w:pStyle w:val="14"/>
                    <w:spacing w:before="0" w:beforeAutospacing="0" w:after="0" w:afterAutospacing="0"/>
                    <w:jc w:val="center"/>
                    <w:outlineLvl w:val="0"/>
                    <w:rPr>
                      <w:rFonts w:ascii="Times New Roman" w:hAnsi="Times New Roman" w:eastAsia="宋体"/>
                      <w:color w:val="auto"/>
                      <w:sz w:val="21"/>
                    </w:rPr>
                  </w:pPr>
                </w:p>
              </w:tc>
              <w:tc>
                <w:tcPr>
                  <w:tcW w:w="1079" w:type="pct"/>
                  <w:vMerge w:val="continue"/>
                  <w:noWrap w:val="0"/>
                  <w:vAlign w:val="center"/>
                </w:tcPr>
                <w:p w14:paraId="02543B58">
                  <w:pPr>
                    <w:pStyle w:val="14"/>
                    <w:spacing w:before="0" w:beforeAutospacing="0" w:after="0" w:afterAutospacing="0"/>
                    <w:jc w:val="center"/>
                    <w:outlineLvl w:val="0"/>
                    <w:rPr>
                      <w:rFonts w:hint="eastAsia" w:ascii="Times New Roman" w:hAnsi="Times New Roman" w:eastAsia="宋体"/>
                      <w:color w:val="auto"/>
                      <w:sz w:val="21"/>
                    </w:rPr>
                  </w:pPr>
                </w:p>
              </w:tc>
              <w:tc>
                <w:tcPr>
                  <w:tcW w:w="496" w:type="pct"/>
                  <w:vMerge w:val="continue"/>
                  <w:noWrap w:val="0"/>
                  <w:vAlign w:val="center"/>
                </w:tcPr>
                <w:p w14:paraId="2AC23E18">
                  <w:pPr>
                    <w:pStyle w:val="14"/>
                    <w:spacing w:before="0" w:beforeAutospacing="0" w:after="0" w:afterAutospacing="0"/>
                    <w:jc w:val="center"/>
                    <w:outlineLvl w:val="0"/>
                    <w:rPr>
                      <w:rFonts w:hint="eastAsia" w:ascii="Times New Roman" w:hAnsi="Times New Roman" w:eastAsia="宋体"/>
                      <w:color w:val="auto"/>
                      <w:sz w:val="21"/>
                    </w:rPr>
                  </w:pPr>
                </w:p>
              </w:tc>
              <w:tc>
                <w:tcPr>
                  <w:tcW w:w="299" w:type="pct"/>
                  <w:vMerge w:val="continue"/>
                  <w:noWrap w:val="0"/>
                  <w:vAlign w:val="center"/>
                </w:tcPr>
                <w:p w14:paraId="18882278">
                  <w:pPr>
                    <w:pStyle w:val="14"/>
                    <w:spacing w:before="0" w:beforeAutospacing="0" w:after="0" w:afterAutospacing="0"/>
                    <w:jc w:val="center"/>
                    <w:outlineLvl w:val="0"/>
                    <w:rPr>
                      <w:rFonts w:hint="eastAsia" w:ascii="Times New Roman" w:hAnsi="Times New Roman" w:eastAsia="宋体"/>
                      <w:color w:val="auto"/>
                      <w:sz w:val="21"/>
                    </w:rPr>
                  </w:pPr>
                </w:p>
              </w:tc>
            </w:tr>
            <w:tr w14:paraId="500BEC56">
              <w:trPr>
                <w:trHeight w:val="753" w:hRule="atLeast"/>
              </w:trPr>
              <w:tc>
                <w:tcPr>
                  <w:tcW w:w="680" w:type="pct"/>
                  <w:vMerge w:val="continue"/>
                  <w:noWrap w:val="0"/>
                  <w:vAlign w:val="center"/>
                </w:tcPr>
                <w:p w14:paraId="490498E3">
                  <w:pPr>
                    <w:pStyle w:val="14"/>
                    <w:spacing w:before="0" w:beforeAutospacing="0" w:after="0" w:afterAutospacing="0"/>
                    <w:jc w:val="center"/>
                    <w:outlineLvl w:val="0"/>
                    <w:rPr>
                      <w:rFonts w:ascii="Times New Roman" w:hAnsi="Times New Roman" w:eastAsia="宋体"/>
                      <w:color w:val="auto"/>
                      <w:sz w:val="21"/>
                    </w:rPr>
                  </w:pPr>
                </w:p>
              </w:tc>
              <w:tc>
                <w:tcPr>
                  <w:tcW w:w="663" w:type="pct"/>
                  <w:noWrap w:val="0"/>
                  <w:vAlign w:val="center"/>
                </w:tcPr>
                <w:p w14:paraId="4F72E888">
                  <w:pPr>
                    <w:adjustRightInd w:val="0"/>
                    <w:snapToGrid w:val="0"/>
                    <w:jc w:val="center"/>
                    <w:rPr>
                      <w:rFonts w:ascii="Times New Roman" w:hAnsi="Times New Roman" w:eastAsia="宋体"/>
                      <w:color w:val="auto"/>
                      <w:kern w:val="2"/>
                      <w:sz w:val="21"/>
                      <w:szCs w:val="18"/>
                      <w:lang w:val="en-US" w:eastAsia="zh-CN" w:bidi="ar-SA"/>
                    </w:rPr>
                  </w:pPr>
                  <w:r>
                    <w:rPr>
                      <w:rFonts w:hint="eastAsia" w:ascii="Times New Roman" w:hAnsi="Times New Roman" w:eastAsia="宋体"/>
                      <w:color w:val="auto"/>
                      <w:sz w:val="21"/>
                      <w:szCs w:val="18"/>
                    </w:rPr>
                    <w:t>有机废气治理</w:t>
                  </w:r>
                </w:p>
              </w:tc>
              <w:tc>
                <w:tcPr>
                  <w:tcW w:w="719" w:type="pct"/>
                  <w:noWrap w:val="0"/>
                  <w:vAlign w:val="center"/>
                </w:tcPr>
                <w:p w14:paraId="3AA8575A">
                  <w:pPr>
                    <w:pStyle w:val="17"/>
                    <w:spacing w:line="240" w:lineRule="auto"/>
                    <w:ind w:left="0" w:leftChars="0" w:firstLine="0" w:firstLineChars="0"/>
                    <w:jc w:val="center"/>
                    <w:rPr>
                      <w:rFonts w:ascii="Times New Roman" w:hAnsi="Times New Roman" w:eastAsia="宋体" w:cs="Times New Roman"/>
                      <w:b w:val="0"/>
                      <w:color w:val="auto"/>
                      <w:kern w:val="2"/>
                      <w:sz w:val="21"/>
                      <w:szCs w:val="18"/>
                      <w:lang w:val="en-US" w:eastAsia="zh-CN" w:bidi="ar-SA"/>
                    </w:rPr>
                  </w:pPr>
                  <w:r>
                    <w:rPr>
                      <w:rFonts w:hint="eastAsia" w:ascii="Times New Roman" w:hAnsi="Times New Roman" w:eastAsia="宋体" w:cs="Times New Roman"/>
                      <w:b w:val="0"/>
                      <w:color w:val="auto"/>
                      <w:sz w:val="21"/>
                      <w:szCs w:val="18"/>
                    </w:rPr>
                    <w:t>废活性炭</w:t>
                  </w:r>
                </w:p>
              </w:tc>
              <w:tc>
                <w:tcPr>
                  <w:tcW w:w="1061" w:type="pct"/>
                  <w:vMerge w:val="restart"/>
                  <w:noWrap w:val="0"/>
                  <w:vAlign w:val="center"/>
                </w:tcPr>
                <w:p w14:paraId="6C3E0556">
                  <w:pPr>
                    <w:pStyle w:val="14"/>
                    <w:spacing w:before="0" w:beforeAutospacing="0" w:after="0" w:afterAutospacing="0"/>
                    <w:jc w:val="center"/>
                    <w:outlineLvl w:val="0"/>
                    <w:rPr>
                      <w:rFonts w:ascii="Times New Roman" w:hAnsi="Times New Roman" w:eastAsia="宋体"/>
                      <w:color w:val="auto"/>
                      <w:sz w:val="21"/>
                    </w:rPr>
                  </w:pPr>
                  <w:r>
                    <w:rPr>
                      <w:rFonts w:ascii="Times New Roman" w:hAnsi="Times New Roman" w:eastAsia="宋体"/>
                      <w:color w:val="auto"/>
                      <w:sz w:val="21"/>
                    </w:rPr>
                    <w:t>设置1个</w:t>
                  </w:r>
                  <w:r>
                    <w:rPr>
                      <w:rFonts w:hint="eastAsia" w:ascii="Times New Roman" w:hAnsi="Times New Roman"/>
                      <w:color w:val="auto"/>
                      <w:sz w:val="21"/>
                      <w:lang w:val="en-US" w:eastAsia="zh-CN"/>
                    </w:rPr>
                    <w:t>5</w:t>
                  </w:r>
                  <w:r>
                    <w:rPr>
                      <w:rFonts w:hint="eastAsia" w:ascii="Times New Roman" w:hAnsi="Times New Roman" w:eastAsia="宋体"/>
                      <w:color w:val="auto"/>
                      <w:sz w:val="21"/>
                      <w:lang w:val="en-US" w:eastAsia="zh-CN"/>
                    </w:rPr>
                    <w:t>0</w:t>
                  </w:r>
                  <w:r>
                    <w:rPr>
                      <w:rFonts w:ascii="Times New Roman" w:hAnsi="Times New Roman" w:eastAsia="宋体"/>
                      <w:color w:val="auto"/>
                      <w:sz w:val="21"/>
                    </w:rPr>
                    <w:t>m</w:t>
                  </w:r>
                  <w:r>
                    <w:rPr>
                      <w:rFonts w:ascii="Times New Roman" w:hAnsi="Times New Roman" w:eastAsia="宋体"/>
                      <w:color w:val="auto"/>
                      <w:sz w:val="21"/>
                      <w:vertAlign w:val="superscript"/>
                    </w:rPr>
                    <w:t>2</w:t>
                  </w:r>
                  <w:r>
                    <w:rPr>
                      <w:rFonts w:hint="eastAsia" w:ascii="Times New Roman" w:hAnsi="Times New Roman"/>
                      <w:color w:val="auto"/>
                      <w:sz w:val="21"/>
                      <w:lang w:eastAsia="zh-CN"/>
                    </w:rPr>
                    <w:t>危废库</w:t>
                  </w:r>
                  <w:r>
                    <w:rPr>
                      <w:rFonts w:ascii="Times New Roman" w:hAnsi="Times New Roman" w:eastAsia="宋体"/>
                      <w:color w:val="auto"/>
                      <w:sz w:val="21"/>
                    </w:rPr>
                    <w:t>，委托有危废处置资质单位处置</w:t>
                  </w:r>
                </w:p>
              </w:tc>
              <w:tc>
                <w:tcPr>
                  <w:tcW w:w="1079" w:type="pct"/>
                  <w:vMerge w:val="continue"/>
                  <w:noWrap w:val="0"/>
                  <w:vAlign w:val="center"/>
                </w:tcPr>
                <w:p w14:paraId="5AEEEF69">
                  <w:pPr>
                    <w:pStyle w:val="14"/>
                    <w:spacing w:before="0" w:beforeAutospacing="0" w:after="0" w:afterAutospacing="0"/>
                    <w:jc w:val="center"/>
                    <w:outlineLvl w:val="0"/>
                    <w:rPr>
                      <w:rFonts w:ascii="Times New Roman" w:hAnsi="Times New Roman" w:eastAsia="宋体"/>
                      <w:color w:val="auto"/>
                      <w:sz w:val="21"/>
                    </w:rPr>
                  </w:pPr>
                </w:p>
              </w:tc>
              <w:tc>
                <w:tcPr>
                  <w:tcW w:w="496" w:type="pct"/>
                  <w:vMerge w:val="restart"/>
                  <w:noWrap w:val="0"/>
                  <w:vAlign w:val="center"/>
                </w:tcPr>
                <w:p w14:paraId="4CF61ED0">
                  <w:pPr>
                    <w:pStyle w:val="14"/>
                    <w:spacing w:before="0" w:beforeAutospacing="0" w:after="0" w:afterAutospacing="0"/>
                    <w:jc w:val="center"/>
                    <w:outlineLvl w:val="0"/>
                    <w:rPr>
                      <w:rFonts w:hint="eastAsia" w:ascii="Times New Roman" w:hAnsi="Times New Roman" w:eastAsia="宋体"/>
                      <w:color w:val="auto"/>
                      <w:sz w:val="21"/>
                      <w:lang w:eastAsia="zh-CN"/>
                    </w:rPr>
                  </w:pPr>
                  <w:r>
                    <w:rPr>
                      <w:rFonts w:hint="eastAsia" w:ascii="Times New Roman" w:hAnsi="Times New Roman" w:eastAsia="宋体"/>
                      <w:color w:val="auto"/>
                      <w:sz w:val="21"/>
                      <w:lang w:val="en-US" w:eastAsia="zh-CN"/>
                    </w:rPr>
                    <w:t>5</w:t>
                  </w:r>
                </w:p>
              </w:tc>
              <w:tc>
                <w:tcPr>
                  <w:tcW w:w="299" w:type="pct"/>
                  <w:vMerge w:val="continue"/>
                  <w:noWrap w:val="0"/>
                  <w:vAlign w:val="center"/>
                </w:tcPr>
                <w:p w14:paraId="39212C74">
                  <w:pPr>
                    <w:pStyle w:val="14"/>
                    <w:spacing w:before="0" w:beforeAutospacing="0" w:after="0" w:afterAutospacing="0"/>
                    <w:jc w:val="center"/>
                    <w:outlineLvl w:val="0"/>
                    <w:rPr>
                      <w:rFonts w:hint="eastAsia" w:ascii="Times New Roman" w:hAnsi="Times New Roman" w:eastAsia="宋体"/>
                      <w:color w:val="auto"/>
                      <w:sz w:val="21"/>
                      <w:lang w:val="en-US" w:eastAsia="zh-CN"/>
                    </w:rPr>
                  </w:pPr>
                </w:p>
              </w:tc>
            </w:tr>
            <w:tr w14:paraId="225BBE61">
              <w:trPr>
                <w:trHeight w:val="703" w:hRule="atLeast"/>
              </w:trPr>
              <w:tc>
                <w:tcPr>
                  <w:tcW w:w="680" w:type="pct"/>
                  <w:vMerge w:val="continue"/>
                  <w:noWrap w:val="0"/>
                  <w:vAlign w:val="center"/>
                </w:tcPr>
                <w:p w14:paraId="7128C61A">
                  <w:pPr>
                    <w:pStyle w:val="14"/>
                    <w:spacing w:before="0" w:beforeAutospacing="0" w:after="0" w:afterAutospacing="0"/>
                    <w:jc w:val="center"/>
                    <w:outlineLvl w:val="0"/>
                    <w:rPr>
                      <w:rFonts w:ascii="Times New Roman" w:hAnsi="Times New Roman" w:eastAsia="宋体"/>
                      <w:color w:val="auto"/>
                      <w:sz w:val="21"/>
                    </w:rPr>
                  </w:pPr>
                </w:p>
              </w:tc>
              <w:tc>
                <w:tcPr>
                  <w:tcW w:w="663" w:type="pct"/>
                  <w:noWrap w:val="0"/>
                  <w:vAlign w:val="center"/>
                </w:tcPr>
                <w:p w14:paraId="095FBD2A">
                  <w:pPr>
                    <w:keepNext w:val="0"/>
                    <w:keepLines w:val="0"/>
                    <w:suppressLineNumbers w:val="0"/>
                    <w:adjustRightInd w:val="0"/>
                    <w:snapToGrid w:val="0"/>
                    <w:spacing w:before="0" w:beforeAutospacing="0" w:after="0" w:afterAutospacing="0"/>
                    <w:ind w:left="0" w:leftChars="0" w:right="0" w:rightChars="0"/>
                    <w:jc w:val="center"/>
                    <w:rPr>
                      <w:rFonts w:hint="default" w:eastAsia="宋体"/>
                      <w:color w:val="auto"/>
                      <w:kern w:val="2"/>
                      <w:sz w:val="21"/>
                      <w:szCs w:val="18"/>
                      <w:lang w:val="en-US" w:eastAsia="zh-CN" w:bidi="ar-SA"/>
                    </w:rPr>
                  </w:pPr>
                  <w:r>
                    <w:rPr>
                      <w:rFonts w:hint="eastAsia"/>
                      <w:color w:val="auto"/>
                      <w:szCs w:val="18"/>
                      <w:lang w:val="en-US" w:eastAsia="zh-CN"/>
                    </w:rPr>
                    <w:t>润滑油包装</w:t>
                  </w:r>
                </w:p>
              </w:tc>
              <w:tc>
                <w:tcPr>
                  <w:tcW w:w="719" w:type="pct"/>
                  <w:noWrap w:val="0"/>
                  <w:vAlign w:val="center"/>
                </w:tcPr>
                <w:p w14:paraId="08B915C5">
                  <w:pPr>
                    <w:pStyle w:val="17"/>
                    <w:spacing w:line="240" w:lineRule="auto"/>
                    <w:ind w:left="0" w:leftChars="0" w:firstLine="0" w:firstLineChars="0"/>
                    <w:jc w:val="center"/>
                    <w:rPr>
                      <w:rFonts w:hint="eastAsia" w:ascii="Times New Roman" w:hAnsi="Times New Roman" w:eastAsia="宋体" w:cs="Times New Roman"/>
                      <w:b w:val="0"/>
                      <w:color w:val="auto"/>
                      <w:kern w:val="2"/>
                      <w:sz w:val="21"/>
                      <w:szCs w:val="18"/>
                      <w:lang w:val="en-US" w:eastAsia="zh-CN" w:bidi="ar-SA"/>
                    </w:rPr>
                  </w:pPr>
                  <w:r>
                    <w:rPr>
                      <w:rFonts w:hint="eastAsia" w:ascii="Times New Roman" w:hAnsi="Times New Roman" w:cs="Times New Roman"/>
                      <w:b w:val="0"/>
                      <w:color w:val="auto"/>
                      <w:sz w:val="21"/>
                      <w:szCs w:val="18"/>
                      <w:lang w:val="en-US" w:eastAsia="zh-CN"/>
                    </w:rPr>
                    <w:t>废包装桶</w:t>
                  </w:r>
                </w:p>
              </w:tc>
              <w:tc>
                <w:tcPr>
                  <w:tcW w:w="1061" w:type="pct"/>
                  <w:vMerge w:val="continue"/>
                  <w:noWrap w:val="0"/>
                  <w:vAlign w:val="center"/>
                </w:tcPr>
                <w:p w14:paraId="2BF10172">
                  <w:pPr>
                    <w:pStyle w:val="14"/>
                    <w:spacing w:before="0" w:beforeAutospacing="0" w:after="0" w:afterAutospacing="0"/>
                    <w:jc w:val="center"/>
                    <w:outlineLvl w:val="0"/>
                    <w:rPr>
                      <w:rFonts w:ascii="Times New Roman" w:hAnsi="Times New Roman" w:eastAsia="宋体"/>
                      <w:color w:val="auto"/>
                      <w:sz w:val="21"/>
                    </w:rPr>
                  </w:pPr>
                </w:p>
              </w:tc>
              <w:tc>
                <w:tcPr>
                  <w:tcW w:w="1079" w:type="pct"/>
                  <w:vMerge w:val="continue"/>
                  <w:noWrap w:val="0"/>
                  <w:vAlign w:val="center"/>
                </w:tcPr>
                <w:p w14:paraId="5B38860A">
                  <w:pPr>
                    <w:pStyle w:val="14"/>
                    <w:spacing w:before="0" w:beforeAutospacing="0" w:after="0" w:afterAutospacing="0"/>
                    <w:jc w:val="center"/>
                    <w:outlineLvl w:val="0"/>
                    <w:rPr>
                      <w:rFonts w:ascii="Times New Roman" w:hAnsi="Times New Roman" w:eastAsia="宋体"/>
                      <w:color w:val="auto"/>
                      <w:sz w:val="21"/>
                    </w:rPr>
                  </w:pPr>
                </w:p>
              </w:tc>
              <w:tc>
                <w:tcPr>
                  <w:tcW w:w="496" w:type="pct"/>
                  <w:vMerge w:val="continue"/>
                  <w:noWrap w:val="0"/>
                  <w:vAlign w:val="center"/>
                </w:tcPr>
                <w:p w14:paraId="498391DE">
                  <w:pPr>
                    <w:pStyle w:val="14"/>
                    <w:spacing w:before="0" w:beforeAutospacing="0" w:after="0" w:afterAutospacing="0"/>
                    <w:jc w:val="center"/>
                    <w:outlineLvl w:val="0"/>
                    <w:rPr>
                      <w:rFonts w:hint="eastAsia" w:ascii="Times New Roman" w:hAnsi="Times New Roman" w:eastAsia="宋体"/>
                      <w:color w:val="auto"/>
                      <w:sz w:val="21"/>
                      <w:lang w:val="en-US" w:eastAsia="zh-CN"/>
                    </w:rPr>
                  </w:pPr>
                </w:p>
              </w:tc>
              <w:tc>
                <w:tcPr>
                  <w:tcW w:w="299" w:type="pct"/>
                  <w:vMerge w:val="continue"/>
                  <w:noWrap w:val="0"/>
                  <w:vAlign w:val="center"/>
                </w:tcPr>
                <w:p w14:paraId="4E26256E">
                  <w:pPr>
                    <w:pStyle w:val="14"/>
                    <w:spacing w:before="0" w:beforeAutospacing="0" w:after="0" w:afterAutospacing="0"/>
                    <w:jc w:val="center"/>
                    <w:outlineLvl w:val="0"/>
                    <w:rPr>
                      <w:rFonts w:hint="eastAsia" w:ascii="Times New Roman" w:hAnsi="Times New Roman" w:eastAsia="宋体"/>
                      <w:color w:val="auto"/>
                      <w:sz w:val="21"/>
                      <w:lang w:val="en-US" w:eastAsia="zh-CN"/>
                    </w:rPr>
                  </w:pPr>
                </w:p>
              </w:tc>
            </w:tr>
            <w:tr w14:paraId="2D5DE757">
              <w:trPr>
                <w:trHeight w:val="557" w:hRule="atLeast"/>
              </w:trPr>
              <w:tc>
                <w:tcPr>
                  <w:tcW w:w="680" w:type="pct"/>
                  <w:vMerge w:val="continue"/>
                  <w:noWrap w:val="0"/>
                  <w:vAlign w:val="center"/>
                </w:tcPr>
                <w:p w14:paraId="14E9FC5D">
                  <w:pPr>
                    <w:pStyle w:val="14"/>
                    <w:spacing w:before="0" w:beforeAutospacing="0" w:after="0" w:afterAutospacing="0"/>
                    <w:jc w:val="center"/>
                    <w:outlineLvl w:val="0"/>
                    <w:rPr>
                      <w:rFonts w:ascii="Times New Roman" w:hAnsi="Times New Roman" w:eastAsia="宋体"/>
                      <w:color w:val="auto"/>
                      <w:sz w:val="21"/>
                    </w:rPr>
                  </w:pPr>
                </w:p>
              </w:tc>
              <w:tc>
                <w:tcPr>
                  <w:tcW w:w="663" w:type="pct"/>
                  <w:noWrap w:val="0"/>
                  <w:vAlign w:val="center"/>
                </w:tcPr>
                <w:p w14:paraId="78BE7571">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olor w:val="auto"/>
                      <w:kern w:val="2"/>
                      <w:sz w:val="21"/>
                      <w:szCs w:val="18"/>
                      <w:lang w:val="en-US" w:eastAsia="zh-CN" w:bidi="ar-SA"/>
                    </w:rPr>
                  </w:pPr>
                  <w:r>
                    <w:rPr>
                      <w:rFonts w:hint="eastAsia" w:ascii="Times New Roman" w:hAnsi="Times New Roman" w:eastAsia="宋体"/>
                      <w:color w:val="auto"/>
                      <w:szCs w:val="18"/>
                      <w:lang w:val="en-US" w:eastAsia="zh-CN"/>
                    </w:rPr>
                    <w:t>设备保养</w:t>
                  </w:r>
                </w:p>
              </w:tc>
              <w:tc>
                <w:tcPr>
                  <w:tcW w:w="719" w:type="pct"/>
                  <w:noWrap w:val="0"/>
                  <w:vAlign w:val="center"/>
                </w:tcPr>
                <w:p w14:paraId="40476B50">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color w:val="auto"/>
                      <w:kern w:val="2"/>
                      <w:sz w:val="21"/>
                      <w:szCs w:val="18"/>
                      <w:lang w:val="en-US" w:eastAsia="zh-CN" w:bidi="ar-SA"/>
                    </w:rPr>
                  </w:pPr>
                  <w:r>
                    <w:rPr>
                      <w:rFonts w:hint="eastAsia" w:ascii="Times New Roman" w:hAnsi="Times New Roman" w:eastAsia="宋体" w:cs="Times New Roman"/>
                      <w:b w:val="0"/>
                      <w:color w:val="auto"/>
                      <w:sz w:val="21"/>
                      <w:szCs w:val="18"/>
                      <w:lang w:val="en-US" w:eastAsia="zh-CN"/>
                    </w:rPr>
                    <w:t>废润滑油</w:t>
                  </w:r>
                </w:p>
              </w:tc>
              <w:tc>
                <w:tcPr>
                  <w:tcW w:w="1061" w:type="pct"/>
                  <w:vMerge w:val="continue"/>
                  <w:noWrap w:val="0"/>
                  <w:vAlign w:val="center"/>
                </w:tcPr>
                <w:p w14:paraId="1FEB2175">
                  <w:pPr>
                    <w:pStyle w:val="14"/>
                    <w:spacing w:before="0" w:beforeAutospacing="0" w:after="0" w:afterAutospacing="0"/>
                    <w:jc w:val="center"/>
                    <w:outlineLvl w:val="0"/>
                    <w:rPr>
                      <w:rFonts w:ascii="Times New Roman" w:hAnsi="Times New Roman" w:eastAsia="宋体"/>
                      <w:color w:val="auto"/>
                      <w:sz w:val="21"/>
                    </w:rPr>
                  </w:pPr>
                </w:p>
              </w:tc>
              <w:tc>
                <w:tcPr>
                  <w:tcW w:w="1079" w:type="pct"/>
                  <w:vMerge w:val="continue"/>
                  <w:noWrap w:val="0"/>
                  <w:vAlign w:val="center"/>
                </w:tcPr>
                <w:p w14:paraId="1852220A">
                  <w:pPr>
                    <w:pStyle w:val="14"/>
                    <w:spacing w:before="0" w:beforeAutospacing="0" w:after="0" w:afterAutospacing="0"/>
                    <w:jc w:val="center"/>
                    <w:outlineLvl w:val="0"/>
                    <w:rPr>
                      <w:rFonts w:ascii="Times New Roman" w:hAnsi="Times New Roman" w:eastAsia="宋体"/>
                      <w:color w:val="auto"/>
                      <w:sz w:val="21"/>
                    </w:rPr>
                  </w:pPr>
                </w:p>
              </w:tc>
              <w:tc>
                <w:tcPr>
                  <w:tcW w:w="496" w:type="pct"/>
                  <w:vMerge w:val="continue"/>
                  <w:noWrap w:val="0"/>
                  <w:vAlign w:val="center"/>
                </w:tcPr>
                <w:p w14:paraId="336ED18E">
                  <w:pPr>
                    <w:pStyle w:val="14"/>
                    <w:spacing w:before="0" w:beforeAutospacing="0" w:after="0" w:afterAutospacing="0"/>
                    <w:jc w:val="center"/>
                    <w:outlineLvl w:val="0"/>
                    <w:rPr>
                      <w:rFonts w:hint="eastAsia" w:ascii="Times New Roman" w:hAnsi="Times New Roman" w:eastAsia="宋体"/>
                      <w:color w:val="auto"/>
                      <w:sz w:val="21"/>
                      <w:lang w:val="en-US" w:eastAsia="zh-CN"/>
                    </w:rPr>
                  </w:pPr>
                </w:p>
              </w:tc>
              <w:tc>
                <w:tcPr>
                  <w:tcW w:w="299" w:type="pct"/>
                  <w:vMerge w:val="continue"/>
                  <w:noWrap w:val="0"/>
                  <w:vAlign w:val="center"/>
                </w:tcPr>
                <w:p w14:paraId="3997D7E8">
                  <w:pPr>
                    <w:pStyle w:val="14"/>
                    <w:spacing w:before="0" w:beforeAutospacing="0" w:after="0" w:afterAutospacing="0"/>
                    <w:jc w:val="center"/>
                    <w:outlineLvl w:val="0"/>
                    <w:rPr>
                      <w:rFonts w:hint="eastAsia" w:ascii="Times New Roman" w:hAnsi="Times New Roman" w:eastAsia="宋体"/>
                      <w:color w:val="auto"/>
                      <w:sz w:val="21"/>
                      <w:lang w:val="en-US" w:eastAsia="zh-CN"/>
                    </w:rPr>
                  </w:pPr>
                </w:p>
              </w:tc>
            </w:tr>
            <w:tr w14:paraId="573FCF71">
              <w:trPr>
                <w:trHeight w:val="671" w:hRule="atLeast"/>
              </w:trPr>
              <w:tc>
                <w:tcPr>
                  <w:tcW w:w="680" w:type="pct"/>
                  <w:vMerge w:val="continue"/>
                  <w:noWrap w:val="0"/>
                  <w:vAlign w:val="center"/>
                </w:tcPr>
                <w:p w14:paraId="48812825">
                  <w:pPr>
                    <w:pStyle w:val="14"/>
                    <w:spacing w:before="0" w:beforeAutospacing="0" w:after="0" w:afterAutospacing="0"/>
                    <w:jc w:val="center"/>
                    <w:outlineLvl w:val="0"/>
                    <w:rPr>
                      <w:rFonts w:ascii="Times New Roman" w:hAnsi="Times New Roman" w:eastAsia="宋体"/>
                      <w:color w:val="auto"/>
                      <w:sz w:val="21"/>
                    </w:rPr>
                  </w:pPr>
                </w:p>
              </w:tc>
              <w:tc>
                <w:tcPr>
                  <w:tcW w:w="663" w:type="pct"/>
                  <w:noWrap w:val="0"/>
                  <w:vAlign w:val="center"/>
                </w:tcPr>
                <w:p w14:paraId="64CC5E0F">
                  <w:pPr>
                    <w:adjustRightInd w:val="0"/>
                    <w:snapToGrid w:val="0"/>
                    <w:jc w:val="center"/>
                    <w:rPr>
                      <w:rFonts w:hint="default" w:ascii="Times New Roman" w:hAnsi="Times New Roman" w:eastAsia="宋体"/>
                      <w:color w:val="auto"/>
                      <w:kern w:val="2"/>
                      <w:sz w:val="21"/>
                      <w:szCs w:val="18"/>
                      <w:lang w:val="en-US" w:eastAsia="zh-CN" w:bidi="ar-SA"/>
                    </w:rPr>
                  </w:pPr>
                  <w:r>
                    <w:rPr>
                      <w:rFonts w:hint="eastAsia" w:ascii="Times New Roman" w:hAnsi="Times New Roman" w:eastAsia="宋体"/>
                      <w:color w:val="auto"/>
                      <w:sz w:val="21"/>
                      <w:szCs w:val="18"/>
                      <w:lang w:val="en-US" w:eastAsia="zh-CN"/>
                    </w:rPr>
                    <w:t>设备维修保养</w:t>
                  </w:r>
                </w:p>
              </w:tc>
              <w:tc>
                <w:tcPr>
                  <w:tcW w:w="719" w:type="pct"/>
                  <w:noWrap w:val="0"/>
                  <w:vAlign w:val="center"/>
                </w:tcPr>
                <w:p w14:paraId="1B8C93B3">
                  <w:pPr>
                    <w:pStyle w:val="17"/>
                    <w:spacing w:line="240" w:lineRule="auto"/>
                    <w:ind w:left="0" w:leftChars="0" w:firstLine="0" w:firstLineChars="0"/>
                    <w:jc w:val="center"/>
                    <w:rPr>
                      <w:rFonts w:hint="eastAsia" w:ascii="Times New Roman" w:hAnsi="Times New Roman" w:eastAsia="宋体" w:cs="Times New Roman"/>
                      <w:b w:val="0"/>
                      <w:color w:val="auto"/>
                      <w:kern w:val="2"/>
                      <w:sz w:val="21"/>
                      <w:szCs w:val="18"/>
                      <w:lang w:val="en-US" w:eastAsia="zh-CN" w:bidi="ar-SA"/>
                    </w:rPr>
                  </w:pPr>
                  <w:r>
                    <w:rPr>
                      <w:rFonts w:hint="eastAsia" w:ascii="Times New Roman" w:hAnsi="Times New Roman" w:eastAsia="宋体" w:cs="Times New Roman"/>
                      <w:b w:val="0"/>
                      <w:color w:val="auto"/>
                      <w:sz w:val="21"/>
                      <w:szCs w:val="18"/>
                      <w:lang w:val="en-US" w:eastAsia="zh-CN"/>
                    </w:rPr>
                    <w:t>废劳保用品</w:t>
                  </w:r>
                </w:p>
              </w:tc>
              <w:tc>
                <w:tcPr>
                  <w:tcW w:w="1061" w:type="pct"/>
                  <w:vMerge w:val="continue"/>
                  <w:noWrap w:val="0"/>
                  <w:vAlign w:val="center"/>
                </w:tcPr>
                <w:p w14:paraId="70721191">
                  <w:pPr>
                    <w:pStyle w:val="14"/>
                    <w:spacing w:before="0" w:beforeAutospacing="0" w:after="0" w:afterAutospacing="0"/>
                    <w:jc w:val="both"/>
                    <w:outlineLvl w:val="0"/>
                    <w:rPr>
                      <w:rFonts w:ascii="Times New Roman" w:hAnsi="Times New Roman" w:eastAsia="宋体"/>
                      <w:color w:val="auto"/>
                      <w:sz w:val="21"/>
                    </w:rPr>
                  </w:pPr>
                </w:p>
              </w:tc>
              <w:tc>
                <w:tcPr>
                  <w:tcW w:w="1079" w:type="pct"/>
                  <w:vMerge w:val="continue"/>
                  <w:noWrap w:val="0"/>
                  <w:vAlign w:val="center"/>
                </w:tcPr>
                <w:p w14:paraId="5F3E437D">
                  <w:pPr>
                    <w:pStyle w:val="14"/>
                    <w:spacing w:before="0" w:beforeAutospacing="0" w:after="0" w:afterAutospacing="0"/>
                    <w:jc w:val="center"/>
                    <w:outlineLvl w:val="0"/>
                    <w:rPr>
                      <w:rFonts w:ascii="Times New Roman" w:hAnsi="Times New Roman" w:eastAsia="宋体"/>
                      <w:color w:val="auto"/>
                      <w:sz w:val="21"/>
                    </w:rPr>
                  </w:pPr>
                </w:p>
              </w:tc>
              <w:tc>
                <w:tcPr>
                  <w:tcW w:w="496" w:type="pct"/>
                  <w:vMerge w:val="continue"/>
                  <w:noWrap w:val="0"/>
                  <w:vAlign w:val="center"/>
                </w:tcPr>
                <w:p w14:paraId="2BFCA76C">
                  <w:pPr>
                    <w:pStyle w:val="14"/>
                    <w:spacing w:before="0" w:beforeAutospacing="0" w:after="0" w:afterAutospacing="0"/>
                    <w:jc w:val="center"/>
                    <w:outlineLvl w:val="0"/>
                    <w:rPr>
                      <w:rFonts w:hint="eastAsia" w:ascii="Times New Roman" w:hAnsi="Times New Roman" w:eastAsia="宋体"/>
                      <w:color w:val="auto"/>
                      <w:sz w:val="21"/>
                    </w:rPr>
                  </w:pPr>
                </w:p>
              </w:tc>
              <w:tc>
                <w:tcPr>
                  <w:tcW w:w="299" w:type="pct"/>
                  <w:vMerge w:val="continue"/>
                  <w:noWrap w:val="0"/>
                  <w:vAlign w:val="center"/>
                </w:tcPr>
                <w:p w14:paraId="277C6B9A">
                  <w:pPr>
                    <w:pStyle w:val="14"/>
                    <w:spacing w:before="0" w:beforeAutospacing="0" w:after="0" w:afterAutospacing="0"/>
                    <w:jc w:val="center"/>
                    <w:outlineLvl w:val="0"/>
                    <w:rPr>
                      <w:rFonts w:hint="eastAsia" w:ascii="Times New Roman" w:hAnsi="Times New Roman" w:eastAsia="宋体"/>
                      <w:color w:val="auto"/>
                      <w:sz w:val="21"/>
                    </w:rPr>
                  </w:pPr>
                </w:p>
              </w:tc>
            </w:tr>
            <w:tr w14:paraId="3D828404">
              <w:trPr>
                <w:trHeight w:val="1096" w:hRule="atLeast"/>
              </w:trPr>
              <w:tc>
                <w:tcPr>
                  <w:tcW w:w="680" w:type="pct"/>
                  <w:vMerge w:val="continue"/>
                  <w:noWrap w:val="0"/>
                  <w:vAlign w:val="center"/>
                </w:tcPr>
                <w:p w14:paraId="47DB61D5">
                  <w:pPr>
                    <w:pStyle w:val="14"/>
                    <w:spacing w:before="0" w:beforeAutospacing="0" w:after="0" w:afterAutospacing="0"/>
                    <w:jc w:val="center"/>
                    <w:outlineLvl w:val="0"/>
                    <w:rPr>
                      <w:rFonts w:ascii="Times New Roman" w:hAnsi="Times New Roman" w:eastAsia="宋体"/>
                      <w:color w:val="auto"/>
                      <w:sz w:val="21"/>
                    </w:rPr>
                  </w:pPr>
                </w:p>
              </w:tc>
              <w:tc>
                <w:tcPr>
                  <w:tcW w:w="663" w:type="pct"/>
                  <w:noWrap w:val="0"/>
                  <w:vAlign w:val="center"/>
                </w:tcPr>
                <w:p w14:paraId="5DA23F13">
                  <w:pPr>
                    <w:adjustRightInd w:val="0"/>
                    <w:snapToGrid w:val="0"/>
                    <w:jc w:val="center"/>
                    <w:rPr>
                      <w:rFonts w:hint="default" w:ascii="Times New Roman" w:hAnsi="Times New Roman" w:eastAsia="宋体"/>
                      <w:color w:val="auto"/>
                      <w:sz w:val="21"/>
                      <w:szCs w:val="18"/>
                      <w:lang w:val="en-US" w:eastAsia="zh-CN"/>
                    </w:rPr>
                  </w:pPr>
                  <w:r>
                    <w:rPr>
                      <w:rFonts w:hint="eastAsia"/>
                      <w:color w:val="auto"/>
                      <w:sz w:val="21"/>
                      <w:szCs w:val="18"/>
                      <w:lang w:val="en-US" w:eastAsia="zh-CN"/>
                    </w:rPr>
                    <w:t>化学品包装</w:t>
                  </w:r>
                </w:p>
              </w:tc>
              <w:tc>
                <w:tcPr>
                  <w:tcW w:w="719" w:type="pct"/>
                  <w:noWrap w:val="0"/>
                  <w:vAlign w:val="center"/>
                </w:tcPr>
                <w:p w14:paraId="6A9FFB22">
                  <w:pPr>
                    <w:pStyle w:val="17"/>
                    <w:spacing w:line="240" w:lineRule="auto"/>
                    <w:ind w:left="0" w:leftChars="0" w:firstLine="0" w:firstLineChars="0"/>
                    <w:jc w:val="center"/>
                    <w:rPr>
                      <w:rFonts w:hint="default" w:ascii="Times New Roman" w:hAnsi="Times New Roman" w:eastAsia="宋体"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化学品包装材料</w:t>
                  </w:r>
                </w:p>
              </w:tc>
              <w:tc>
                <w:tcPr>
                  <w:tcW w:w="1061" w:type="pct"/>
                  <w:vMerge w:val="continue"/>
                  <w:noWrap w:val="0"/>
                  <w:vAlign w:val="center"/>
                </w:tcPr>
                <w:p w14:paraId="2DE5B466">
                  <w:pPr>
                    <w:pStyle w:val="14"/>
                    <w:spacing w:before="0" w:beforeAutospacing="0" w:after="0" w:afterAutospacing="0"/>
                    <w:jc w:val="both"/>
                    <w:outlineLvl w:val="0"/>
                    <w:rPr>
                      <w:rFonts w:ascii="Times New Roman" w:hAnsi="Times New Roman" w:eastAsia="宋体"/>
                      <w:color w:val="auto"/>
                      <w:sz w:val="21"/>
                    </w:rPr>
                  </w:pPr>
                </w:p>
              </w:tc>
              <w:tc>
                <w:tcPr>
                  <w:tcW w:w="1079" w:type="pct"/>
                  <w:vMerge w:val="continue"/>
                  <w:noWrap w:val="0"/>
                  <w:vAlign w:val="center"/>
                </w:tcPr>
                <w:p w14:paraId="6045D29B">
                  <w:pPr>
                    <w:pStyle w:val="14"/>
                    <w:spacing w:before="0" w:beforeAutospacing="0" w:after="0" w:afterAutospacing="0"/>
                    <w:jc w:val="center"/>
                    <w:outlineLvl w:val="0"/>
                    <w:rPr>
                      <w:rFonts w:ascii="Times New Roman" w:hAnsi="Times New Roman" w:eastAsia="宋体"/>
                      <w:color w:val="auto"/>
                      <w:sz w:val="21"/>
                    </w:rPr>
                  </w:pPr>
                </w:p>
              </w:tc>
              <w:tc>
                <w:tcPr>
                  <w:tcW w:w="496" w:type="pct"/>
                  <w:vMerge w:val="continue"/>
                  <w:noWrap w:val="0"/>
                  <w:vAlign w:val="center"/>
                </w:tcPr>
                <w:p w14:paraId="1188DDDF">
                  <w:pPr>
                    <w:pStyle w:val="14"/>
                    <w:spacing w:before="0" w:beforeAutospacing="0" w:after="0" w:afterAutospacing="0"/>
                    <w:jc w:val="center"/>
                    <w:outlineLvl w:val="0"/>
                    <w:rPr>
                      <w:rFonts w:hint="eastAsia" w:ascii="Times New Roman" w:hAnsi="Times New Roman" w:eastAsia="宋体"/>
                      <w:color w:val="auto"/>
                      <w:sz w:val="21"/>
                    </w:rPr>
                  </w:pPr>
                </w:p>
              </w:tc>
              <w:tc>
                <w:tcPr>
                  <w:tcW w:w="299" w:type="pct"/>
                  <w:vMerge w:val="continue"/>
                  <w:noWrap w:val="0"/>
                  <w:vAlign w:val="center"/>
                </w:tcPr>
                <w:p w14:paraId="317527A4">
                  <w:pPr>
                    <w:pStyle w:val="14"/>
                    <w:spacing w:before="0" w:beforeAutospacing="0" w:after="0" w:afterAutospacing="0"/>
                    <w:jc w:val="center"/>
                    <w:outlineLvl w:val="0"/>
                    <w:rPr>
                      <w:rFonts w:hint="eastAsia" w:ascii="Times New Roman" w:hAnsi="Times New Roman" w:eastAsia="宋体"/>
                      <w:color w:val="auto"/>
                      <w:sz w:val="21"/>
                    </w:rPr>
                  </w:pPr>
                </w:p>
              </w:tc>
            </w:tr>
            <w:tr w14:paraId="5958FCC4">
              <w:trPr>
                <w:trHeight w:val="1096" w:hRule="atLeast"/>
              </w:trPr>
              <w:tc>
                <w:tcPr>
                  <w:tcW w:w="680" w:type="pct"/>
                  <w:vMerge w:val="continue"/>
                  <w:noWrap w:val="0"/>
                  <w:vAlign w:val="center"/>
                </w:tcPr>
                <w:p w14:paraId="1217845F">
                  <w:pPr>
                    <w:pStyle w:val="14"/>
                    <w:spacing w:before="0" w:beforeAutospacing="0" w:after="0" w:afterAutospacing="0"/>
                    <w:jc w:val="center"/>
                    <w:outlineLvl w:val="0"/>
                    <w:rPr>
                      <w:rFonts w:ascii="Times New Roman" w:hAnsi="Times New Roman" w:eastAsia="宋体"/>
                      <w:color w:val="auto"/>
                      <w:sz w:val="21"/>
                    </w:rPr>
                  </w:pPr>
                </w:p>
              </w:tc>
              <w:tc>
                <w:tcPr>
                  <w:tcW w:w="663" w:type="pct"/>
                  <w:noWrap w:val="0"/>
                  <w:vAlign w:val="center"/>
                </w:tcPr>
                <w:p w14:paraId="1DC9FE59">
                  <w:pPr>
                    <w:adjustRightInd w:val="0"/>
                    <w:snapToGrid w:val="0"/>
                    <w:jc w:val="center"/>
                    <w:rPr>
                      <w:rFonts w:hint="default" w:ascii="Times New Roman" w:hAnsi="Times New Roman" w:eastAsia="宋体"/>
                      <w:color w:val="auto"/>
                      <w:kern w:val="2"/>
                      <w:sz w:val="21"/>
                      <w:szCs w:val="18"/>
                      <w:lang w:val="en-US" w:eastAsia="zh-CN" w:bidi="ar-SA"/>
                    </w:rPr>
                  </w:pPr>
                  <w:r>
                    <w:rPr>
                      <w:rFonts w:hint="eastAsia" w:ascii="Times New Roman" w:hAnsi="Times New Roman" w:eastAsia="宋体"/>
                      <w:color w:val="auto"/>
                      <w:sz w:val="21"/>
                      <w:szCs w:val="18"/>
                    </w:rPr>
                    <w:t>员工工作、生活</w:t>
                  </w:r>
                </w:p>
              </w:tc>
              <w:tc>
                <w:tcPr>
                  <w:tcW w:w="719" w:type="pct"/>
                  <w:noWrap w:val="0"/>
                  <w:vAlign w:val="center"/>
                </w:tcPr>
                <w:p w14:paraId="2B6CB0B6">
                  <w:pPr>
                    <w:pStyle w:val="17"/>
                    <w:spacing w:line="240" w:lineRule="auto"/>
                    <w:ind w:left="0" w:leftChars="0" w:firstLine="0" w:firstLineChars="0"/>
                    <w:jc w:val="center"/>
                    <w:rPr>
                      <w:rFonts w:hint="eastAsia" w:ascii="Times New Roman" w:hAnsi="Times New Roman" w:eastAsia="宋体" w:cs="Times New Roman"/>
                      <w:b w:val="0"/>
                      <w:color w:val="auto"/>
                      <w:kern w:val="2"/>
                      <w:sz w:val="21"/>
                      <w:szCs w:val="18"/>
                      <w:lang w:val="en-US" w:eastAsia="zh-CN" w:bidi="ar-SA"/>
                    </w:rPr>
                  </w:pPr>
                  <w:r>
                    <w:rPr>
                      <w:rFonts w:hint="eastAsia" w:ascii="Times New Roman" w:hAnsi="Times New Roman" w:eastAsia="宋体" w:cs="Times New Roman"/>
                      <w:b w:val="0"/>
                      <w:color w:val="auto"/>
                      <w:sz w:val="21"/>
                      <w:szCs w:val="18"/>
                    </w:rPr>
                    <w:t>生活垃圾</w:t>
                  </w:r>
                </w:p>
              </w:tc>
              <w:tc>
                <w:tcPr>
                  <w:tcW w:w="1061" w:type="pct"/>
                  <w:noWrap w:val="0"/>
                  <w:vAlign w:val="center"/>
                </w:tcPr>
                <w:p w14:paraId="2B5E301E">
                  <w:pPr>
                    <w:pStyle w:val="14"/>
                    <w:spacing w:before="0" w:beforeAutospacing="0" w:after="0" w:afterAutospacing="0"/>
                    <w:jc w:val="center"/>
                    <w:outlineLvl w:val="0"/>
                    <w:rPr>
                      <w:rFonts w:ascii="Times New Roman" w:hAnsi="Times New Roman" w:eastAsia="宋体"/>
                      <w:color w:val="auto"/>
                      <w:sz w:val="21"/>
                    </w:rPr>
                  </w:pPr>
                  <w:r>
                    <w:rPr>
                      <w:rFonts w:ascii="Times New Roman" w:hAnsi="Times New Roman" w:eastAsia="宋体"/>
                      <w:color w:val="auto"/>
                      <w:sz w:val="21"/>
                    </w:rPr>
                    <w:t>设置垃圾桶、垃圾箱，委托环卫部门统一清运</w:t>
                  </w:r>
                </w:p>
              </w:tc>
              <w:tc>
                <w:tcPr>
                  <w:tcW w:w="1079" w:type="pct"/>
                  <w:vMerge w:val="continue"/>
                  <w:noWrap w:val="0"/>
                  <w:vAlign w:val="center"/>
                </w:tcPr>
                <w:p w14:paraId="1599A6ED">
                  <w:pPr>
                    <w:pStyle w:val="14"/>
                    <w:spacing w:before="0" w:beforeAutospacing="0" w:after="0" w:afterAutospacing="0"/>
                    <w:jc w:val="center"/>
                    <w:outlineLvl w:val="0"/>
                    <w:rPr>
                      <w:rFonts w:ascii="Times New Roman" w:hAnsi="Times New Roman" w:eastAsia="宋体"/>
                      <w:color w:val="auto"/>
                      <w:sz w:val="21"/>
                    </w:rPr>
                  </w:pPr>
                </w:p>
              </w:tc>
              <w:tc>
                <w:tcPr>
                  <w:tcW w:w="496" w:type="pct"/>
                  <w:noWrap w:val="0"/>
                  <w:vAlign w:val="center"/>
                </w:tcPr>
                <w:p w14:paraId="440AE48E">
                  <w:pPr>
                    <w:pStyle w:val="14"/>
                    <w:spacing w:before="0" w:beforeAutospacing="0" w:after="0" w:afterAutospacing="0"/>
                    <w:jc w:val="center"/>
                    <w:outlineLvl w:val="0"/>
                    <w:rPr>
                      <w:rFonts w:hint="eastAsia" w:ascii="Times New Roman" w:hAnsi="Times New Roman" w:eastAsia="宋体"/>
                      <w:color w:val="auto"/>
                      <w:sz w:val="21"/>
                      <w:lang w:eastAsia="zh-CN"/>
                    </w:rPr>
                  </w:pPr>
                  <w:r>
                    <w:rPr>
                      <w:rFonts w:hint="eastAsia" w:ascii="Times New Roman" w:hAnsi="Times New Roman"/>
                      <w:color w:val="auto"/>
                      <w:sz w:val="21"/>
                      <w:lang w:val="en-US" w:eastAsia="zh-CN"/>
                    </w:rPr>
                    <w:t>1</w:t>
                  </w:r>
                </w:p>
              </w:tc>
              <w:tc>
                <w:tcPr>
                  <w:tcW w:w="299" w:type="pct"/>
                  <w:vMerge w:val="continue"/>
                  <w:noWrap w:val="0"/>
                  <w:vAlign w:val="center"/>
                </w:tcPr>
                <w:p w14:paraId="0CE537CD">
                  <w:pPr>
                    <w:pStyle w:val="14"/>
                    <w:spacing w:before="0" w:beforeAutospacing="0" w:after="0" w:afterAutospacing="0"/>
                    <w:jc w:val="center"/>
                    <w:outlineLvl w:val="0"/>
                    <w:rPr>
                      <w:rFonts w:hint="eastAsia" w:ascii="Times New Roman" w:hAnsi="Times New Roman" w:eastAsia="宋体"/>
                      <w:color w:val="auto"/>
                      <w:sz w:val="21"/>
                    </w:rPr>
                  </w:pPr>
                </w:p>
              </w:tc>
            </w:tr>
            <w:tr w14:paraId="03824C06">
              <w:trPr>
                <w:trHeight w:val="680" w:hRule="atLeast"/>
              </w:trPr>
              <w:tc>
                <w:tcPr>
                  <w:tcW w:w="680" w:type="pct"/>
                  <w:noWrap w:val="0"/>
                  <w:vAlign w:val="center"/>
                </w:tcPr>
                <w:p w14:paraId="2E84584D">
                  <w:pPr>
                    <w:pStyle w:val="14"/>
                    <w:spacing w:before="0" w:beforeAutospacing="0" w:after="0" w:afterAutospacing="0"/>
                    <w:jc w:val="center"/>
                    <w:outlineLvl w:val="0"/>
                    <w:rPr>
                      <w:rFonts w:ascii="Times New Roman" w:hAnsi="Times New Roman" w:eastAsia="宋体"/>
                      <w:color w:val="auto"/>
                      <w:sz w:val="21"/>
                    </w:rPr>
                  </w:pPr>
                  <w:r>
                    <w:rPr>
                      <w:rFonts w:hint="eastAsia" w:ascii="Times New Roman" w:hAnsi="Times New Roman" w:eastAsia="宋体"/>
                      <w:color w:val="auto"/>
                      <w:sz w:val="21"/>
                    </w:rPr>
                    <w:t>事故应急措施</w:t>
                  </w:r>
                </w:p>
              </w:tc>
              <w:tc>
                <w:tcPr>
                  <w:tcW w:w="3524" w:type="pct"/>
                  <w:gridSpan w:val="4"/>
                  <w:noWrap w:val="0"/>
                  <w:vAlign w:val="center"/>
                </w:tcPr>
                <w:p w14:paraId="6781D494">
                  <w:pPr>
                    <w:pStyle w:val="14"/>
                    <w:spacing w:before="0" w:beforeAutospacing="0" w:after="0" w:afterAutospacing="0"/>
                    <w:jc w:val="center"/>
                    <w:outlineLvl w:val="0"/>
                    <w:rPr>
                      <w:rFonts w:ascii="Times New Roman" w:hAnsi="Times New Roman" w:eastAsia="宋体"/>
                      <w:color w:val="auto"/>
                      <w:sz w:val="21"/>
                    </w:rPr>
                  </w:pPr>
                  <w:r>
                    <w:rPr>
                      <w:rFonts w:hint="eastAsia" w:ascii="Times New Roman" w:hAnsi="Times New Roman"/>
                      <w:color w:val="auto"/>
                      <w:sz w:val="21"/>
                    </w:rPr>
                    <w:t>事故应急物资</w:t>
                  </w:r>
                  <w:r>
                    <w:rPr>
                      <w:rFonts w:hint="eastAsia" w:ascii="Times New Roman" w:hAnsi="Times New Roman"/>
                      <w:color w:val="auto"/>
                      <w:sz w:val="21"/>
                      <w:lang w:eastAsia="zh-CN"/>
                    </w:rPr>
                    <w:t>、</w:t>
                  </w:r>
                  <w:r>
                    <w:rPr>
                      <w:rFonts w:hint="eastAsia" w:ascii="Times New Roman" w:hAnsi="Times New Roman"/>
                      <w:color w:val="auto"/>
                      <w:sz w:val="21"/>
                      <w:lang w:val="en-US" w:eastAsia="zh-CN"/>
                    </w:rPr>
                    <w:t>事故应急设施</w:t>
                  </w:r>
                </w:p>
              </w:tc>
              <w:tc>
                <w:tcPr>
                  <w:tcW w:w="496" w:type="pct"/>
                  <w:noWrap w:val="0"/>
                  <w:vAlign w:val="center"/>
                </w:tcPr>
                <w:p w14:paraId="0A3D7150">
                  <w:pPr>
                    <w:pStyle w:val="14"/>
                    <w:spacing w:before="0" w:beforeAutospacing="0" w:after="0" w:afterAutospacing="0"/>
                    <w:jc w:val="center"/>
                    <w:outlineLvl w:val="0"/>
                    <w:rPr>
                      <w:rFonts w:hint="eastAsia" w:ascii="Times New Roman" w:hAnsi="Times New Roman" w:eastAsia="宋体"/>
                      <w:color w:val="auto"/>
                      <w:sz w:val="21"/>
                      <w:lang w:eastAsia="zh-CN"/>
                    </w:rPr>
                  </w:pPr>
                  <w:r>
                    <w:rPr>
                      <w:rFonts w:hint="eastAsia" w:ascii="Times New Roman" w:hAnsi="Times New Roman"/>
                      <w:color w:val="auto"/>
                      <w:sz w:val="21"/>
                      <w:lang w:val="en-US" w:eastAsia="zh-CN"/>
                    </w:rPr>
                    <w:t>9</w:t>
                  </w:r>
                </w:p>
              </w:tc>
              <w:tc>
                <w:tcPr>
                  <w:tcW w:w="299" w:type="pct"/>
                  <w:vMerge w:val="continue"/>
                  <w:noWrap w:val="0"/>
                  <w:vAlign w:val="center"/>
                </w:tcPr>
                <w:p w14:paraId="6F9331D1">
                  <w:pPr>
                    <w:pStyle w:val="14"/>
                    <w:spacing w:before="0" w:beforeAutospacing="0" w:after="0" w:afterAutospacing="0"/>
                    <w:jc w:val="center"/>
                    <w:outlineLvl w:val="0"/>
                    <w:rPr>
                      <w:rFonts w:hint="eastAsia" w:ascii="Times New Roman" w:hAnsi="Times New Roman" w:eastAsia="宋体"/>
                      <w:color w:val="auto"/>
                      <w:sz w:val="21"/>
                    </w:rPr>
                  </w:pPr>
                </w:p>
              </w:tc>
            </w:tr>
            <w:tr w14:paraId="6E6DA1F5">
              <w:trPr>
                <w:trHeight w:val="807" w:hRule="atLeast"/>
              </w:trPr>
              <w:tc>
                <w:tcPr>
                  <w:tcW w:w="680" w:type="pct"/>
                  <w:noWrap w:val="0"/>
                  <w:vAlign w:val="center"/>
                </w:tcPr>
                <w:p w14:paraId="6E0CA098">
                  <w:pPr>
                    <w:pStyle w:val="14"/>
                    <w:spacing w:before="0" w:beforeAutospacing="0" w:after="0" w:afterAutospacing="0"/>
                    <w:jc w:val="center"/>
                    <w:outlineLvl w:val="0"/>
                    <w:rPr>
                      <w:rFonts w:ascii="Times New Roman" w:hAnsi="Times New Roman" w:eastAsia="宋体"/>
                      <w:color w:val="auto"/>
                      <w:sz w:val="21"/>
                    </w:rPr>
                  </w:pPr>
                  <w:r>
                    <w:rPr>
                      <w:rFonts w:hint="eastAsia" w:ascii="Times New Roman" w:hAnsi="Times New Roman" w:eastAsia="宋体"/>
                      <w:color w:val="auto"/>
                      <w:sz w:val="21"/>
                    </w:rPr>
                    <w:t>“以新带老”措施</w:t>
                  </w:r>
                </w:p>
              </w:tc>
              <w:tc>
                <w:tcPr>
                  <w:tcW w:w="3524" w:type="pct"/>
                  <w:gridSpan w:val="4"/>
                  <w:noWrap w:val="0"/>
                  <w:vAlign w:val="center"/>
                </w:tcPr>
                <w:p w14:paraId="6A2C788A">
                  <w:pPr>
                    <w:pStyle w:val="14"/>
                    <w:spacing w:before="0" w:beforeAutospacing="0" w:after="0" w:afterAutospacing="0"/>
                    <w:jc w:val="center"/>
                    <w:outlineLvl w:val="0"/>
                    <w:rPr>
                      <w:rFonts w:ascii="Times New Roman" w:hAnsi="Times New Roman" w:eastAsia="宋体"/>
                      <w:color w:val="auto"/>
                      <w:sz w:val="21"/>
                    </w:rPr>
                  </w:pPr>
                  <w:r>
                    <w:rPr>
                      <w:rFonts w:hint="eastAsia" w:ascii="Times New Roman" w:hAnsi="Times New Roman"/>
                      <w:color w:val="auto"/>
                      <w:sz w:val="21"/>
                    </w:rPr>
                    <w:t>/</w:t>
                  </w:r>
                </w:p>
              </w:tc>
              <w:tc>
                <w:tcPr>
                  <w:tcW w:w="496" w:type="pct"/>
                  <w:noWrap w:val="0"/>
                  <w:vAlign w:val="center"/>
                </w:tcPr>
                <w:p w14:paraId="58F2BEA2">
                  <w:pPr>
                    <w:pStyle w:val="14"/>
                    <w:spacing w:before="0" w:beforeAutospacing="0" w:after="0" w:afterAutospacing="0"/>
                    <w:jc w:val="center"/>
                    <w:outlineLvl w:val="0"/>
                    <w:rPr>
                      <w:rFonts w:ascii="Times New Roman" w:hAnsi="Times New Roman" w:eastAsia="宋体"/>
                      <w:color w:val="auto"/>
                      <w:sz w:val="21"/>
                    </w:rPr>
                  </w:pPr>
                  <w:r>
                    <w:rPr>
                      <w:rFonts w:hint="eastAsia" w:ascii="Times New Roman" w:hAnsi="Times New Roman" w:eastAsia="宋体"/>
                      <w:color w:val="auto"/>
                      <w:sz w:val="21"/>
                    </w:rPr>
                    <w:t>/</w:t>
                  </w:r>
                </w:p>
              </w:tc>
              <w:tc>
                <w:tcPr>
                  <w:tcW w:w="299" w:type="pct"/>
                  <w:vMerge w:val="continue"/>
                  <w:noWrap w:val="0"/>
                  <w:vAlign w:val="center"/>
                </w:tcPr>
                <w:p w14:paraId="724E9AC4">
                  <w:pPr>
                    <w:pStyle w:val="14"/>
                    <w:spacing w:before="0" w:beforeAutospacing="0" w:after="0" w:afterAutospacing="0"/>
                    <w:jc w:val="center"/>
                    <w:outlineLvl w:val="0"/>
                    <w:rPr>
                      <w:rFonts w:hint="eastAsia" w:ascii="Times New Roman" w:hAnsi="Times New Roman" w:eastAsia="宋体"/>
                      <w:color w:val="auto"/>
                      <w:sz w:val="21"/>
                    </w:rPr>
                  </w:pPr>
                </w:p>
              </w:tc>
            </w:tr>
            <w:tr w14:paraId="7CB44B39">
              <w:trPr>
                <w:trHeight w:val="1896" w:hRule="atLeast"/>
              </w:trPr>
              <w:tc>
                <w:tcPr>
                  <w:tcW w:w="680" w:type="pct"/>
                  <w:noWrap w:val="0"/>
                  <w:vAlign w:val="center"/>
                </w:tcPr>
                <w:p w14:paraId="74C8E3A0">
                  <w:pPr>
                    <w:pStyle w:val="14"/>
                    <w:spacing w:before="0" w:beforeAutospacing="0" w:after="0" w:afterAutospacing="0"/>
                    <w:jc w:val="center"/>
                    <w:outlineLvl w:val="0"/>
                    <w:rPr>
                      <w:rFonts w:ascii="Times New Roman" w:hAnsi="Times New Roman" w:eastAsia="宋体"/>
                      <w:color w:val="auto"/>
                      <w:sz w:val="21"/>
                    </w:rPr>
                  </w:pPr>
                  <w:r>
                    <w:rPr>
                      <w:rFonts w:hint="eastAsia" w:ascii="Times New Roman" w:hAnsi="Times New Roman" w:eastAsia="宋体"/>
                      <w:color w:val="auto"/>
                      <w:sz w:val="21"/>
                    </w:rPr>
                    <w:t>清污分流、排污口规范化设置（流量计、在线监测仪等）</w:t>
                  </w:r>
                </w:p>
              </w:tc>
              <w:tc>
                <w:tcPr>
                  <w:tcW w:w="3524" w:type="pct"/>
                  <w:gridSpan w:val="4"/>
                  <w:noWrap w:val="0"/>
                  <w:vAlign w:val="center"/>
                </w:tcPr>
                <w:p w14:paraId="7E2E3F7E">
                  <w:pPr>
                    <w:pStyle w:val="14"/>
                    <w:spacing w:before="0" w:beforeAutospacing="0" w:after="0" w:afterAutospacing="0"/>
                    <w:jc w:val="center"/>
                    <w:outlineLvl w:val="0"/>
                    <w:rPr>
                      <w:rFonts w:hint="default" w:ascii="Times New Roman" w:hAnsi="Times New Roman" w:eastAsia="宋体"/>
                      <w:color w:val="auto"/>
                      <w:sz w:val="21"/>
                      <w:lang w:val="en-US" w:eastAsia="zh-CN"/>
                    </w:rPr>
                  </w:pPr>
                  <w:r>
                    <w:rPr>
                      <w:rFonts w:ascii="Times New Roman" w:hAnsi="Times New Roman" w:eastAsia="宋体"/>
                      <w:color w:val="auto"/>
                      <w:sz w:val="21"/>
                    </w:rPr>
                    <w:t>废气：</w:t>
                  </w:r>
                  <w:r>
                    <w:rPr>
                      <w:rFonts w:hint="eastAsia" w:ascii="Times New Roman" w:hAnsi="Times New Roman"/>
                      <w:color w:val="auto"/>
                      <w:sz w:val="21"/>
                      <w:lang w:val="en-US" w:eastAsia="zh-CN"/>
                    </w:rPr>
                    <w:t>2</w:t>
                  </w:r>
                  <w:r>
                    <w:rPr>
                      <w:rFonts w:ascii="Times New Roman" w:hAnsi="Times New Roman" w:eastAsia="宋体"/>
                      <w:color w:val="auto"/>
                      <w:sz w:val="21"/>
                    </w:rPr>
                    <w:t>个废气排放口</w:t>
                  </w:r>
                </w:p>
                <w:p w14:paraId="1D1105CB">
                  <w:pPr>
                    <w:pStyle w:val="14"/>
                    <w:spacing w:before="0" w:beforeAutospacing="0" w:after="0" w:afterAutospacing="0"/>
                    <w:jc w:val="center"/>
                    <w:outlineLvl w:val="0"/>
                    <w:rPr>
                      <w:rFonts w:hint="default" w:ascii="Times New Roman" w:hAnsi="Times New Roman" w:eastAsia="宋体"/>
                      <w:color w:val="auto"/>
                      <w:sz w:val="21"/>
                      <w:lang w:val="en-US" w:eastAsia="zh-CN"/>
                    </w:rPr>
                  </w:pPr>
                  <w:r>
                    <w:rPr>
                      <w:rFonts w:hint="eastAsia" w:ascii="Times New Roman" w:hAnsi="Times New Roman" w:eastAsia="宋体"/>
                      <w:color w:val="auto"/>
                      <w:sz w:val="21"/>
                    </w:rPr>
                    <w:t>废水：1个雨水排口</w:t>
                  </w:r>
                  <w:r>
                    <w:rPr>
                      <w:rFonts w:hint="eastAsia" w:ascii="Times New Roman" w:hAnsi="Times New Roman" w:eastAsia="宋体"/>
                      <w:color w:val="auto"/>
                      <w:sz w:val="21"/>
                      <w:lang w:eastAsia="zh-CN"/>
                    </w:rPr>
                    <w:t>、</w:t>
                  </w:r>
                  <w:r>
                    <w:rPr>
                      <w:rFonts w:hint="eastAsia" w:ascii="Times New Roman" w:hAnsi="Times New Roman" w:eastAsia="宋体"/>
                      <w:color w:val="auto"/>
                      <w:sz w:val="21"/>
                      <w:lang w:val="en-US" w:eastAsia="zh-CN"/>
                    </w:rPr>
                    <w:t>1个污水排口</w:t>
                  </w:r>
                </w:p>
              </w:tc>
              <w:tc>
                <w:tcPr>
                  <w:tcW w:w="496" w:type="pct"/>
                  <w:noWrap w:val="0"/>
                  <w:vAlign w:val="center"/>
                </w:tcPr>
                <w:p w14:paraId="74338B48">
                  <w:pPr>
                    <w:pStyle w:val="14"/>
                    <w:spacing w:before="0" w:beforeAutospacing="0" w:after="0" w:afterAutospacing="0"/>
                    <w:jc w:val="center"/>
                    <w:outlineLvl w:val="0"/>
                    <w:rPr>
                      <w:rFonts w:ascii="Times New Roman" w:hAnsi="Times New Roman" w:eastAsia="宋体"/>
                      <w:color w:val="auto"/>
                      <w:sz w:val="21"/>
                    </w:rPr>
                  </w:pPr>
                  <w:r>
                    <w:rPr>
                      <w:rFonts w:hint="eastAsia" w:ascii="Times New Roman" w:hAnsi="Times New Roman" w:eastAsia="宋体"/>
                      <w:color w:val="auto"/>
                      <w:sz w:val="21"/>
                    </w:rPr>
                    <w:t>/</w:t>
                  </w:r>
                </w:p>
              </w:tc>
              <w:tc>
                <w:tcPr>
                  <w:tcW w:w="299" w:type="pct"/>
                  <w:vMerge w:val="continue"/>
                  <w:noWrap w:val="0"/>
                  <w:vAlign w:val="center"/>
                </w:tcPr>
                <w:p w14:paraId="7A73609E">
                  <w:pPr>
                    <w:pStyle w:val="14"/>
                    <w:spacing w:before="0" w:beforeAutospacing="0" w:after="0" w:afterAutospacing="0"/>
                    <w:jc w:val="center"/>
                    <w:outlineLvl w:val="0"/>
                    <w:rPr>
                      <w:rFonts w:hint="eastAsia" w:ascii="Times New Roman" w:hAnsi="Times New Roman" w:eastAsia="宋体"/>
                      <w:color w:val="auto"/>
                      <w:sz w:val="21"/>
                    </w:rPr>
                  </w:pPr>
                </w:p>
              </w:tc>
            </w:tr>
            <w:tr w14:paraId="2085B9E9">
              <w:trPr>
                <w:trHeight w:val="2708" w:hRule="atLeast"/>
              </w:trPr>
              <w:tc>
                <w:tcPr>
                  <w:tcW w:w="680" w:type="pct"/>
                  <w:noWrap w:val="0"/>
                  <w:vAlign w:val="center"/>
                </w:tcPr>
                <w:p w14:paraId="2B064CEA">
                  <w:pPr>
                    <w:pStyle w:val="14"/>
                    <w:spacing w:before="0" w:beforeAutospacing="0" w:after="0" w:afterAutospacing="0"/>
                    <w:jc w:val="center"/>
                    <w:outlineLvl w:val="0"/>
                    <w:rPr>
                      <w:rFonts w:ascii="Times New Roman" w:hAnsi="Times New Roman" w:eastAsia="宋体"/>
                      <w:color w:val="auto"/>
                      <w:sz w:val="21"/>
                    </w:rPr>
                  </w:pPr>
                  <w:r>
                    <w:rPr>
                      <w:rFonts w:ascii="Times New Roman" w:hAnsi="Times New Roman" w:eastAsia="宋体"/>
                      <w:color w:val="auto"/>
                      <w:sz w:val="21"/>
                      <w:szCs w:val="18"/>
                    </w:rPr>
                    <w:t>总量平衡具体方案</w:t>
                  </w:r>
                </w:p>
              </w:tc>
              <w:tc>
                <w:tcPr>
                  <w:tcW w:w="3524" w:type="pct"/>
                  <w:gridSpan w:val="4"/>
                  <w:noWrap w:val="0"/>
                  <w:vAlign w:val="center"/>
                </w:tcPr>
                <w:p w14:paraId="0B7CF131">
                  <w:pPr>
                    <w:pStyle w:val="14"/>
                    <w:spacing w:before="0" w:beforeAutospacing="0" w:after="0" w:afterAutospacing="0"/>
                    <w:ind w:firstLine="420" w:firstLineChars="200"/>
                    <w:jc w:val="both"/>
                    <w:outlineLvl w:val="0"/>
                    <w:rPr>
                      <w:rFonts w:hint="eastAsia" w:ascii="Times New Roman" w:hAnsi="Times New Roman" w:eastAsia="宋体"/>
                      <w:color w:val="auto"/>
                      <w:sz w:val="21"/>
                      <w:szCs w:val="21"/>
                    </w:rPr>
                  </w:pPr>
                  <w:r>
                    <w:rPr>
                      <w:rFonts w:hint="eastAsia" w:ascii="Times New Roman" w:hAnsi="Times New Roman" w:eastAsia="宋体"/>
                      <w:color w:val="auto"/>
                      <w:sz w:val="21"/>
                      <w:szCs w:val="21"/>
                    </w:rPr>
                    <w:t>废气：非甲烷总烃控制总量为1.03</w:t>
                  </w:r>
                  <w:r>
                    <w:rPr>
                      <w:rFonts w:hint="eastAsia" w:ascii="Times New Roman" w:hAnsi="Times New Roman"/>
                      <w:color w:val="auto"/>
                      <w:sz w:val="21"/>
                      <w:szCs w:val="21"/>
                      <w:lang w:val="en-US" w:eastAsia="zh-CN"/>
                    </w:rPr>
                    <w:t>7</w:t>
                  </w:r>
                  <w:r>
                    <w:rPr>
                      <w:rFonts w:hint="eastAsia" w:ascii="Times New Roman" w:hAnsi="Times New Roman" w:eastAsia="宋体"/>
                      <w:color w:val="auto"/>
                      <w:sz w:val="21"/>
                      <w:szCs w:val="21"/>
                    </w:rPr>
                    <w:t>t/a（有组织0.679t/a，无组织0.35</w:t>
                  </w:r>
                  <w:r>
                    <w:rPr>
                      <w:rFonts w:hint="eastAsia" w:ascii="Times New Roman" w:hAnsi="Times New Roman"/>
                      <w:color w:val="auto"/>
                      <w:sz w:val="21"/>
                      <w:szCs w:val="21"/>
                      <w:lang w:val="en-US" w:eastAsia="zh-CN"/>
                    </w:rPr>
                    <w:t>8</w:t>
                  </w:r>
                  <w:r>
                    <w:rPr>
                      <w:rFonts w:hint="eastAsia" w:ascii="Times New Roman" w:hAnsi="Times New Roman" w:eastAsia="宋体"/>
                      <w:color w:val="auto"/>
                      <w:sz w:val="21"/>
                      <w:szCs w:val="21"/>
                    </w:rPr>
                    <w:t>t/a）。</w:t>
                  </w:r>
                  <w:r>
                    <w:rPr>
                      <w:rFonts w:hint="eastAsia" w:ascii="Times New Roman" w:hAnsi="Times New Roman"/>
                      <w:color w:val="auto"/>
                      <w:sz w:val="21"/>
                      <w:szCs w:val="21"/>
                      <w:lang w:eastAsia="zh-CN"/>
                    </w:rPr>
                    <w:t>空气污染物</w:t>
                  </w:r>
                  <w:r>
                    <w:rPr>
                      <w:rFonts w:hint="eastAsia" w:ascii="Times New Roman" w:hAnsi="Times New Roman" w:eastAsia="宋体"/>
                      <w:color w:val="auto"/>
                      <w:sz w:val="21"/>
                      <w:szCs w:val="21"/>
                    </w:rPr>
                    <w:t>总量在涟水县内平衡。</w:t>
                  </w:r>
                </w:p>
                <w:p w14:paraId="63F74E31">
                  <w:pPr>
                    <w:pStyle w:val="14"/>
                    <w:spacing w:before="0" w:beforeAutospacing="0" w:after="0" w:afterAutospacing="0"/>
                    <w:ind w:firstLine="420" w:firstLineChars="200"/>
                    <w:jc w:val="both"/>
                    <w:outlineLvl w:val="0"/>
                    <w:rPr>
                      <w:rFonts w:hint="eastAsia" w:ascii="Times New Roman" w:hAnsi="Times New Roman" w:eastAsia="宋体"/>
                      <w:color w:val="auto"/>
                      <w:sz w:val="21"/>
                      <w:szCs w:val="21"/>
                    </w:rPr>
                  </w:pPr>
                  <w:r>
                    <w:rPr>
                      <w:rFonts w:hint="eastAsia" w:ascii="Times New Roman" w:hAnsi="Times New Roman" w:eastAsia="宋体"/>
                      <w:color w:val="auto"/>
                      <w:sz w:val="21"/>
                      <w:szCs w:val="21"/>
                    </w:rPr>
                    <w:t>废水：本项目废水污染物总量控制因子为：COD、NH</w:t>
                  </w:r>
                  <w:r>
                    <w:rPr>
                      <w:rFonts w:hint="eastAsia" w:ascii="Times New Roman" w:hAnsi="Times New Roman" w:eastAsia="宋体"/>
                      <w:color w:val="auto"/>
                      <w:sz w:val="21"/>
                      <w:szCs w:val="21"/>
                      <w:vertAlign w:val="subscript"/>
                    </w:rPr>
                    <w:t>3</w:t>
                  </w:r>
                  <w:r>
                    <w:rPr>
                      <w:rFonts w:hint="eastAsia" w:ascii="Times New Roman" w:hAnsi="Times New Roman" w:eastAsia="宋体"/>
                      <w:color w:val="auto"/>
                      <w:sz w:val="21"/>
                      <w:szCs w:val="21"/>
                    </w:rPr>
                    <w:t>-N、TP和TN，接管量为：COD</w:t>
                  </w:r>
                  <w:r>
                    <w:rPr>
                      <w:rFonts w:hint="eastAsia" w:ascii="Times New Roman" w:hAnsi="Times New Roman"/>
                      <w:color w:val="auto"/>
                      <w:sz w:val="21"/>
                      <w:szCs w:val="21"/>
                      <w:lang w:val="en-US" w:eastAsia="zh-CN"/>
                    </w:rPr>
                    <w:t>12.954</w:t>
                  </w:r>
                  <w:r>
                    <w:rPr>
                      <w:rFonts w:hint="eastAsia" w:ascii="Times New Roman" w:hAnsi="Times New Roman" w:eastAsia="宋体"/>
                      <w:color w:val="auto"/>
                      <w:sz w:val="21"/>
                      <w:szCs w:val="21"/>
                    </w:rPr>
                    <w:t>t/a、NH</w:t>
                  </w:r>
                  <w:r>
                    <w:rPr>
                      <w:rFonts w:hint="eastAsia" w:ascii="Times New Roman" w:hAnsi="Times New Roman" w:eastAsia="宋体"/>
                      <w:color w:val="auto"/>
                      <w:sz w:val="21"/>
                      <w:szCs w:val="21"/>
                      <w:vertAlign w:val="subscript"/>
                    </w:rPr>
                    <w:t>3</w:t>
                  </w:r>
                  <w:r>
                    <w:rPr>
                      <w:rFonts w:hint="eastAsia" w:ascii="Times New Roman" w:hAnsi="Times New Roman" w:eastAsia="宋体"/>
                      <w:color w:val="auto"/>
                      <w:sz w:val="21"/>
                      <w:szCs w:val="21"/>
                    </w:rPr>
                    <w:t>-N0.1</w:t>
                  </w:r>
                  <w:r>
                    <w:rPr>
                      <w:rFonts w:hint="eastAsia" w:ascii="Times New Roman" w:hAnsi="Times New Roman"/>
                      <w:color w:val="auto"/>
                      <w:sz w:val="21"/>
                      <w:szCs w:val="21"/>
                      <w:lang w:val="en-US" w:eastAsia="zh-CN"/>
                    </w:rPr>
                    <w:t>92</w:t>
                  </w:r>
                  <w:r>
                    <w:rPr>
                      <w:rFonts w:hint="eastAsia" w:ascii="Times New Roman" w:hAnsi="Times New Roman" w:eastAsia="宋体"/>
                      <w:color w:val="auto"/>
                      <w:sz w:val="21"/>
                      <w:szCs w:val="21"/>
                    </w:rPr>
                    <w:t>t/a、TN</w:t>
                  </w:r>
                  <w:r>
                    <w:rPr>
                      <w:rFonts w:hint="eastAsia" w:ascii="Times New Roman" w:hAnsi="Times New Roman"/>
                      <w:color w:val="auto"/>
                      <w:sz w:val="21"/>
                      <w:szCs w:val="21"/>
                      <w:lang w:val="en-US" w:eastAsia="zh-CN"/>
                    </w:rPr>
                    <w:t>0.945</w:t>
                  </w:r>
                  <w:r>
                    <w:rPr>
                      <w:rFonts w:hint="eastAsia" w:ascii="Times New Roman" w:hAnsi="Times New Roman" w:eastAsia="宋体"/>
                      <w:color w:val="auto"/>
                      <w:sz w:val="21"/>
                      <w:szCs w:val="21"/>
                    </w:rPr>
                    <w:t>t/a、TP0.</w:t>
                  </w:r>
                  <w:r>
                    <w:rPr>
                      <w:rFonts w:hint="eastAsia" w:ascii="Times New Roman" w:hAnsi="Times New Roman"/>
                      <w:color w:val="auto"/>
                      <w:sz w:val="21"/>
                      <w:szCs w:val="21"/>
                      <w:lang w:val="en-US" w:eastAsia="zh-CN"/>
                    </w:rPr>
                    <w:t>081</w:t>
                  </w:r>
                  <w:r>
                    <w:rPr>
                      <w:rFonts w:hint="eastAsia" w:ascii="Times New Roman" w:hAnsi="Times New Roman" w:eastAsia="宋体"/>
                      <w:color w:val="auto"/>
                      <w:sz w:val="21"/>
                      <w:szCs w:val="21"/>
                    </w:rPr>
                    <w:t>t/a；环境排放量为：COD</w:t>
                  </w:r>
                  <w:r>
                    <w:rPr>
                      <w:rFonts w:hint="eastAsia" w:ascii="Times New Roman" w:hAnsi="Times New Roman"/>
                      <w:color w:val="auto"/>
                      <w:sz w:val="21"/>
                      <w:szCs w:val="21"/>
                      <w:lang w:val="en-US" w:eastAsia="zh-CN"/>
                    </w:rPr>
                    <w:t>4.974</w:t>
                  </w:r>
                  <w:r>
                    <w:rPr>
                      <w:rFonts w:hint="eastAsia" w:ascii="Times New Roman" w:hAnsi="Times New Roman" w:eastAsia="宋体"/>
                      <w:color w:val="auto"/>
                      <w:sz w:val="21"/>
                      <w:szCs w:val="21"/>
                    </w:rPr>
                    <w:t>t/a、NH</w:t>
                  </w:r>
                  <w:r>
                    <w:rPr>
                      <w:rFonts w:hint="eastAsia" w:ascii="Times New Roman" w:hAnsi="Times New Roman" w:eastAsia="宋体"/>
                      <w:color w:val="auto"/>
                      <w:sz w:val="21"/>
                      <w:szCs w:val="21"/>
                      <w:vertAlign w:val="subscript"/>
                    </w:rPr>
                    <w:t>3</w:t>
                  </w:r>
                  <w:r>
                    <w:rPr>
                      <w:rFonts w:hint="eastAsia" w:ascii="Times New Roman" w:hAnsi="Times New Roman" w:eastAsia="宋体"/>
                      <w:color w:val="auto"/>
                      <w:sz w:val="21"/>
                      <w:szCs w:val="21"/>
                    </w:rPr>
                    <w:t>-N0.</w:t>
                  </w:r>
                  <w:r>
                    <w:rPr>
                      <w:rFonts w:hint="eastAsia" w:ascii="Times New Roman" w:hAnsi="Times New Roman"/>
                      <w:color w:val="auto"/>
                      <w:sz w:val="21"/>
                      <w:szCs w:val="21"/>
                      <w:lang w:val="en-US" w:eastAsia="zh-CN"/>
                    </w:rPr>
                    <w:t>192</w:t>
                  </w:r>
                  <w:r>
                    <w:rPr>
                      <w:rFonts w:hint="eastAsia" w:ascii="Times New Roman" w:hAnsi="Times New Roman" w:eastAsia="宋体"/>
                      <w:color w:val="auto"/>
                      <w:sz w:val="21"/>
                      <w:szCs w:val="21"/>
                    </w:rPr>
                    <w:t>t/a、TN</w:t>
                  </w:r>
                  <w:r>
                    <w:rPr>
                      <w:rFonts w:hint="eastAsia" w:ascii="Times New Roman" w:hAnsi="Times New Roman"/>
                      <w:color w:val="auto"/>
                      <w:sz w:val="21"/>
                      <w:szCs w:val="21"/>
                      <w:lang w:val="en-US" w:eastAsia="zh-CN"/>
                    </w:rPr>
                    <w:t>0.945</w:t>
                  </w:r>
                  <w:r>
                    <w:rPr>
                      <w:rFonts w:hint="eastAsia" w:ascii="Times New Roman" w:hAnsi="Times New Roman" w:eastAsia="宋体"/>
                      <w:color w:val="auto"/>
                      <w:sz w:val="21"/>
                      <w:szCs w:val="21"/>
                    </w:rPr>
                    <w:t>t/a、TP0.05t/a。废水在涟水经济开发区西区污水处理厂内平衡。</w:t>
                  </w:r>
                </w:p>
                <w:p w14:paraId="6F03F418">
                  <w:pPr>
                    <w:pStyle w:val="14"/>
                    <w:spacing w:before="0" w:beforeAutospacing="0" w:after="0" w:afterAutospacing="0"/>
                    <w:ind w:firstLine="420" w:firstLineChars="200"/>
                    <w:jc w:val="both"/>
                    <w:outlineLvl w:val="0"/>
                    <w:rPr>
                      <w:rFonts w:ascii="Times New Roman" w:hAnsi="Times New Roman" w:eastAsia="宋体"/>
                      <w:color w:val="auto"/>
                      <w:sz w:val="21"/>
                    </w:rPr>
                  </w:pPr>
                  <w:r>
                    <w:rPr>
                      <w:rFonts w:hint="eastAsia" w:ascii="Times New Roman" w:hAnsi="Times New Roman" w:eastAsia="宋体" w:cs="Times New Roman"/>
                      <w:color w:val="auto"/>
                      <w:sz w:val="21"/>
                      <w:szCs w:val="21"/>
                      <w:lang w:val="en-US" w:eastAsia="zh-CN"/>
                    </w:rPr>
                    <w:t>固废：本项目的固体废物全部合</w:t>
                  </w:r>
                  <w:r>
                    <w:rPr>
                      <w:rFonts w:hint="eastAsia" w:ascii="Times New Roman" w:hAnsi="Times New Roman" w:eastAsia="宋体" w:cs="Times New Roman"/>
                      <w:color w:val="auto"/>
                      <w:sz w:val="21"/>
                      <w:szCs w:val="21"/>
                    </w:rPr>
                    <w:t>理处置，可以实现零排放。</w:t>
                  </w:r>
                </w:p>
              </w:tc>
              <w:tc>
                <w:tcPr>
                  <w:tcW w:w="496" w:type="pct"/>
                  <w:noWrap w:val="0"/>
                  <w:vAlign w:val="center"/>
                </w:tcPr>
                <w:p w14:paraId="1FF4DA8B">
                  <w:pPr>
                    <w:pStyle w:val="14"/>
                    <w:spacing w:before="0" w:beforeAutospacing="0" w:after="0" w:afterAutospacing="0"/>
                    <w:jc w:val="center"/>
                    <w:outlineLvl w:val="0"/>
                    <w:rPr>
                      <w:rFonts w:ascii="Times New Roman" w:hAnsi="Times New Roman" w:eastAsia="宋体"/>
                      <w:color w:val="auto"/>
                      <w:sz w:val="21"/>
                    </w:rPr>
                  </w:pPr>
                  <w:r>
                    <w:rPr>
                      <w:rFonts w:hint="eastAsia" w:ascii="Times New Roman" w:hAnsi="Times New Roman" w:eastAsia="宋体"/>
                      <w:color w:val="auto"/>
                      <w:sz w:val="21"/>
                    </w:rPr>
                    <w:t>/</w:t>
                  </w:r>
                </w:p>
              </w:tc>
              <w:tc>
                <w:tcPr>
                  <w:tcW w:w="299" w:type="pct"/>
                  <w:vMerge w:val="continue"/>
                  <w:noWrap w:val="0"/>
                  <w:vAlign w:val="center"/>
                </w:tcPr>
                <w:p w14:paraId="49E5AB7E">
                  <w:pPr>
                    <w:pStyle w:val="14"/>
                    <w:spacing w:before="0" w:beforeAutospacing="0" w:after="0" w:afterAutospacing="0"/>
                    <w:jc w:val="center"/>
                    <w:outlineLvl w:val="0"/>
                    <w:rPr>
                      <w:rFonts w:hint="eastAsia" w:ascii="Times New Roman" w:hAnsi="Times New Roman" w:eastAsia="宋体"/>
                      <w:color w:val="auto"/>
                      <w:sz w:val="21"/>
                    </w:rPr>
                  </w:pPr>
                </w:p>
              </w:tc>
            </w:tr>
            <w:tr w14:paraId="5C1CA8F0">
              <w:trPr>
                <w:trHeight w:val="1720" w:hRule="atLeast"/>
              </w:trPr>
              <w:tc>
                <w:tcPr>
                  <w:tcW w:w="680" w:type="pct"/>
                  <w:noWrap w:val="0"/>
                  <w:vAlign w:val="center"/>
                </w:tcPr>
                <w:p w14:paraId="7A062315">
                  <w:pPr>
                    <w:pStyle w:val="14"/>
                    <w:spacing w:before="0" w:beforeAutospacing="0" w:after="0" w:afterAutospacing="0"/>
                    <w:jc w:val="center"/>
                    <w:outlineLvl w:val="0"/>
                    <w:rPr>
                      <w:rFonts w:ascii="Times New Roman" w:hAnsi="Times New Roman" w:eastAsia="宋体"/>
                      <w:color w:val="auto"/>
                      <w:sz w:val="21"/>
                    </w:rPr>
                  </w:pPr>
                  <w:r>
                    <w:rPr>
                      <w:rFonts w:ascii="Times New Roman" w:hAnsi="Times New Roman" w:eastAsia="宋体"/>
                      <w:color w:val="auto"/>
                      <w:sz w:val="21"/>
                      <w:szCs w:val="18"/>
                    </w:rPr>
                    <w:t>卫生防护距离设置（以设施或厂界设置，敏感保护目标情况等）</w:t>
                  </w:r>
                </w:p>
              </w:tc>
              <w:tc>
                <w:tcPr>
                  <w:tcW w:w="3524" w:type="pct"/>
                  <w:gridSpan w:val="4"/>
                  <w:noWrap w:val="0"/>
                  <w:vAlign w:val="center"/>
                </w:tcPr>
                <w:p w14:paraId="64B016C0">
                  <w:pPr>
                    <w:pStyle w:val="14"/>
                    <w:spacing w:before="0" w:beforeAutospacing="0" w:after="0" w:afterAutospacing="0"/>
                    <w:ind w:firstLine="420" w:firstLineChars="200"/>
                    <w:jc w:val="both"/>
                    <w:outlineLvl w:val="0"/>
                    <w:rPr>
                      <w:rFonts w:ascii="Times New Roman" w:hAnsi="Times New Roman" w:eastAsia="宋体"/>
                      <w:color w:val="auto"/>
                      <w:sz w:val="21"/>
                    </w:rPr>
                  </w:pPr>
                  <w:r>
                    <w:rPr>
                      <w:rFonts w:hint="eastAsia" w:ascii="Times New Roman" w:hAnsi="Times New Roman" w:eastAsia="宋体"/>
                      <w:color w:val="auto"/>
                      <w:sz w:val="21"/>
                      <w:lang w:eastAsia="zh-CN"/>
                    </w:rPr>
                    <w:t>本项目以生产厂房边界为起点设置50m的卫生防护距离</w:t>
                  </w:r>
                  <w:r>
                    <w:rPr>
                      <w:rFonts w:hint="eastAsia" w:ascii="Times New Roman" w:hAnsi="Times New Roman"/>
                      <w:color w:val="auto"/>
                      <w:sz w:val="21"/>
                      <w:lang w:eastAsia="zh-CN"/>
                    </w:rPr>
                    <w:t>、</w:t>
                  </w:r>
                  <w:r>
                    <w:rPr>
                      <w:rFonts w:hint="eastAsia" w:ascii="Times New Roman" w:hAnsi="Times New Roman"/>
                      <w:color w:val="auto"/>
                      <w:sz w:val="21"/>
                      <w:lang w:val="en-US" w:eastAsia="zh-CN"/>
                    </w:rPr>
                    <w:t>以污水处理站边界设置100m的卫生防护距离</w:t>
                  </w:r>
                  <w:r>
                    <w:rPr>
                      <w:rFonts w:hint="eastAsia" w:ascii="Times New Roman" w:hAnsi="Times New Roman" w:eastAsia="宋体"/>
                      <w:color w:val="auto"/>
                      <w:sz w:val="21"/>
                    </w:rPr>
                    <w:t>，卫生防护距离内无环境敏感目标。</w:t>
                  </w:r>
                </w:p>
              </w:tc>
              <w:tc>
                <w:tcPr>
                  <w:tcW w:w="496" w:type="pct"/>
                  <w:noWrap w:val="0"/>
                  <w:vAlign w:val="center"/>
                </w:tcPr>
                <w:p w14:paraId="6AA3659F">
                  <w:pPr>
                    <w:pStyle w:val="14"/>
                    <w:spacing w:before="0" w:beforeAutospacing="0" w:after="0" w:afterAutospacing="0"/>
                    <w:jc w:val="center"/>
                    <w:outlineLvl w:val="0"/>
                    <w:rPr>
                      <w:rFonts w:ascii="Times New Roman" w:hAnsi="Times New Roman" w:eastAsia="宋体"/>
                      <w:color w:val="auto"/>
                      <w:sz w:val="21"/>
                    </w:rPr>
                  </w:pPr>
                  <w:r>
                    <w:rPr>
                      <w:rFonts w:hint="eastAsia" w:ascii="Times New Roman" w:hAnsi="Times New Roman" w:eastAsia="宋体"/>
                      <w:color w:val="auto"/>
                      <w:sz w:val="21"/>
                    </w:rPr>
                    <w:t>/</w:t>
                  </w:r>
                </w:p>
              </w:tc>
              <w:tc>
                <w:tcPr>
                  <w:tcW w:w="299" w:type="pct"/>
                  <w:vMerge w:val="continue"/>
                  <w:noWrap w:val="0"/>
                  <w:vAlign w:val="center"/>
                </w:tcPr>
                <w:p w14:paraId="61A9EF0A">
                  <w:pPr>
                    <w:pStyle w:val="14"/>
                    <w:spacing w:before="0" w:beforeAutospacing="0" w:after="0" w:afterAutospacing="0"/>
                    <w:jc w:val="center"/>
                    <w:outlineLvl w:val="0"/>
                    <w:rPr>
                      <w:rFonts w:hint="eastAsia" w:ascii="Times New Roman" w:hAnsi="Times New Roman" w:eastAsia="宋体"/>
                      <w:color w:val="auto"/>
                      <w:sz w:val="21"/>
                    </w:rPr>
                  </w:pPr>
                </w:p>
              </w:tc>
            </w:tr>
            <w:tr w14:paraId="27DFBAB1">
              <w:trPr>
                <w:trHeight w:val="348" w:hRule="atLeast"/>
              </w:trPr>
              <w:tc>
                <w:tcPr>
                  <w:tcW w:w="4204" w:type="pct"/>
                  <w:gridSpan w:val="5"/>
                  <w:noWrap w:val="0"/>
                  <w:vAlign w:val="center"/>
                </w:tcPr>
                <w:p w14:paraId="637B2535">
                  <w:pPr>
                    <w:pStyle w:val="14"/>
                    <w:spacing w:before="0" w:beforeAutospacing="0" w:after="0" w:afterAutospacing="0"/>
                    <w:jc w:val="center"/>
                    <w:outlineLvl w:val="0"/>
                    <w:rPr>
                      <w:rFonts w:ascii="Times New Roman" w:hAnsi="Times New Roman" w:eastAsia="宋体"/>
                      <w:color w:val="auto"/>
                      <w:sz w:val="21"/>
                    </w:rPr>
                  </w:pPr>
                  <w:r>
                    <w:rPr>
                      <w:rFonts w:hint="eastAsia" w:ascii="Times New Roman" w:hAnsi="Times New Roman" w:eastAsia="宋体"/>
                      <w:color w:val="auto"/>
                      <w:sz w:val="21"/>
                    </w:rPr>
                    <w:t>合计</w:t>
                  </w:r>
                </w:p>
              </w:tc>
              <w:tc>
                <w:tcPr>
                  <w:tcW w:w="496" w:type="pct"/>
                  <w:noWrap w:val="0"/>
                  <w:vAlign w:val="center"/>
                </w:tcPr>
                <w:p w14:paraId="44C3DA18">
                  <w:pPr>
                    <w:pStyle w:val="14"/>
                    <w:spacing w:before="0" w:beforeAutospacing="0" w:after="0" w:afterAutospacing="0"/>
                    <w:jc w:val="center"/>
                    <w:outlineLvl w:val="0"/>
                    <w:rPr>
                      <w:rFonts w:hint="default" w:ascii="Times New Roman" w:hAnsi="Times New Roman" w:eastAsia="宋体"/>
                      <w:color w:val="auto"/>
                      <w:sz w:val="21"/>
                      <w:lang w:val="en-US" w:eastAsia="zh-CN"/>
                    </w:rPr>
                  </w:pPr>
                  <w:r>
                    <w:rPr>
                      <w:rFonts w:hint="eastAsia" w:ascii="Times New Roman" w:hAnsi="Times New Roman"/>
                      <w:color w:val="auto"/>
                      <w:sz w:val="21"/>
                      <w:lang w:val="en-US" w:eastAsia="zh-CN"/>
                    </w:rPr>
                    <w:t>140</w:t>
                  </w:r>
                </w:p>
              </w:tc>
              <w:tc>
                <w:tcPr>
                  <w:tcW w:w="299" w:type="pct"/>
                  <w:vMerge w:val="continue"/>
                  <w:noWrap w:val="0"/>
                  <w:vAlign w:val="center"/>
                </w:tcPr>
                <w:p w14:paraId="78EBED37">
                  <w:pPr>
                    <w:pStyle w:val="14"/>
                    <w:spacing w:before="0" w:beforeAutospacing="0" w:after="0" w:afterAutospacing="0"/>
                    <w:jc w:val="center"/>
                    <w:outlineLvl w:val="0"/>
                    <w:rPr>
                      <w:rFonts w:hint="eastAsia" w:ascii="Times New Roman" w:hAnsi="Times New Roman" w:eastAsia="宋体"/>
                      <w:color w:val="auto"/>
                      <w:sz w:val="21"/>
                      <w:lang w:val="en-US" w:eastAsia="zh-CN"/>
                    </w:rPr>
                  </w:pPr>
                </w:p>
              </w:tc>
            </w:tr>
          </w:tbl>
          <w:p w14:paraId="4D999D44">
            <w:pPr>
              <w:pStyle w:val="14"/>
              <w:spacing w:before="0" w:beforeAutospacing="0" w:after="0" w:afterAutospacing="0"/>
              <w:jc w:val="both"/>
              <w:outlineLvl w:val="0"/>
              <w:rPr>
                <w:rFonts w:cs="宋体"/>
                <w:snapToGrid w:val="0"/>
                <w:color w:val="auto"/>
                <w:sz w:val="21"/>
                <w:szCs w:val="21"/>
              </w:rPr>
            </w:pPr>
          </w:p>
        </w:tc>
      </w:tr>
    </w:tbl>
    <w:p w14:paraId="26E24294">
      <w:pPr>
        <w:adjustRightInd w:val="0"/>
        <w:snapToGrid w:val="0"/>
        <w:spacing w:line="360" w:lineRule="auto"/>
        <w:rPr>
          <w:rFonts w:hint="eastAsia" w:ascii="宋体" w:cs="宋体"/>
          <w:b/>
          <w:color w:val="auto"/>
          <w:kern w:val="0"/>
          <w:sz w:val="28"/>
          <w:szCs w:val="28"/>
        </w:rPr>
        <w:sectPr>
          <w:pgSz w:w="11905" w:h="16838"/>
          <w:pgMar w:top="1701" w:right="1531" w:bottom="2126" w:left="1531" w:header="851" w:footer="850" w:gutter="0"/>
          <w:pgBorders>
            <w:top w:val="none" w:sz="0" w:space="0"/>
            <w:left w:val="none" w:sz="0" w:space="0"/>
            <w:bottom w:val="none" w:sz="0" w:space="0"/>
            <w:right w:val="none" w:sz="0" w:space="0"/>
          </w:pgBorders>
          <w:pgNumType w:fmt="decimal"/>
          <w:cols w:space="720" w:num="1"/>
          <w:rtlGutter w:val="0"/>
          <w:docGrid w:linePitch="312" w:charSpace="0"/>
        </w:sectPr>
      </w:pPr>
    </w:p>
    <w:p w14:paraId="53F8BD97">
      <w:pPr>
        <w:pStyle w:val="14"/>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五、</w:t>
      </w:r>
      <w:bookmarkStart w:id="48" w:name="_Hlk54167917"/>
      <w:r>
        <w:rPr>
          <w:rFonts w:hint="eastAsia" w:ascii="黑体" w:hAnsi="黑体" w:eastAsia="黑体"/>
          <w:snapToGrid w:val="0"/>
          <w:color w:val="auto"/>
          <w:sz w:val="30"/>
          <w:szCs w:val="30"/>
        </w:rPr>
        <w:t>环境保护措施监督检查清单</w:t>
      </w:r>
      <w:bookmarkEnd w:id="48"/>
    </w:p>
    <w:tbl>
      <w:tblPr>
        <w:tblStyle w:val="20"/>
        <w:tblW w:w="88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500"/>
        <w:gridCol w:w="1740"/>
        <w:gridCol w:w="1852"/>
        <w:gridCol w:w="2017"/>
      </w:tblGrid>
      <w:tr w14:paraId="074034C1">
        <w:trPr>
          <w:trHeight w:val="425" w:hRule="atLeast"/>
          <w:jc w:val="center"/>
        </w:trPr>
        <w:tc>
          <w:tcPr>
            <w:tcW w:w="1778" w:type="dxa"/>
            <w:tcBorders>
              <w:tl2br w:val="single" w:color="auto" w:sz="4" w:space="0"/>
            </w:tcBorders>
            <w:noWrap w:val="0"/>
            <w:vAlign w:val="top"/>
          </w:tcPr>
          <w:p w14:paraId="0E736DCE">
            <w:pPr>
              <w:adjustRightInd w:val="0"/>
              <w:snapToGrid w:val="0"/>
              <w:ind w:firstLine="840"/>
              <w:jc w:val="center"/>
              <w:rPr>
                <w:rFonts w:cs="宋体"/>
                <w:color w:val="auto"/>
                <w:szCs w:val="21"/>
              </w:rPr>
            </w:pPr>
            <w:r>
              <w:rPr>
                <w:rFonts w:hint="eastAsia" w:cs="宋体"/>
                <w:color w:val="auto"/>
                <w:szCs w:val="21"/>
              </w:rPr>
              <w:t>内容</w:t>
            </w:r>
          </w:p>
          <w:p w14:paraId="2E284E72">
            <w:pPr>
              <w:adjustRightInd w:val="0"/>
              <w:snapToGrid w:val="0"/>
              <w:jc w:val="center"/>
              <w:rPr>
                <w:rFonts w:hint="eastAsia" w:eastAsia="宋体" w:cs="宋体"/>
                <w:color w:val="auto"/>
                <w:szCs w:val="21"/>
                <w:lang w:eastAsia="zh-CN"/>
              </w:rPr>
            </w:pPr>
            <w:r>
              <w:rPr>
                <w:rFonts w:hint="eastAsia" w:cs="宋体"/>
                <w:color w:val="auto"/>
                <w:szCs w:val="21"/>
              </w:rPr>
              <w:t>要素</w:t>
            </w:r>
          </w:p>
        </w:tc>
        <w:tc>
          <w:tcPr>
            <w:tcW w:w="1500" w:type="dxa"/>
            <w:noWrap w:val="0"/>
            <w:vAlign w:val="center"/>
          </w:tcPr>
          <w:p w14:paraId="2D061A4C">
            <w:pPr>
              <w:adjustRightInd w:val="0"/>
              <w:snapToGrid w:val="0"/>
              <w:jc w:val="center"/>
              <w:rPr>
                <w:rFonts w:cs="宋体"/>
                <w:color w:val="auto"/>
                <w:szCs w:val="21"/>
              </w:rPr>
            </w:pPr>
            <w:r>
              <w:rPr>
                <w:rFonts w:hint="eastAsia" w:cs="宋体"/>
                <w:color w:val="auto"/>
                <w:szCs w:val="21"/>
              </w:rPr>
              <w:t>排放口</w:t>
            </w:r>
            <w:r>
              <w:rPr>
                <w:rFonts w:hint="eastAsia" w:cs="宋体"/>
                <w:color w:val="auto"/>
                <w:szCs w:val="21"/>
                <w:lang w:eastAsia="zh-CN"/>
              </w:rPr>
              <w:t>（</w:t>
            </w:r>
            <w:r>
              <w:rPr>
                <w:rFonts w:hint="eastAsia" w:cs="宋体"/>
                <w:color w:val="auto"/>
                <w:szCs w:val="21"/>
              </w:rPr>
              <w:t>编号、</w:t>
            </w:r>
          </w:p>
          <w:p w14:paraId="41C9234E">
            <w:pPr>
              <w:adjustRightInd w:val="0"/>
              <w:snapToGrid w:val="0"/>
              <w:jc w:val="center"/>
              <w:rPr>
                <w:rFonts w:cs="宋体"/>
                <w:color w:val="auto"/>
                <w:szCs w:val="21"/>
              </w:rPr>
            </w:pPr>
            <w:r>
              <w:rPr>
                <w:rFonts w:hint="eastAsia" w:cs="宋体"/>
                <w:color w:val="auto"/>
                <w:szCs w:val="21"/>
              </w:rPr>
              <w:t>名称</w:t>
            </w:r>
            <w:r>
              <w:rPr>
                <w:rFonts w:hint="eastAsia" w:cs="宋体"/>
                <w:color w:val="auto"/>
                <w:szCs w:val="21"/>
                <w:lang w:eastAsia="zh-CN"/>
              </w:rPr>
              <w:t>）</w:t>
            </w:r>
            <w:r>
              <w:rPr>
                <w:rFonts w:hint="eastAsia" w:cs="宋体"/>
                <w:color w:val="auto"/>
                <w:szCs w:val="21"/>
              </w:rPr>
              <w:t>/污染源</w:t>
            </w:r>
          </w:p>
        </w:tc>
        <w:tc>
          <w:tcPr>
            <w:tcW w:w="1740" w:type="dxa"/>
            <w:noWrap w:val="0"/>
            <w:vAlign w:val="center"/>
          </w:tcPr>
          <w:p w14:paraId="78993075">
            <w:pPr>
              <w:adjustRightInd w:val="0"/>
              <w:snapToGrid w:val="0"/>
              <w:jc w:val="center"/>
              <w:rPr>
                <w:rFonts w:cs="宋体"/>
                <w:color w:val="auto"/>
                <w:szCs w:val="21"/>
              </w:rPr>
            </w:pPr>
            <w:r>
              <w:rPr>
                <w:rFonts w:hint="eastAsia" w:cs="宋体"/>
                <w:color w:val="auto"/>
                <w:szCs w:val="21"/>
              </w:rPr>
              <w:t>污染物项目</w:t>
            </w:r>
          </w:p>
        </w:tc>
        <w:tc>
          <w:tcPr>
            <w:tcW w:w="1852" w:type="dxa"/>
            <w:noWrap w:val="0"/>
            <w:vAlign w:val="center"/>
          </w:tcPr>
          <w:p w14:paraId="40593D35">
            <w:pPr>
              <w:adjustRightInd w:val="0"/>
              <w:snapToGrid w:val="0"/>
              <w:jc w:val="center"/>
              <w:rPr>
                <w:rFonts w:cs="宋体"/>
                <w:color w:val="auto"/>
                <w:szCs w:val="21"/>
              </w:rPr>
            </w:pPr>
            <w:r>
              <w:rPr>
                <w:rFonts w:hint="eastAsia" w:cs="宋体"/>
                <w:color w:val="auto"/>
                <w:szCs w:val="21"/>
              </w:rPr>
              <w:t>环境保护措施</w:t>
            </w:r>
          </w:p>
        </w:tc>
        <w:tc>
          <w:tcPr>
            <w:tcW w:w="2017" w:type="dxa"/>
            <w:noWrap w:val="0"/>
            <w:vAlign w:val="center"/>
          </w:tcPr>
          <w:p w14:paraId="43275F19">
            <w:pPr>
              <w:adjustRightInd w:val="0"/>
              <w:snapToGrid w:val="0"/>
              <w:jc w:val="center"/>
              <w:rPr>
                <w:rFonts w:cs="宋体"/>
                <w:color w:val="auto"/>
                <w:szCs w:val="21"/>
              </w:rPr>
            </w:pPr>
            <w:r>
              <w:rPr>
                <w:rFonts w:hint="eastAsia" w:cs="宋体"/>
                <w:color w:val="auto"/>
                <w:szCs w:val="21"/>
              </w:rPr>
              <w:t>执行标准</w:t>
            </w:r>
          </w:p>
        </w:tc>
      </w:tr>
      <w:tr w14:paraId="2DDB695F">
        <w:trPr>
          <w:trHeight w:val="425" w:hRule="atLeast"/>
          <w:jc w:val="center"/>
        </w:trPr>
        <w:tc>
          <w:tcPr>
            <w:tcW w:w="1778" w:type="dxa"/>
            <w:vMerge w:val="restart"/>
            <w:noWrap w:val="0"/>
            <w:vAlign w:val="center"/>
          </w:tcPr>
          <w:p w14:paraId="155B1035">
            <w:pPr>
              <w:adjustRightInd w:val="0"/>
              <w:snapToGrid w:val="0"/>
              <w:jc w:val="center"/>
              <w:rPr>
                <w:rFonts w:cs="宋体"/>
                <w:color w:val="auto"/>
                <w:szCs w:val="21"/>
              </w:rPr>
            </w:pPr>
            <w:r>
              <w:rPr>
                <w:rFonts w:hint="eastAsia" w:cs="宋体"/>
                <w:color w:val="auto"/>
                <w:szCs w:val="21"/>
              </w:rPr>
              <w:t>大气环境</w:t>
            </w:r>
          </w:p>
        </w:tc>
        <w:tc>
          <w:tcPr>
            <w:tcW w:w="1500" w:type="dxa"/>
            <w:noWrap w:val="0"/>
            <w:vAlign w:val="center"/>
          </w:tcPr>
          <w:p w14:paraId="2808B37C">
            <w:pPr>
              <w:adjustRightInd w:val="0"/>
              <w:snapToGrid w:val="0"/>
              <w:jc w:val="center"/>
              <w:rPr>
                <w:rFonts w:hint="default" w:ascii="Times New Roman" w:hAnsi="Times New Roman" w:eastAsia="宋体" w:cs="宋体"/>
                <w:color w:val="auto"/>
                <w:kern w:val="2"/>
                <w:sz w:val="21"/>
                <w:szCs w:val="21"/>
                <w:lang w:val="en-US" w:eastAsia="zh-CN" w:bidi="ar-SA"/>
              </w:rPr>
            </w:pPr>
            <w:r>
              <w:rPr>
                <w:rFonts w:hint="eastAsia" w:ascii="Times New Roman" w:hAnsi="Times New Roman" w:cs="宋体"/>
                <w:color w:val="auto"/>
                <w:sz w:val="21"/>
                <w:szCs w:val="21"/>
              </w:rPr>
              <w:t>DA0</w:t>
            </w:r>
            <w:r>
              <w:rPr>
                <w:rFonts w:hint="eastAsia" w:ascii="Times New Roman" w:hAnsi="Times New Roman" w:cs="宋体"/>
                <w:color w:val="auto"/>
                <w:sz w:val="21"/>
                <w:szCs w:val="21"/>
                <w:lang w:val="en-US" w:eastAsia="zh-CN"/>
              </w:rPr>
              <w:t>01</w:t>
            </w:r>
          </w:p>
        </w:tc>
        <w:tc>
          <w:tcPr>
            <w:tcW w:w="1740" w:type="dxa"/>
            <w:noWrap w:val="0"/>
            <w:vAlign w:val="center"/>
          </w:tcPr>
          <w:p w14:paraId="6003C76D">
            <w:pPr>
              <w:pStyle w:val="36"/>
              <w:keepNext w:val="0"/>
              <w:keepLines w:val="0"/>
              <w:suppressLineNumbers w:val="0"/>
              <w:bidi w:val="0"/>
              <w:spacing w:before="0" w:beforeAutospacing="0" w:after="0" w:afterAutospacing="0"/>
              <w:ind w:left="0" w:leftChars="0" w:right="0" w:rightChars="0"/>
              <w:rPr>
                <w:rFonts w:hint="eastAsia" w:ascii="Times New Roman" w:hAnsi="Times New Roman" w:eastAsia="宋体"/>
                <w:color w:val="auto"/>
                <w:kern w:val="0"/>
                <w:sz w:val="21"/>
                <w:szCs w:val="20"/>
                <w:lang w:val="en-US" w:eastAsia="zh-CN" w:bidi="ar-SA"/>
              </w:rPr>
            </w:pPr>
            <w:r>
              <w:rPr>
                <w:rFonts w:hint="eastAsia" w:ascii="Times New Roman" w:hAnsi="Times New Roman"/>
                <w:color w:val="auto"/>
                <w:sz w:val="21"/>
                <w:lang w:val="en-US" w:eastAsia="zh-CN"/>
              </w:rPr>
              <w:t>非甲烷总烃</w:t>
            </w:r>
          </w:p>
        </w:tc>
        <w:tc>
          <w:tcPr>
            <w:tcW w:w="1852" w:type="dxa"/>
            <w:noWrap w:val="0"/>
            <w:vAlign w:val="center"/>
          </w:tcPr>
          <w:p w14:paraId="75B4688F">
            <w:pPr>
              <w:pStyle w:val="36"/>
              <w:keepNext w:val="0"/>
              <w:keepLines w:val="0"/>
              <w:suppressLineNumbers w:val="0"/>
              <w:bidi w:val="0"/>
              <w:spacing w:before="0" w:beforeAutospacing="0" w:after="0" w:afterAutospacing="0"/>
              <w:ind w:left="0" w:leftChars="0" w:right="0" w:rightChars="0"/>
              <w:jc w:val="center"/>
              <w:rPr>
                <w:rFonts w:hint="eastAsia" w:ascii="Times New Roman" w:hAnsi="Times New Roman" w:eastAsia="宋体"/>
                <w:color w:val="auto"/>
                <w:kern w:val="0"/>
                <w:sz w:val="21"/>
                <w:szCs w:val="21"/>
                <w:lang w:val="en-US" w:eastAsia="zh-CN" w:bidi="ar-SA"/>
              </w:rPr>
            </w:pPr>
            <w:r>
              <w:rPr>
                <w:rFonts w:ascii="Times New Roman" w:hAnsi="Times New Roman"/>
                <w:color w:val="auto"/>
                <w:sz w:val="21"/>
              </w:rPr>
              <w:t>密闭收集</w:t>
            </w:r>
            <w:r>
              <w:rPr>
                <w:rFonts w:hint="eastAsia" w:ascii="Times New Roman" w:hAnsi="Times New Roman"/>
                <w:color w:val="auto"/>
                <w:sz w:val="21"/>
                <w:lang w:val="en-US" w:eastAsia="zh-CN"/>
              </w:rPr>
              <w:t>+</w:t>
            </w:r>
            <w:r>
              <w:rPr>
                <w:rFonts w:ascii="Times New Roman" w:hAnsi="Times New Roman"/>
                <w:color w:val="auto"/>
                <w:sz w:val="21"/>
              </w:rPr>
              <w:t>碱液喷淋处理装置</w:t>
            </w:r>
            <w:r>
              <w:rPr>
                <w:rFonts w:hint="eastAsia" w:ascii="Times New Roman" w:hAnsi="Times New Roman"/>
                <w:color w:val="auto"/>
                <w:sz w:val="21"/>
                <w:lang w:val="en-US" w:eastAsia="zh-CN"/>
              </w:rPr>
              <w:t>+</w:t>
            </w:r>
            <w:r>
              <w:rPr>
                <w:rFonts w:ascii="Times New Roman" w:hAnsi="Times New Roman"/>
                <w:color w:val="auto"/>
                <w:sz w:val="21"/>
              </w:rPr>
              <w:t>15米高</w:t>
            </w:r>
            <w:r>
              <w:rPr>
                <w:rFonts w:hint="eastAsia" w:ascii="Times New Roman" w:hAnsi="Times New Roman"/>
                <w:color w:val="auto"/>
                <w:sz w:val="21"/>
                <w:lang w:val="en-US" w:eastAsia="zh-CN"/>
              </w:rPr>
              <w:t>排气筒DA001</w:t>
            </w:r>
            <w:r>
              <w:rPr>
                <w:rFonts w:ascii="Times New Roman" w:hAnsi="Times New Roman"/>
                <w:color w:val="auto"/>
                <w:sz w:val="21"/>
              </w:rPr>
              <w:t>排放</w:t>
            </w:r>
          </w:p>
        </w:tc>
        <w:tc>
          <w:tcPr>
            <w:tcW w:w="2017" w:type="dxa"/>
            <w:noWrap w:val="0"/>
            <w:vAlign w:val="center"/>
          </w:tcPr>
          <w:p w14:paraId="3FBD6514">
            <w:pPr>
              <w:pStyle w:val="36"/>
              <w:keepNext w:val="0"/>
              <w:keepLines w:val="0"/>
              <w:suppressLineNumbers w:val="0"/>
              <w:bidi w:val="0"/>
              <w:spacing w:before="0" w:beforeAutospacing="0" w:after="0" w:afterAutospacing="0"/>
              <w:ind w:left="0" w:leftChars="0" w:right="0" w:rightChars="0"/>
              <w:rPr>
                <w:rFonts w:hint="eastAsia" w:ascii="Times New Roman" w:hAnsi="Times New Roman" w:eastAsia="宋体" w:cs="宋体"/>
                <w:color w:val="auto"/>
                <w:sz w:val="21"/>
                <w:szCs w:val="21"/>
                <w:lang w:eastAsia="zh-CN"/>
              </w:rPr>
            </w:pPr>
            <w:r>
              <w:rPr>
                <w:rFonts w:ascii="Times New Roman" w:hAnsi="Times New Roman"/>
                <w:color w:val="auto"/>
                <w:sz w:val="21"/>
              </w:rPr>
              <w:t>《大气污染物综合排放标准》（DB32/4041-2021）</w:t>
            </w:r>
            <w:r>
              <w:rPr>
                <w:rFonts w:hint="eastAsia" w:ascii="Times New Roman" w:hAnsi="Times New Roman"/>
                <w:color w:val="auto"/>
                <w:sz w:val="21"/>
                <w:lang w:val="en-US" w:eastAsia="zh-CN"/>
              </w:rPr>
              <w:t>表1中限值要求</w:t>
            </w:r>
          </w:p>
        </w:tc>
      </w:tr>
      <w:tr w14:paraId="63552EC4">
        <w:trPr>
          <w:trHeight w:val="425" w:hRule="atLeast"/>
          <w:jc w:val="center"/>
        </w:trPr>
        <w:tc>
          <w:tcPr>
            <w:tcW w:w="1778" w:type="dxa"/>
            <w:vMerge w:val="continue"/>
            <w:noWrap w:val="0"/>
            <w:vAlign w:val="center"/>
          </w:tcPr>
          <w:p w14:paraId="728CD887">
            <w:pPr>
              <w:adjustRightInd w:val="0"/>
              <w:snapToGrid w:val="0"/>
              <w:jc w:val="center"/>
              <w:rPr>
                <w:rFonts w:hint="eastAsia" w:cs="宋体"/>
                <w:color w:val="auto"/>
                <w:szCs w:val="21"/>
              </w:rPr>
            </w:pPr>
          </w:p>
        </w:tc>
        <w:tc>
          <w:tcPr>
            <w:tcW w:w="1500" w:type="dxa"/>
            <w:noWrap w:val="0"/>
            <w:vAlign w:val="center"/>
          </w:tcPr>
          <w:p w14:paraId="6050D1BD">
            <w:pPr>
              <w:pStyle w:val="36"/>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cs="宋体"/>
                <w:color w:val="auto"/>
                <w:sz w:val="21"/>
                <w:szCs w:val="21"/>
              </w:rPr>
            </w:pPr>
            <w:r>
              <w:rPr>
                <w:rFonts w:hint="eastAsia" w:ascii="Times New Roman" w:hAnsi="Times New Roman"/>
                <w:color w:val="auto"/>
                <w:sz w:val="21"/>
              </w:rPr>
              <w:t>DA0</w:t>
            </w:r>
            <w:r>
              <w:rPr>
                <w:rFonts w:hint="eastAsia" w:ascii="Times New Roman" w:hAnsi="Times New Roman"/>
                <w:color w:val="auto"/>
                <w:sz w:val="21"/>
                <w:lang w:val="en-US" w:eastAsia="zh-CN"/>
              </w:rPr>
              <w:t>02</w:t>
            </w:r>
          </w:p>
        </w:tc>
        <w:tc>
          <w:tcPr>
            <w:tcW w:w="1740" w:type="dxa"/>
            <w:noWrap w:val="0"/>
            <w:vAlign w:val="center"/>
          </w:tcPr>
          <w:p w14:paraId="7791D122">
            <w:pPr>
              <w:pStyle w:val="36"/>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olor w:val="auto"/>
                <w:sz w:val="21"/>
                <w:lang w:val="en-US" w:eastAsia="zh-CN"/>
              </w:rPr>
            </w:pPr>
            <w:r>
              <w:rPr>
                <w:rFonts w:hint="eastAsia" w:ascii="Times New Roman" w:hAnsi="Times New Roman"/>
                <w:color w:val="auto"/>
                <w:sz w:val="21"/>
                <w:lang w:val="en-US" w:eastAsia="zh-CN"/>
              </w:rPr>
              <w:t>非甲烷总烃</w:t>
            </w:r>
          </w:p>
        </w:tc>
        <w:tc>
          <w:tcPr>
            <w:tcW w:w="1852" w:type="dxa"/>
            <w:noWrap w:val="0"/>
            <w:vAlign w:val="center"/>
          </w:tcPr>
          <w:p w14:paraId="3212C6EC">
            <w:pPr>
              <w:pStyle w:val="36"/>
              <w:keepNext w:val="0"/>
              <w:keepLines w:val="0"/>
              <w:suppressLineNumbers w:val="0"/>
              <w:bidi w:val="0"/>
              <w:spacing w:before="0" w:beforeAutospacing="0" w:after="0" w:afterAutospacing="0"/>
              <w:ind w:left="0" w:leftChars="0" w:right="0" w:rightChars="0"/>
              <w:rPr>
                <w:rFonts w:hint="eastAsia" w:ascii="Times New Roman" w:hAnsi="Times New Roman" w:eastAsia="宋体"/>
                <w:color w:val="auto"/>
                <w:sz w:val="21"/>
                <w:szCs w:val="21"/>
                <w:lang w:val="en-US" w:eastAsia="zh-CN"/>
              </w:rPr>
            </w:pPr>
            <w:r>
              <w:rPr>
                <w:rFonts w:ascii="Times New Roman" w:hAnsi="Times New Roman"/>
                <w:color w:val="auto"/>
                <w:sz w:val="21"/>
              </w:rPr>
              <w:t>密闭收集</w:t>
            </w:r>
            <w:r>
              <w:rPr>
                <w:rFonts w:hint="eastAsia" w:ascii="Times New Roman" w:hAnsi="Times New Roman"/>
                <w:color w:val="auto"/>
                <w:sz w:val="21"/>
                <w:lang w:val="en-US" w:eastAsia="zh-CN"/>
              </w:rPr>
              <w:t>+</w:t>
            </w:r>
            <w:r>
              <w:rPr>
                <w:rFonts w:ascii="Times New Roman" w:hAnsi="Times New Roman"/>
                <w:color w:val="auto"/>
                <w:sz w:val="21"/>
              </w:rPr>
              <w:t>二级活性炭吸附装置</w:t>
            </w:r>
            <w:r>
              <w:rPr>
                <w:rFonts w:hint="eastAsia" w:ascii="Times New Roman" w:hAnsi="Times New Roman"/>
                <w:color w:val="auto"/>
                <w:sz w:val="21"/>
                <w:lang w:val="en-US" w:eastAsia="zh-CN"/>
              </w:rPr>
              <w:t>+</w:t>
            </w:r>
            <w:r>
              <w:rPr>
                <w:rFonts w:ascii="Times New Roman" w:hAnsi="Times New Roman"/>
                <w:color w:val="auto"/>
                <w:sz w:val="21"/>
              </w:rPr>
              <w:t>15米高排气筒</w:t>
            </w:r>
            <w:r>
              <w:rPr>
                <w:rFonts w:hint="eastAsia" w:ascii="Times New Roman" w:hAnsi="Times New Roman"/>
                <w:color w:val="auto"/>
                <w:sz w:val="21"/>
                <w:lang w:val="en-US" w:eastAsia="zh-CN"/>
              </w:rPr>
              <w:t>DA002</w:t>
            </w:r>
            <w:r>
              <w:rPr>
                <w:rFonts w:ascii="Times New Roman" w:hAnsi="Times New Roman"/>
                <w:color w:val="auto"/>
                <w:sz w:val="21"/>
              </w:rPr>
              <w:t>排放</w:t>
            </w:r>
          </w:p>
        </w:tc>
        <w:tc>
          <w:tcPr>
            <w:tcW w:w="2017" w:type="dxa"/>
            <w:noWrap w:val="0"/>
            <w:vAlign w:val="center"/>
          </w:tcPr>
          <w:p w14:paraId="7BD7DDB4">
            <w:pPr>
              <w:pStyle w:val="36"/>
              <w:keepNext w:val="0"/>
              <w:keepLines w:val="0"/>
              <w:suppressLineNumbers w:val="0"/>
              <w:bidi w:val="0"/>
              <w:spacing w:before="0" w:beforeAutospacing="0" w:after="0" w:afterAutospacing="0"/>
              <w:ind w:left="0" w:right="0"/>
              <w:rPr>
                <w:rFonts w:hint="eastAsia" w:ascii="Times New Roman" w:hAnsi="Times New Roman" w:cs="宋体"/>
                <w:color w:val="auto"/>
                <w:sz w:val="21"/>
                <w:szCs w:val="21"/>
              </w:rPr>
            </w:pPr>
            <w:r>
              <w:rPr>
                <w:rFonts w:hint="eastAsia" w:ascii="Times New Roman" w:hAnsi="Times New Roman"/>
                <w:color w:val="auto"/>
                <w:sz w:val="21"/>
              </w:rPr>
              <w:t>《合成树脂工业污染物排放标准》（GB 31572-2015，含2024年修改单）</w:t>
            </w:r>
            <w:r>
              <w:rPr>
                <w:rFonts w:hint="eastAsia" w:ascii="Times New Roman" w:hAnsi="Times New Roman"/>
                <w:color w:val="auto"/>
                <w:sz w:val="21"/>
                <w:lang w:val="en-US" w:eastAsia="zh-CN"/>
              </w:rPr>
              <w:t>表5中限值要求</w:t>
            </w:r>
          </w:p>
        </w:tc>
      </w:tr>
      <w:tr w14:paraId="5CD294A5">
        <w:trPr>
          <w:trHeight w:val="425" w:hRule="atLeast"/>
          <w:jc w:val="center"/>
        </w:trPr>
        <w:tc>
          <w:tcPr>
            <w:tcW w:w="1778" w:type="dxa"/>
            <w:vMerge w:val="continue"/>
            <w:noWrap w:val="0"/>
            <w:vAlign w:val="center"/>
          </w:tcPr>
          <w:p w14:paraId="01928088">
            <w:pPr>
              <w:adjustRightInd w:val="0"/>
              <w:snapToGrid w:val="0"/>
              <w:jc w:val="center"/>
              <w:rPr>
                <w:rFonts w:hint="eastAsia" w:cs="宋体"/>
                <w:color w:val="auto"/>
                <w:szCs w:val="21"/>
              </w:rPr>
            </w:pPr>
          </w:p>
        </w:tc>
        <w:tc>
          <w:tcPr>
            <w:tcW w:w="1500" w:type="dxa"/>
            <w:noWrap w:val="0"/>
            <w:vAlign w:val="center"/>
          </w:tcPr>
          <w:p w14:paraId="40E95764">
            <w:pPr>
              <w:pStyle w:val="36"/>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color w:val="auto"/>
                <w:sz w:val="21"/>
              </w:rPr>
            </w:pPr>
            <w:r>
              <w:rPr>
                <w:rFonts w:hint="eastAsia" w:ascii="Times New Roman" w:hAnsi="Times New Roman"/>
                <w:color w:val="auto"/>
                <w:sz w:val="21"/>
                <w:lang w:val="en-US" w:eastAsia="zh-CN"/>
              </w:rPr>
              <w:t>食堂</w:t>
            </w:r>
          </w:p>
        </w:tc>
        <w:tc>
          <w:tcPr>
            <w:tcW w:w="1740" w:type="dxa"/>
            <w:noWrap w:val="0"/>
            <w:vAlign w:val="center"/>
          </w:tcPr>
          <w:p w14:paraId="6D9C109A">
            <w:pPr>
              <w:pStyle w:val="36"/>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color w:val="auto"/>
                <w:sz w:val="21"/>
                <w:lang w:val="en-US" w:eastAsia="zh-CN"/>
              </w:rPr>
            </w:pPr>
            <w:r>
              <w:rPr>
                <w:rFonts w:hint="eastAsia" w:ascii="Times New Roman" w:hAnsi="Times New Roman"/>
                <w:color w:val="auto"/>
                <w:sz w:val="21"/>
                <w:lang w:val="en-US" w:eastAsia="zh-CN"/>
              </w:rPr>
              <w:t>食堂油烟</w:t>
            </w:r>
          </w:p>
        </w:tc>
        <w:tc>
          <w:tcPr>
            <w:tcW w:w="1852" w:type="dxa"/>
            <w:noWrap w:val="0"/>
            <w:vAlign w:val="center"/>
          </w:tcPr>
          <w:p w14:paraId="685216F4">
            <w:pPr>
              <w:pStyle w:val="36"/>
              <w:keepNext w:val="0"/>
              <w:keepLines w:val="0"/>
              <w:suppressLineNumbers w:val="0"/>
              <w:bidi w:val="0"/>
              <w:spacing w:before="0" w:beforeAutospacing="0" w:after="0" w:afterAutospacing="0"/>
              <w:ind w:left="0" w:leftChars="0" w:right="0" w:rightChars="0"/>
              <w:rPr>
                <w:rFonts w:ascii="Times New Roman" w:hAnsi="Times New Roman"/>
                <w:color w:val="auto"/>
                <w:sz w:val="21"/>
              </w:rPr>
            </w:pPr>
            <w:r>
              <w:rPr>
                <w:rFonts w:hint="eastAsia" w:ascii="Times New Roman" w:hAnsi="Times New Roman"/>
                <w:color w:val="auto"/>
                <w:sz w:val="21"/>
              </w:rPr>
              <w:t>采用油烟净化设施净化处理后经油烟专用烟道排放</w:t>
            </w:r>
          </w:p>
        </w:tc>
        <w:tc>
          <w:tcPr>
            <w:tcW w:w="2017" w:type="dxa"/>
            <w:noWrap w:val="0"/>
            <w:vAlign w:val="center"/>
          </w:tcPr>
          <w:p w14:paraId="694A58F6">
            <w:pPr>
              <w:pStyle w:val="36"/>
              <w:keepNext w:val="0"/>
              <w:keepLines w:val="0"/>
              <w:suppressLineNumbers w:val="0"/>
              <w:bidi w:val="0"/>
              <w:spacing w:before="0" w:beforeAutospacing="0" w:after="0" w:afterAutospacing="0"/>
              <w:ind w:left="0" w:right="0"/>
              <w:rPr>
                <w:rFonts w:hint="eastAsia" w:ascii="Times New Roman" w:hAnsi="Times New Roman"/>
                <w:color w:val="auto"/>
                <w:sz w:val="21"/>
              </w:rPr>
            </w:pPr>
            <w:r>
              <w:rPr>
                <w:rFonts w:hint="eastAsia" w:ascii="Times New Roman" w:hAnsi="Times New Roman"/>
                <w:color w:val="auto"/>
                <w:sz w:val="21"/>
              </w:rPr>
              <w:t>《饮食业油烟排放标准》（试行）（GB18483-2001）</w:t>
            </w:r>
          </w:p>
          <w:p w14:paraId="0BE5F2E2">
            <w:pPr>
              <w:pStyle w:val="36"/>
              <w:keepNext w:val="0"/>
              <w:keepLines w:val="0"/>
              <w:suppressLineNumbers w:val="0"/>
              <w:bidi w:val="0"/>
              <w:spacing w:before="0" w:beforeAutospacing="0" w:after="0" w:afterAutospacing="0"/>
              <w:ind w:left="0" w:leftChars="0" w:right="0" w:rightChars="0"/>
              <w:rPr>
                <w:rFonts w:hint="eastAsia" w:ascii="Times New Roman" w:hAnsi="Times New Roman"/>
                <w:color w:val="auto"/>
                <w:sz w:val="21"/>
                <w:lang w:val="en-US" w:eastAsia="zh-CN"/>
              </w:rPr>
            </w:pPr>
            <w:r>
              <w:rPr>
                <w:rFonts w:hint="eastAsia" w:ascii="Times New Roman" w:hAnsi="Times New Roman"/>
                <w:color w:val="auto"/>
                <w:sz w:val="21"/>
                <w:lang w:val="en-US" w:eastAsia="zh-CN"/>
              </w:rPr>
              <w:t>表2中限值要求</w:t>
            </w:r>
          </w:p>
        </w:tc>
      </w:tr>
      <w:tr w14:paraId="6273775F">
        <w:trPr>
          <w:trHeight w:val="425" w:hRule="atLeast"/>
          <w:jc w:val="center"/>
        </w:trPr>
        <w:tc>
          <w:tcPr>
            <w:tcW w:w="1778" w:type="dxa"/>
            <w:vMerge w:val="continue"/>
            <w:noWrap w:val="0"/>
            <w:vAlign w:val="center"/>
          </w:tcPr>
          <w:p w14:paraId="5143CC17">
            <w:pPr>
              <w:adjustRightInd w:val="0"/>
              <w:snapToGrid w:val="0"/>
              <w:jc w:val="center"/>
              <w:rPr>
                <w:rFonts w:hint="eastAsia" w:cs="宋体"/>
                <w:color w:val="auto"/>
                <w:szCs w:val="21"/>
              </w:rPr>
            </w:pPr>
          </w:p>
        </w:tc>
        <w:tc>
          <w:tcPr>
            <w:tcW w:w="1500" w:type="dxa"/>
            <w:vMerge w:val="restart"/>
            <w:noWrap w:val="0"/>
            <w:vAlign w:val="center"/>
          </w:tcPr>
          <w:p w14:paraId="048D85E9">
            <w:pPr>
              <w:adjustRightInd w:val="0"/>
              <w:snapToGrid w:val="0"/>
              <w:jc w:val="center"/>
              <w:rPr>
                <w:rFonts w:hint="eastAsia"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厂界无组织</w:t>
            </w:r>
          </w:p>
        </w:tc>
        <w:tc>
          <w:tcPr>
            <w:tcW w:w="1740" w:type="dxa"/>
            <w:noWrap w:val="0"/>
            <w:vAlign w:val="center"/>
          </w:tcPr>
          <w:p w14:paraId="6FA9A1A6">
            <w:pPr>
              <w:adjustRightInd w:val="0"/>
              <w:snapToGrid w:val="0"/>
              <w:jc w:val="center"/>
              <w:rPr>
                <w:rFonts w:hint="default" w:ascii="Times New Roman" w:hAnsi="Times New Roman" w:cs="宋体"/>
                <w:color w:val="auto"/>
                <w:sz w:val="21"/>
                <w:szCs w:val="21"/>
                <w:lang w:val="en-US" w:eastAsia="zh-CN"/>
              </w:rPr>
            </w:pPr>
            <w:r>
              <w:rPr>
                <w:rFonts w:hint="eastAsia" w:ascii="Times New Roman" w:hAnsi="Times New Roman"/>
                <w:color w:val="auto"/>
                <w:sz w:val="21"/>
                <w:szCs w:val="21"/>
                <w:lang w:val="en-US" w:eastAsia="zh-CN"/>
              </w:rPr>
              <w:t>非甲烷总烃、颗粒物、油烟</w:t>
            </w:r>
          </w:p>
        </w:tc>
        <w:tc>
          <w:tcPr>
            <w:tcW w:w="1852" w:type="dxa"/>
            <w:noWrap w:val="0"/>
            <w:vAlign w:val="center"/>
          </w:tcPr>
          <w:p w14:paraId="7CEAA0C9">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车间生产时封闭</w:t>
            </w:r>
          </w:p>
        </w:tc>
        <w:tc>
          <w:tcPr>
            <w:tcW w:w="2017" w:type="dxa"/>
            <w:noWrap w:val="0"/>
            <w:vAlign w:val="center"/>
          </w:tcPr>
          <w:p w14:paraId="4295538A">
            <w:pPr>
              <w:adjustRightInd w:val="0"/>
              <w:snapToGrid w:val="0"/>
              <w:jc w:val="center"/>
              <w:rPr>
                <w:rFonts w:hint="eastAsia" w:ascii="Times New Roman" w:hAnsi="Times New Roman" w:cs="宋体"/>
                <w:color w:val="auto"/>
                <w:kern w:val="2"/>
                <w:sz w:val="21"/>
                <w:szCs w:val="21"/>
                <w:lang w:val="en-US" w:eastAsia="zh-CN" w:bidi="ar-SA"/>
              </w:rPr>
            </w:pPr>
            <w:r>
              <w:rPr>
                <w:rFonts w:hint="eastAsia" w:ascii="Times New Roman" w:hAnsi="Times New Roman"/>
                <w:color w:val="auto"/>
                <w:sz w:val="21"/>
                <w:szCs w:val="21"/>
                <w:lang w:val="en-US" w:eastAsia="zh-CN"/>
              </w:rPr>
              <w:t>《大气污染物综合排放标准》（DB32/4041-2021）</w:t>
            </w:r>
          </w:p>
        </w:tc>
      </w:tr>
      <w:tr w14:paraId="711CA6DB">
        <w:trPr>
          <w:trHeight w:val="425" w:hRule="atLeast"/>
          <w:jc w:val="center"/>
        </w:trPr>
        <w:tc>
          <w:tcPr>
            <w:tcW w:w="1778" w:type="dxa"/>
            <w:vMerge w:val="continue"/>
            <w:noWrap w:val="0"/>
            <w:vAlign w:val="center"/>
          </w:tcPr>
          <w:p w14:paraId="05F2CB18">
            <w:pPr>
              <w:adjustRightInd w:val="0"/>
              <w:snapToGrid w:val="0"/>
              <w:jc w:val="center"/>
              <w:rPr>
                <w:rFonts w:hint="eastAsia" w:cs="宋体"/>
                <w:color w:val="auto"/>
                <w:szCs w:val="21"/>
              </w:rPr>
            </w:pPr>
          </w:p>
        </w:tc>
        <w:tc>
          <w:tcPr>
            <w:tcW w:w="1500" w:type="dxa"/>
            <w:vMerge w:val="continue"/>
            <w:noWrap w:val="0"/>
            <w:vAlign w:val="center"/>
          </w:tcPr>
          <w:p w14:paraId="25D37DA7">
            <w:pPr>
              <w:adjustRightInd w:val="0"/>
              <w:snapToGrid w:val="0"/>
              <w:jc w:val="center"/>
              <w:rPr>
                <w:rFonts w:hint="eastAsia" w:ascii="Times New Roman" w:hAnsi="Times New Roman" w:cs="宋体"/>
                <w:color w:val="auto"/>
                <w:sz w:val="21"/>
                <w:szCs w:val="21"/>
                <w:lang w:val="en-US" w:eastAsia="zh-CN"/>
              </w:rPr>
            </w:pPr>
          </w:p>
        </w:tc>
        <w:tc>
          <w:tcPr>
            <w:tcW w:w="1740" w:type="dxa"/>
            <w:noWrap w:val="0"/>
            <w:vAlign w:val="center"/>
          </w:tcPr>
          <w:p w14:paraId="0533E7AB">
            <w:pPr>
              <w:adjustRightInd w:val="0"/>
              <w:snapToGrid w:val="0"/>
              <w:jc w:val="center"/>
              <w:rPr>
                <w:rFonts w:hint="eastAsia" w:ascii="Times New Roman" w:hAnsi="Times New Roman" w:cs="宋体"/>
                <w:color w:val="auto"/>
                <w:sz w:val="21"/>
                <w:szCs w:val="21"/>
                <w:lang w:val="en-US" w:eastAsia="zh-CN"/>
              </w:rPr>
            </w:pPr>
            <w:r>
              <w:rPr>
                <w:rFonts w:hint="eastAsia" w:ascii="Times New Roman" w:hAnsi="Times New Roman"/>
                <w:color w:val="auto"/>
                <w:sz w:val="21"/>
                <w:szCs w:val="21"/>
                <w:lang w:val="en-US" w:eastAsia="zh-CN"/>
              </w:rPr>
              <w:t>氨、硫化氢、臭气浓度</w:t>
            </w:r>
          </w:p>
        </w:tc>
        <w:tc>
          <w:tcPr>
            <w:tcW w:w="1852" w:type="dxa"/>
            <w:noWrap w:val="0"/>
            <w:vAlign w:val="center"/>
          </w:tcPr>
          <w:p w14:paraId="1C6500A3">
            <w:pPr>
              <w:adjustRightInd w:val="0"/>
              <w:snapToGrid w:val="0"/>
              <w:jc w:val="center"/>
              <w:rPr>
                <w:rFonts w:hint="eastAsia" w:ascii="Times New Roman" w:hAnsi="Times New Roman"/>
                <w:color w:val="auto"/>
                <w:sz w:val="21"/>
                <w:szCs w:val="21"/>
                <w:lang w:val="en-US" w:eastAsia="zh-CN"/>
              </w:rPr>
            </w:pPr>
            <w:r>
              <w:rPr>
                <w:rFonts w:hint="eastAsia"/>
                <w:color w:val="auto"/>
                <w:sz w:val="21"/>
                <w:szCs w:val="21"/>
                <w:lang w:val="en-US" w:eastAsia="zh-CN"/>
              </w:rPr>
              <w:t>喷洒除臭剂、加盖</w:t>
            </w:r>
            <w:r>
              <w:rPr>
                <w:rFonts w:hint="eastAsia" w:ascii="Times New Roman" w:hAnsi="Times New Roman"/>
                <w:color w:val="auto"/>
                <w:sz w:val="21"/>
                <w:szCs w:val="21"/>
                <w:lang w:val="en-US" w:eastAsia="zh-CN"/>
              </w:rPr>
              <w:t>，</w:t>
            </w:r>
            <w:r>
              <w:rPr>
                <w:rFonts w:hint="eastAsia"/>
                <w:color w:val="auto"/>
                <w:sz w:val="21"/>
                <w:szCs w:val="21"/>
                <w:lang w:val="en-US" w:eastAsia="zh-CN"/>
              </w:rPr>
              <w:t>加强绿化</w:t>
            </w:r>
          </w:p>
        </w:tc>
        <w:tc>
          <w:tcPr>
            <w:tcW w:w="2017" w:type="dxa"/>
            <w:noWrap w:val="0"/>
            <w:vAlign w:val="center"/>
          </w:tcPr>
          <w:p w14:paraId="631E438E">
            <w:pPr>
              <w:adjustRightInd w:val="0"/>
              <w:snapToGrid w:val="0"/>
              <w:jc w:val="center"/>
              <w:rPr>
                <w:rFonts w:hint="eastAsia" w:ascii="Times New Roman" w:hAnsi="Times New Roman" w:cs="宋体"/>
                <w:color w:val="auto"/>
                <w:kern w:val="2"/>
                <w:sz w:val="21"/>
                <w:szCs w:val="21"/>
                <w:lang w:val="en-US" w:eastAsia="zh-CN" w:bidi="ar-SA"/>
              </w:rPr>
            </w:pPr>
            <w:r>
              <w:rPr>
                <w:rFonts w:hint="default" w:ascii="Times New Roman" w:hAnsi="Times New Roman" w:cs="Times New Roman"/>
                <w:color w:val="auto"/>
                <w:sz w:val="21"/>
                <w:szCs w:val="21"/>
              </w:rPr>
              <w:t>《恶臭污染物排放标准》（GB14554-93）</w:t>
            </w:r>
          </w:p>
        </w:tc>
      </w:tr>
      <w:tr w14:paraId="000472D5">
        <w:trPr>
          <w:trHeight w:val="425" w:hRule="atLeast"/>
          <w:jc w:val="center"/>
        </w:trPr>
        <w:tc>
          <w:tcPr>
            <w:tcW w:w="1778" w:type="dxa"/>
            <w:vMerge w:val="continue"/>
            <w:noWrap w:val="0"/>
            <w:vAlign w:val="center"/>
          </w:tcPr>
          <w:p w14:paraId="4636BC6E">
            <w:pPr>
              <w:adjustRightInd w:val="0"/>
              <w:snapToGrid w:val="0"/>
              <w:jc w:val="center"/>
              <w:rPr>
                <w:rFonts w:cs="宋体"/>
                <w:color w:val="auto"/>
                <w:szCs w:val="21"/>
              </w:rPr>
            </w:pPr>
          </w:p>
        </w:tc>
        <w:tc>
          <w:tcPr>
            <w:tcW w:w="1500" w:type="dxa"/>
            <w:noWrap w:val="0"/>
            <w:vAlign w:val="center"/>
          </w:tcPr>
          <w:p w14:paraId="37803B7F">
            <w:pPr>
              <w:adjustRightInd w:val="0"/>
              <w:snapToGrid w:val="0"/>
              <w:jc w:val="center"/>
              <w:rPr>
                <w:rFonts w:ascii="Times New Roman" w:hAnsi="Times New Roman" w:cs="宋体"/>
                <w:color w:val="auto"/>
                <w:sz w:val="21"/>
                <w:szCs w:val="21"/>
              </w:rPr>
            </w:pPr>
            <w:r>
              <w:rPr>
                <w:rFonts w:hint="eastAsia" w:ascii="Times New Roman" w:hAnsi="Times New Roman" w:cs="宋体"/>
                <w:color w:val="auto"/>
                <w:sz w:val="21"/>
                <w:szCs w:val="21"/>
              </w:rPr>
              <w:t>厂区内无组织</w:t>
            </w:r>
          </w:p>
        </w:tc>
        <w:tc>
          <w:tcPr>
            <w:tcW w:w="1740" w:type="dxa"/>
            <w:noWrap w:val="0"/>
            <w:vAlign w:val="center"/>
          </w:tcPr>
          <w:p w14:paraId="4EEFA624">
            <w:pPr>
              <w:adjustRightInd w:val="0"/>
              <w:snapToGrid w:val="0"/>
              <w:jc w:val="center"/>
              <w:rPr>
                <w:rFonts w:hint="eastAsia" w:ascii="Times New Roman" w:hAnsi="Times New Roman" w:eastAsia="宋体" w:cs="宋体"/>
                <w:color w:val="auto"/>
                <w:sz w:val="21"/>
                <w:szCs w:val="21"/>
                <w:lang w:eastAsia="zh-CN"/>
              </w:rPr>
            </w:pPr>
            <w:r>
              <w:rPr>
                <w:rFonts w:hint="eastAsia" w:ascii="Times New Roman" w:hAnsi="Times New Roman"/>
                <w:color w:val="auto"/>
                <w:sz w:val="21"/>
                <w:szCs w:val="21"/>
                <w:lang w:val="en-US" w:eastAsia="zh-CN"/>
              </w:rPr>
              <w:t>非甲烷总烃</w:t>
            </w:r>
          </w:p>
        </w:tc>
        <w:tc>
          <w:tcPr>
            <w:tcW w:w="1852" w:type="dxa"/>
            <w:noWrap w:val="0"/>
            <w:vAlign w:val="center"/>
          </w:tcPr>
          <w:p w14:paraId="75516E64">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车间生产时封闭</w:t>
            </w:r>
          </w:p>
        </w:tc>
        <w:tc>
          <w:tcPr>
            <w:tcW w:w="2017" w:type="dxa"/>
            <w:noWrap w:val="0"/>
            <w:vAlign w:val="center"/>
          </w:tcPr>
          <w:p w14:paraId="13A9D79B">
            <w:pPr>
              <w:adjustRightInd w:val="0"/>
              <w:snapToGrid w:val="0"/>
              <w:jc w:val="center"/>
              <w:rPr>
                <w:rFonts w:ascii="Times New Roman" w:hAnsi="Times New Roman" w:cs="宋体"/>
                <w:color w:val="auto"/>
                <w:sz w:val="21"/>
                <w:szCs w:val="21"/>
              </w:rPr>
            </w:pPr>
            <w:r>
              <w:rPr>
                <w:rFonts w:ascii="Times New Roman" w:hAnsi="Times New Roman"/>
                <w:color w:val="auto"/>
                <w:sz w:val="21"/>
              </w:rPr>
              <w:t>《大气污染物综合排放标准》（DB32/4041-2021）</w:t>
            </w:r>
            <w:r>
              <w:rPr>
                <w:rFonts w:hint="eastAsia" w:ascii="Times New Roman" w:hAnsi="Times New Roman"/>
                <w:color w:val="auto"/>
                <w:sz w:val="21"/>
                <w:lang w:val="en-US" w:eastAsia="zh-CN"/>
              </w:rPr>
              <w:t>表2中限值要求</w:t>
            </w:r>
          </w:p>
        </w:tc>
      </w:tr>
      <w:tr w14:paraId="3D052511">
        <w:trPr>
          <w:trHeight w:val="1150" w:hRule="atLeast"/>
          <w:jc w:val="center"/>
        </w:trPr>
        <w:tc>
          <w:tcPr>
            <w:tcW w:w="1778" w:type="dxa"/>
            <w:vMerge w:val="restart"/>
            <w:noWrap w:val="0"/>
            <w:vAlign w:val="center"/>
          </w:tcPr>
          <w:p w14:paraId="2E8B7867">
            <w:pPr>
              <w:adjustRightInd w:val="0"/>
              <w:snapToGrid w:val="0"/>
              <w:jc w:val="center"/>
              <w:rPr>
                <w:rFonts w:cs="宋体"/>
                <w:color w:val="auto"/>
                <w:szCs w:val="21"/>
              </w:rPr>
            </w:pPr>
            <w:r>
              <w:rPr>
                <w:rFonts w:hint="eastAsia" w:cs="宋体"/>
                <w:color w:val="auto"/>
                <w:szCs w:val="21"/>
              </w:rPr>
              <w:t>地表水环境</w:t>
            </w:r>
          </w:p>
        </w:tc>
        <w:tc>
          <w:tcPr>
            <w:tcW w:w="1500" w:type="dxa"/>
            <w:noWrap w:val="0"/>
            <w:vAlign w:val="center"/>
          </w:tcPr>
          <w:p w14:paraId="7A607735">
            <w:pPr>
              <w:pStyle w:val="36"/>
              <w:keepNext w:val="0"/>
              <w:keepLines w:val="0"/>
              <w:suppressLineNumbers w:val="0"/>
              <w:bidi w:val="0"/>
              <w:spacing w:before="0" w:beforeAutospacing="0" w:after="0" w:afterAutospacing="0"/>
              <w:ind w:left="0" w:leftChars="0" w:right="0" w:rightChars="0"/>
              <w:rPr>
                <w:rFonts w:hint="default" w:ascii="Times New Roman" w:hAnsi="Times New Roman" w:eastAsia="宋体" w:cs="宋体"/>
                <w:color w:val="auto"/>
                <w:sz w:val="21"/>
                <w:szCs w:val="21"/>
                <w:lang w:val="en-US" w:eastAsia="zh-CN"/>
              </w:rPr>
            </w:pPr>
            <w:r>
              <w:rPr>
                <w:rFonts w:hint="eastAsia" w:ascii="Times New Roman" w:hAnsi="Times New Roman"/>
                <w:color w:val="auto"/>
                <w:sz w:val="21"/>
              </w:rPr>
              <w:t>生活污水</w:t>
            </w:r>
          </w:p>
        </w:tc>
        <w:tc>
          <w:tcPr>
            <w:tcW w:w="1740" w:type="dxa"/>
            <w:noWrap w:val="0"/>
            <w:vAlign w:val="center"/>
          </w:tcPr>
          <w:p w14:paraId="6F8D500D">
            <w:pPr>
              <w:pStyle w:val="36"/>
              <w:keepNext w:val="0"/>
              <w:keepLines w:val="0"/>
              <w:suppressLineNumbers w:val="0"/>
              <w:bidi w:val="0"/>
              <w:spacing w:before="0" w:beforeAutospacing="0" w:after="0" w:afterAutospacing="0"/>
              <w:ind w:left="0" w:leftChars="0" w:right="0" w:rightChars="0"/>
              <w:rPr>
                <w:rFonts w:hint="default" w:ascii="Times New Roman" w:hAnsi="Times New Roman" w:cs="宋体"/>
                <w:color w:val="auto"/>
                <w:sz w:val="21"/>
                <w:szCs w:val="21"/>
                <w:lang w:val="en-US"/>
              </w:rPr>
            </w:pPr>
            <w:r>
              <w:rPr>
                <w:rFonts w:hint="eastAsia" w:ascii="Times New Roman" w:hAnsi="Times New Roman"/>
                <w:color w:val="auto"/>
                <w:sz w:val="21"/>
              </w:rPr>
              <w:t>COD、SS、NH</w:t>
            </w:r>
            <w:r>
              <w:rPr>
                <w:rFonts w:hint="eastAsia" w:ascii="Times New Roman" w:hAnsi="Times New Roman"/>
                <w:color w:val="auto"/>
                <w:sz w:val="21"/>
                <w:vertAlign w:val="subscript"/>
              </w:rPr>
              <w:t>3</w:t>
            </w:r>
            <w:r>
              <w:rPr>
                <w:rFonts w:hint="eastAsia" w:ascii="Times New Roman" w:hAnsi="Times New Roman"/>
                <w:color w:val="auto"/>
                <w:sz w:val="21"/>
              </w:rPr>
              <w:t>-N、T</w:t>
            </w:r>
            <w:r>
              <w:rPr>
                <w:rFonts w:hint="eastAsia" w:ascii="Times New Roman" w:hAnsi="Times New Roman"/>
                <w:color w:val="auto"/>
                <w:sz w:val="21"/>
                <w:lang w:val="en-US" w:eastAsia="zh-CN"/>
              </w:rPr>
              <w:t>N</w:t>
            </w:r>
            <w:r>
              <w:rPr>
                <w:rFonts w:hint="eastAsia" w:ascii="Times New Roman" w:hAnsi="Times New Roman"/>
                <w:color w:val="auto"/>
                <w:sz w:val="21"/>
              </w:rPr>
              <w:t>、T</w:t>
            </w:r>
            <w:r>
              <w:rPr>
                <w:rFonts w:hint="eastAsia" w:ascii="Times New Roman" w:hAnsi="Times New Roman"/>
                <w:color w:val="auto"/>
                <w:sz w:val="21"/>
                <w:lang w:val="en-US" w:eastAsia="zh-CN"/>
              </w:rPr>
              <w:t>P、动植物油</w:t>
            </w:r>
          </w:p>
        </w:tc>
        <w:tc>
          <w:tcPr>
            <w:tcW w:w="1852" w:type="dxa"/>
            <w:noWrap w:val="0"/>
            <w:vAlign w:val="center"/>
          </w:tcPr>
          <w:p w14:paraId="6FE8A2B3">
            <w:pPr>
              <w:pStyle w:val="36"/>
              <w:keepNext w:val="0"/>
              <w:keepLines w:val="0"/>
              <w:suppressLineNumbers w:val="0"/>
              <w:bidi w:val="0"/>
              <w:spacing w:before="0" w:beforeAutospacing="0" w:after="0" w:afterAutospacing="0"/>
              <w:ind w:left="0" w:leftChars="0" w:right="0" w:rightChars="0"/>
              <w:rPr>
                <w:rFonts w:hint="eastAsia" w:ascii="Times New Roman" w:hAnsi="Times New Roman" w:eastAsia="宋体" w:cs="宋体"/>
                <w:color w:val="auto"/>
                <w:sz w:val="21"/>
                <w:szCs w:val="21"/>
                <w:lang w:val="en-US" w:eastAsia="zh-CN"/>
              </w:rPr>
            </w:pPr>
            <w:r>
              <w:rPr>
                <w:rFonts w:hint="eastAsia" w:ascii="Times New Roman" w:hAnsi="Times New Roman"/>
                <w:color w:val="auto"/>
                <w:sz w:val="21"/>
              </w:rPr>
              <w:t>经</w:t>
            </w:r>
            <w:r>
              <w:rPr>
                <w:rFonts w:hint="eastAsia" w:ascii="Times New Roman" w:hAnsi="Times New Roman"/>
                <w:color w:val="auto"/>
                <w:sz w:val="21"/>
                <w:lang w:val="en-US" w:eastAsia="zh-CN"/>
              </w:rPr>
              <w:t>隔油池+</w:t>
            </w:r>
            <w:r>
              <w:rPr>
                <w:rFonts w:hint="eastAsia" w:ascii="Times New Roman" w:hAnsi="Times New Roman"/>
                <w:color w:val="auto"/>
                <w:sz w:val="21"/>
                <w:lang w:eastAsia="zh-CN"/>
              </w:rPr>
              <w:t>化粪池</w:t>
            </w:r>
            <w:r>
              <w:rPr>
                <w:rFonts w:hint="eastAsia" w:ascii="Times New Roman" w:hAnsi="Times New Roman"/>
                <w:color w:val="auto"/>
                <w:sz w:val="21"/>
                <w:lang w:val="en-US" w:eastAsia="zh-CN"/>
              </w:rPr>
              <w:t>预处理</w:t>
            </w:r>
            <w:r>
              <w:rPr>
                <w:rFonts w:hint="eastAsia" w:ascii="Times New Roman"/>
                <w:color w:val="auto"/>
                <w:sz w:val="21"/>
                <w:lang w:val="en-US" w:eastAsia="zh-CN"/>
              </w:rPr>
              <w:t>后</w:t>
            </w:r>
            <w:r>
              <w:rPr>
                <w:rFonts w:hint="eastAsia" w:ascii="Times New Roman" w:hAnsi="Times New Roman"/>
                <w:color w:val="auto"/>
                <w:sz w:val="21"/>
                <w:lang w:val="en-US" w:eastAsia="zh-CN"/>
              </w:rPr>
              <w:t>接管至涟水经济开发区西区污水处理厂</w:t>
            </w:r>
          </w:p>
        </w:tc>
        <w:tc>
          <w:tcPr>
            <w:tcW w:w="2017" w:type="dxa"/>
            <w:vMerge w:val="restart"/>
            <w:noWrap w:val="0"/>
            <w:vAlign w:val="center"/>
          </w:tcPr>
          <w:p w14:paraId="6B72894B">
            <w:pPr>
              <w:adjustRightInd w:val="0"/>
              <w:snapToGrid w:val="0"/>
              <w:jc w:val="center"/>
              <w:rPr>
                <w:rFonts w:hint="default" w:ascii="Times New Roman" w:hAnsi="Times New Roman" w:cs="宋体"/>
                <w:color w:val="auto"/>
                <w:sz w:val="21"/>
                <w:szCs w:val="21"/>
                <w:lang w:val="en-US" w:eastAsia="zh-CN"/>
              </w:rPr>
            </w:pPr>
            <w:r>
              <w:rPr>
                <w:rFonts w:hint="eastAsia" w:ascii="Times New Roman" w:hAnsi="Times New Roman"/>
                <w:color w:val="auto"/>
                <w:sz w:val="21"/>
                <w:lang w:val="en-US" w:eastAsia="zh-CN"/>
              </w:rPr>
              <w:t>达到涟水经济开发区西区污水处理厂接管标准</w:t>
            </w:r>
          </w:p>
        </w:tc>
      </w:tr>
      <w:tr w14:paraId="2959C17C">
        <w:trPr>
          <w:trHeight w:val="1150" w:hRule="atLeast"/>
          <w:jc w:val="center"/>
        </w:trPr>
        <w:tc>
          <w:tcPr>
            <w:tcW w:w="1778" w:type="dxa"/>
            <w:vMerge w:val="continue"/>
            <w:noWrap w:val="0"/>
            <w:vAlign w:val="center"/>
          </w:tcPr>
          <w:p w14:paraId="6F2B2170">
            <w:pPr>
              <w:adjustRightInd w:val="0"/>
              <w:snapToGrid w:val="0"/>
              <w:jc w:val="center"/>
              <w:rPr>
                <w:color w:val="auto"/>
              </w:rPr>
            </w:pPr>
          </w:p>
        </w:tc>
        <w:tc>
          <w:tcPr>
            <w:tcW w:w="1500" w:type="dxa"/>
            <w:noWrap w:val="0"/>
            <w:vAlign w:val="center"/>
          </w:tcPr>
          <w:p w14:paraId="1AF13286">
            <w:pPr>
              <w:pStyle w:val="36"/>
              <w:keepNext w:val="0"/>
              <w:keepLines w:val="0"/>
              <w:suppressLineNumbers w:val="0"/>
              <w:bidi w:val="0"/>
              <w:spacing w:before="0" w:beforeAutospacing="0" w:after="0" w:afterAutospacing="0"/>
              <w:ind w:left="0" w:leftChars="0" w:right="0" w:rightChars="0"/>
              <w:rPr>
                <w:rFonts w:hint="default" w:ascii="Times New Roman" w:hAnsi="Times New Roman" w:cs="宋体"/>
                <w:color w:val="auto"/>
                <w:sz w:val="21"/>
                <w:szCs w:val="21"/>
                <w:lang w:val="en-US" w:eastAsia="zh-CN"/>
              </w:rPr>
            </w:pPr>
            <w:r>
              <w:rPr>
                <w:rFonts w:hint="eastAsia" w:ascii="Times New Roman" w:hAnsi="Times New Roman"/>
                <w:color w:val="auto"/>
                <w:sz w:val="21"/>
                <w:lang w:val="en-US" w:eastAsia="zh-CN"/>
              </w:rPr>
              <w:t>生产废水</w:t>
            </w:r>
          </w:p>
        </w:tc>
        <w:tc>
          <w:tcPr>
            <w:tcW w:w="1740" w:type="dxa"/>
            <w:noWrap w:val="0"/>
            <w:vAlign w:val="center"/>
          </w:tcPr>
          <w:p w14:paraId="0D87AFE1">
            <w:pPr>
              <w:pStyle w:val="36"/>
              <w:keepNext w:val="0"/>
              <w:keepLines w:val="0"/>
              <w:suppressLineNumbers w:val="0"/>
              <w:bidi w:val="0"/>
              <w:spacing w:before="0" w:beforeAutospacing="0" w:after="0" w:afterAutospacing="0"/>
              <w:ind w:left="0" w:leftChars="0" w:right="0" w:rightChars="0"/>
              <w:rPr>
                <w:rFonts w:hint="default" w:ascii="Times New Roman" w:hAnsi="Times New Roman" w:cs="宋体"/>
                <w:color w:val="auto"/>
                <w:sz w:val="21"/>
                <w:szCs w:val="21"/>
                <w:lang w:val="en-US" w:eastAsia="zh-CN"/>
              </w:rPr>
            </w:pPr>
            <w:r>
              <w:rPr>
                <w:rFonts w:ascii="Times New Roman" w:hAnsi="Times New Roman"/>
                <w:color w:val="auto"/>
                <w:sz w:val="21"/>
              </w:rPr>
              <w:t>COD、SS、BOD</w:t>
            </w:r>
            <w:r>
              <w:rPr>
                <w:rFonts w:ascii="Times New Roman" w:hAnsi="Times New Roman"/>
                <w:color w:val="auto"/>
                <w:sz w:val="21"/>
                <w:vertAlign w:val="subscript"/>
              </w:rPr>
              <w:t>5</w:t>
            </w:r>
            <w:r>
              <w:rPr>
                <w:rFonts w:ascii="Times New Roman" w:hAnsi="Times New Roman"/>
                <w:color w:val="auto"/>
                <w:sz w:val="21"/>
              </w:rPr>
              <w:t>、NH</w:t>
            </w:r>
            <w:r>
              <w:rPr>
                <w:rFonts w:ascii="Times New Roman" w:hAnsi="Times New Roman"/>
                <w:color w:val="auto"/>
                <w:sz w:val="21"/>
                <w:vertAlign w:val="subscript"/>
              </w:rPr>
              <w:t>3</w:t>
            </w:r>
            <w:r>
              <w:rPr>
                <w:rFonts w:ascii="Times New Roman" w:hAnsi="Times New Roman"/>
                <w:color w:val="auto"/>
                <w:sz w:val="21"/>
              </w:rPr>
              <w:t>-N、TN、TP</w:t>
            </w:r>
          </w:p>
        </w:tc>
        <w:tc>
          <w:tcPr>
            <w:tcW w:w="1852" w:type="dxa"/>
            <w:noWrap w:val="0"/>
            <w:vAlign w:val="center"/>
          </w:tcPr>
          <w:p w14:paraId="6B7C3CE4">
            <w:pPr>
              <w:pStyle w:val="36"/>
              <w:keepNext w:val="0"/>
              <w:keepLines w:val="0"/>
              <w:suppressLineNumbers w:val="0"/>
              <w:bidi w:val="0"/>
              <w:spacing w:before="0" w:beforeAutospacing="0" w:after="0" w:afterAutospacing="0"/>
              <w:ind w:left="0" w:leftChars="0" w:right="0" w:rightChars="0"/>
              <w:rPr>
                <w:rFonts w:hint="default" w:ascii="Times New Roman" w:hAnsi="Times New Roman" w:cs="宋体"/>
                <w:color w:val="auto"/>
                <w:sz w:val="21"/>
                <w:szCs w:val="21"/>
                <w:lang w:val="en-US" w:eastAsia="zh-CN"/>
              </w:rPr>
            </w:pPr>
            <w:r>
              <w:rPr>
                <w:rFonts w:ascii="Times New Roman" w:hAnsi="Times New Roman"/>
                <w:color w:val="auto"/>
                <w:sz w:val="21"/>
              </w:rPr>
              <w:t>经</w:t>
            </w:r>
            <w:r>
              <w:rPr>
                <w:rFonts w:hint="eastAsia" w:ascii="Times New Roman" w:hAnsi="Times New Roman"/>
                <w:color w:val="auto"/>
                <w:sz w:val="21"/>
                <w:lang w:val="en-US" w:eastAsia="zh-CN"/>
              </w:rPr>
              <w:t>厂区污水处理站</w:t>
            </w:r>
            <w:r>
              <w:rPr>
                <w:rFonts w:ascii="Times New Roman" w:hAnsi="Times New Roman"/>
                <w:color w:val="auto"/>
                <w:sz w:val="21"/>
              </w:rPr>
              <w:t>预处理接管至涟水经济开发区西区污水处理厂</w:t>
            </w:r>
          </w:p>
        </w:tc>
        <w:tc>
          <w:tcPr>
            <w:tcW w:w="2017" w:type="dxa"/>
            <w:vMerge w:val="continue"/>
            <w:noWrap w:val="0"/>
            <w:vAlign w:val="center"/>
          </w:tcPr>
          <w:p w14:paraId="2217BD92">
            <w:pPr>
              <w:adjustRightInd w:val="0"/>
              <w:snapToGrid w:val="0"/>
              <w:jc w:val="center"/>
              <w:rPr>
                <w:rFonts w:hint="default" w:ascii="Times New Roman" w:hAnsi="Times New Roman" w:cs="宋体"/>
                <w:color w:val="auto"/>
                <w:sz w:val="21"/>
                <w:szCs w:val="21"/>
                <w:lang w:val="en-US" w:eastAsia="zh-CN"/>
              </w:rPr>
            </w:pPr>
          </w:p>
        </w:tc>
      </w:tr>
      <w:tr w14:paraId="4D50BF1F">
        <w:trPr>
          <w:trHeight w:val="425" w:hRule="atLeast"/>
          <w:jc w:val="center"/>
        </w:trPr>
        <w:tc>
          <w:tcPr>
            <w:tcW w:w="1778" w:type="dxa"/>
            <w:noWrap w:val="0"/>
            <w:vAlign w:val="center"/>
          </w:tcPr>
          <w:p w14:paraId="1D1FF172">
            <w:pPr>
              <w:adjustRightInd w:val="0"/>
              <w:snapToGrid w:val="0"/>
              <w:jc w:val="center"/>
              <w:rPr>
                <w:rFonts w:cs="宋体"/>
                <w:color w:val="auto"/>
                <w:szCs w:val="21"/>
              </w:rPr>
            </w:pPr>
            <w:r>
              <w:rPr>
                <w:rFonts w:hint="eastAsia" w:cs="宋体"/>
                <w:color w:val="auto"/>
                <w:szCs w:val="21"/>
              </w:rPr>
              <w:t>声环境</w:t>
            </w:r>
          </w:p>
        </w:tc>
        <w:tc>
          <w:tcPr>
            <w:tcW w:w="1500" w:type="dxa"/>
            <w:noWrap w:val="0"/>
            <w:vAlign w:val="center"/>
          </w:tcPr>
          <w:p w14:paraId="64418462">
            <w:pPr>
              <w:adjustRightInd w:val="0"/>
              <w:snapToGrid w:val="0"/>
              <w:jc w:val="center"/>
              <w:rPr>
                <w:rFonts w:ascii="Times New Roman" w:hAnsi="Times New Roman" w:cs="宋体"/>
                <w:color w:val="auto"/>
                <w:sz w:val="21"/>
                <w:szCs w:val="21"/>
              </w:rPr>
            </w:pPr>
            <w:r>
              <w:rPr>
                <w:rFonts w:hint="eastAsia" w:ascii="Times New Roman" w:hAnsi="Times New Roman" w:cs="宋体"/>
                <w:color w:val="auto"/>
                <w:sz w:val="21"/>
                <w:szCs w:val="21"/>
              </w:rPr>
              <w:t>设备</w:t>
            </w:r>
          </w:p>
        </w:tc>
        <w:tc>
          <w:tcPr>
            <w:tcW w:w="1740" w:type="dxa"/>
            <w:noWrap w:val="0"/>
            <w:vAlign w:val="center"/>
          </w:tcPr>
          <w:p w14:paraId="40F4D1AE">
            <w:pPr>
              <w:adjustRightInd w:val="0"/>
              <w:snapToGrid w:val="0"/>
              <w:jc w:val="center"/>
              <w:rPr>
                <w:rFonts w:ascii="Times New Roman" w:hAnsi="Times New Roman" w:cs="宋体"/>
                <w:color w:val="auto"/>
                <w:sz w:val="21"/>
                <w:szCs w:val="21"/>
              </w:rPr>
            </w:pPr>
            <w:r>
              <w:rPr>
                <w:rFonts w:hint="eastAsia" w:ascii="Times New Roman" w:hAnsi="Times New Roman" w:cs="宋体"/>
                <w:color w:val="auto"/>
                <w:sz w:val="21"/>
                <w:szCs w:val="21"/>
              </w:rPr>
              <w:t>等效连续A声级</w:t>
            </w:r>
          </w:p>
        </w:tc>
        <w:tc>
          <w:tcPr>
            <w:tcW w:w="1852" w:type="dxa"/>
            <w:noWrap w:val="0"/>
            <w:vAlign w:val="center"/>
          </w:tcPr>
          <w:p w14:paraId="07ED85CB">
            <w:pPr>
              <w:jc w:val="center"/>
              <w:rPr>
                <w:rFonts w:ascii="Times New Roman" w:hAnsi="Times New Roman"/>
                <w:color w:val="auto"/>
                <w:sz w:val="21"/>
                <w:szCs w:val="21"/>
              </w:rPr>
            </w:pPr>
            <w:r>
              <w:rPr>
                <w:rFonts w:hint="eastAsia" w:ascii="Times New Roman" w:hAnsi="Times New Roman"/>
                <w:color w:val="auto"/>
                <w:sz w:val="21"/>
                <w:szCs w:val="21"/>
              </w:rPr>
              <w:t>合理布局</w:t>
            </w:r>
          </w:p>
          <w:p w14:paraId="1C396766">
            <w:pPr>
              <w:jc w:val="center"/>
              <w:rPr>
                <w:rFonts w:ascii="Times New Roman" w:hAnsi="Times New Roman"/>
                <w:color w:val="auto"/>
                <w:sz w:val="21"/>
                <w:szCs w:val="21"/>
              </w:rPr>
            </w:pPr>
            <w:r>
              <w:rPr>
                <w:rFonts w:hint="eastAsia" w:ascii="Times New Roman" w:hAnsi="Times New Roman"/>
                <w:color w:val="auto"/>
                <w:sz w:val="21"/>
                <w:szCs w:val="21"/>
              </w:rPr>
              <w:t>基础减震</w:t>
            </w:r>
          </w:p>
          <w:p w14:paraId="733D4A9D">
            <w:pPr>
              <w:adjustRightInd w:val="0"/>
              <w:snapToGrid w:val="0"/>
              <w:jc w:val="center"/>
              <w:rPr>
                <w:rFonts w:ascii="Times New Roman" w:hAnsi="Times New Roman" w:cs="宋体"/>
                <w:color w:val="auto"/>
                <w:sz w:val="21"/>
                <w:szCs w:val="21"/>
              </w:rPr>
            </w:pPr>
            <w:r>
              <w:rPr>
                <w:rFonts w:hint="eastAsia" w:ascii="Times New Roman" w:hAnsi="Times New Roman"/>
                <w:color w:val="auto"/>
                <w:sz w:val="21"/>
                <w:szCs w:val="21"/>
              </w:rPr>
              <w:t>墙体隔声</w:t>
            </w:r>
          </w:p>
        </w:tc>
        <w:tc>
          <w:tcPr>
            <w:tcW w:w="2017" w:type="dxa"/>
            <w:noWrap w:val="0"/>
            <w:vAlign w:val="center"/>
          </w:tcPr>
          <w:p w14:paraId="119D06A1">
            <w:pPr>
              <w:adjustRightInd w:val="0"/>
              <w:snapToGrid w:val="0"/>
              <w:jc w:val="center"/>
              <w:rPr>
                <w:rFonts w:ascii="Times New Roman" w:hAnsi="Times New Roman" w:cs="宋体"/>
                <w:color w:val="auto"/>
                <w:sz w:val="21"/>
                <w:szCs w:val="21"/>
              </w:rPr>
            </w:pPr>
            <w:r>
              <w:rPr>
                <w:rFonts w:ascii="Times New Roman" w:hAnsi="Times New Roman"/>
                <w:color w:val="auto"/>
                <w:sz w:val="21"/>
                <w:szCs w:val="21"/>
              </w:rPr>
              <w:t>《工业企业厂界环境噪声排放标准》（GB12348-2008）</w:t>
            </w:r>
          </w:p>
        </w:tc>
      </w:tr>
      <w:tr w14:paraId="6585D94A">
        <w:trPr>
          <w:trHeight w:val="425" w:hRule="atLeast"/>
          <w:jc w:val="center"/>
        </w:trPr>
        <w:tc>
          <w:tcPr>
            <w:tcW w:w="1778" w:type="dxa"/>
            <w:noWrap w:val="0"/>
            <w:vAlign w:val="center"/>
          </w:tcPr>
          <w:p w14:paraId="2AC87832">
            <w:pPr>
              <w:adjustRightInd w:val="0"/>
              <w:snapToGrid w:val="0"/>
              <w:jc w:val="center"/>
              <w:rPr>
                <w:rFonts w:cs="宋体"/>
                <w:color w:val="auto"/>
                <w:szCs w:val="21"/>
              </w:rPr>
            </w:pPr>
            <w:r>
              <w:rPr>
                <w:rFonts w:hint="eastAsia" w:cs="宋体"/>
                <w:color w:val="auto"/>
                <w:szCs w:val="21"/>
              </w:rPr>
              <w:t>电磁辐射</w:t>
            </w:r>
          </w:p>
        </w:tc>
        <w:tc>
          <w:tcPr>
            <w:tcW w:w="1500" w:type="dxa"/>
            <w:noWrap w:val="0"/>
            <w:vAlign w:val="center"/>
          </w:tcPr>
          <w:p w14:paraId="714C56DC">
            <w:pPr>
              <w:adjustRightInd w:val="0"/>
              <w:snapToGrid w:val="0"/>
              <w:jc w:val="center"/>
              <w:rPr>
                <w:rFonts w:ascii="Times New Roman" w:hAnsi="Times New Roman" w:cs="宋体"/>
                <w:color w:val="auto"/>
                <w:sz w:val="21"/>
                <w:szCs w:val="21"/>
              </w:rPr>
            </w:pPr>
            <w:r>
              <w:rPr>
                <w:rFonts w:hint="eastAsia" w:ascii="Times New Roman" w:hAnsi="Times New Roman" w:cs="宋体"/>
                <w:color w:val="auto"/>
                <w:sz w:val="21"/>
                <w:szCs w:val="21"/>
              </w:rPr>
              <w:t>无</w:t>
            </w:r>
          </w:p>
        </w:tc>
        <w:tc>
          <w:tcPr>
            <w:tcW w:w="1740" w:type="dxa"/>
            <w:noWrap w:val="0"/>
            <w:vAlign w:val="center"/>
          </w:tcPr>
          <w:p w14:paraId="114625C6">
            <w:pPr>
              <w:adjustRightInd w:val="0"/>
              <w:snapToGrid w:val="0"/>
              <w:jc w:val="center"/>
              <w:rPr>
                <w:rFonts w:ascii="Times New Roman" w:hAnsi="Times New Roman" w:cs="宋体"/>
                <w:color w:val="auto"/>
                <w:sz w:val="21"/>
                <w:szCs w:val="21"/>
              </w:rPr>
            </w:pPr>
            <w:r>
              <w:rPr>
                <w:rFonts w:hint="eastAsia" w:ascii="Times New Roman" w:hAnsi="Times New Roman" w:cs="宋体"/>
                <w:color w:val="auto"/>
                <w:sz w:val="21"/>
                <w:szCs w:val="21"/>
              </w:rPr>
              <w:t>无</w:t>
            </w:r>
          </w:p>
        </w:tc>
        <w:tc>
          <w:tcPr>
            <w:tcW w:w="1852" w:type="dxa"/>
            <w:noWrap w:val="0"/>
            <w:vAlign w:val="center"/>
          </w:tcPr>
          <w:p w14:paraId="3891D7D8">
            <w:pPr>
              <w:adjustRightInd w:val="0"/>
              <w:snapToGrid w:val="0"/>
              <w:jc w:val="center"/>
              <w:rPr>
                <w:rFonts w:ascii="Times New Roman" w:hAnsi="Times New Roman" w:cs="宋体"/>
                <w:color w:val="auto"/>
                <w:sz w:val="21"/>
                <w:szCs w:val="21"/>
              </w:rPr>
            </w:pPr>
            <w:r>
              <w:rPr>
                <w:rFonts w:hint="eastAsia" w:ascii="Times New Roman" w:hAnsi="Times New Roman" w:cs="宋体"/>
                <w:color w:val="auto"/>
                <w:sz w:val="21"/>
                <w:szCs w:val="21"/>
              </w:rPr>
              <w:t>无</w:t>
            </w:r>
          </w:p>
        </w:tc>
        <w:tc>
          <w:tcPr>
            <w:tcW w:w="2017" w:type="dxa"/>
            <w:noWrap w:val="0"/>
            <w:vAlign w:val="center"/>
          </w:tcPr>
          <w:p w14:paraId="5D5F3AB3">
            <w:pPr>
              <w:adjustRightInd w:val="0"/>
              <w:snapToGrid w:val="0"/>
              <w:jc w:val="center"/>
              <w:rPr>
                <w:rFonts w:ascii="Times New Roman" w:hAnsi="Times New Roman" w:cs="宋体"/>
                <w:color w:val="auto"/>
                <w:sz w:val="21"/>
                <w:szCs w:val="21"/>
              </w:rPr>
            </w:pPr>
            <w:r>
              <w:rPr>
                <w:rFonts w:hint="eastAsia" w:ascii="Times New Roman" w:hAnsi="Times New Roman" w:cs="宋体"/>
                <w:color w:val="auto"/>
                <w:sz w:val="21"/>
                <w:szCs w:val="21"/>
              </w:rPr>
              <w:t>无</w:t>
            </w:r>
          </w:p>
        </w:tc>
      </w:tr>
      <w:tr w14:paraId="78E9361A">
        <w:trPr>
          <w:trHeight w:val="567" w:hRule="atLeast"/>
          <w:jc w:val="center"/>
        </w:trPr>
        <w:tc>
          <w:tcPr>
            <w:tcW w:w="1778" w:type="dxa"/>
            <w:vMerge w:val="restart"/>
            <w:noWrap w:val="0"/>
            <w:vAlign w:val="center"/>
          </w:tcPr>
          <w:p w14:paraId="1AB3812B">
            <w:pPr>
              <w:adjustRightInd w:val="0"/>
              <w:snapToGrid w:val="0"/>
              <w:jc w:val="center"/>
              <w:rPr>
                <w:rFonts w:cs="宋体"/>
                <w:color w:val="auto"/>
                <w:szCs w:val="21"/>
              </w:rPr>
            </w:pPr>
            <w:r>
              <w:rPr>
                <w:rFonts w:hint="eastAsia" w:cs="宋体"/>
                <w:color w:val="auto"/>
                <w:szCs w:val="21"/>
              </w:rPr>
              <w:t>固体废物</w:t>
            </w:r>
          </w:p>
        </w:tc>
        <w:tc>
          <w:tcPr>
            <w:tcW w:w="1500" w:type="dxa"/>
            <w:noWrap w:val="0"/>
            <w:vAlign w:val="center"/>
          </w:tcPr>
          <w:p w14:paraId="360A8BA5">
            <w:pPr>
              <w:pStyle w:val="36"/>
              <w:keepNext w:val="0"/>
              <w:keepLines w:val="0"/>
              <w:suppressLineNumbers w:val="0"/>
              <w:bidi w:val="0"/>
              <w:spacing w:before="0" w:beforeAutospacing="0" w:after="0" w:afterAutospacing="0"/>
              <w:ind w:left="0" w:leftChars="0" w:right="0" w:rightChars="0"/>
              <w:rPr>
                <w:rFonts w:hint="default" w:ascii="Times New Roman" w:hAnsi="Times New Roman" w:eastAsia="宋体"/>
                <w:color w:val="auto"/>
                <w:kern w:val="0"/>
                <w:sz w:val="21"/>
                <w:szCs w:val="20"/>
                <w:lang w:val="en-US" w:eastAsia="zh-CN" w:bidi="ar-SA"/>
              </w:rPr>
            </w:pPr>
            <w:r>
              <w:rPr>
                <w:rFonts w:hint="eastAsia" w:ascii="Times New Roman" w:hAnsi="Times New Roman"/>
                <w:color w:val="auto"/>
                <w:sz w:val="21"/>
                <w:lang w:val="en-US" w:eastAsia="zh-CN"/>
              </w:rPr>
              <w:t>原辅料包装、产品包装</w:t>
            </w:r>
          </w:p>
        </w:tc>
        <w:tc>
          <w:tcPr>
            <w:tcW w:w="1740" w:type="dxa"/>
            <w:noWrap w:val="0"/>
            <w:vAlign w:val="center"/>
          </w:tcPr>
          <w:p w14:paraId="0F69A26F">
            <w:pPr>
              <w:pStyle w:val="17"/>
              <w:spacing w:line="240" w:lineRule="auto"/>
              <w:ind w:left="0" w:leftChars="0" w:firstLine="0" w:firstLineChars="0"/>
              <w:jc w:val="center"/>
              <w:rPr>
                <w:rFonts w:hint="eastAsia" w:ascii="Times New Roman" w:hAnsi="Times New Roman" w:eastAsia="宋体"/>
                <w:color w:val="auto"/>
                <w:kern w:val="0"/>
                <w:sz w:val="21"/>
                <w:szCs w:val="20"/>
                <w:lang w:val="en-US" w:eastAsia="zh-CN" w:bidi="ar-SA"/>
              </w:rPr>
            </w:pPr>
            <w:r>
              <w:rPr>
                <w:rFonts w:hint="eastAsia" w:ascii="Times New Roman" w:hAnsi="Times New Roman" w:cs="Times New Roman"/>
                <w:b w:val="0"/>
                <w:color w:val="auto"/>
                <w:sz w:val="21"/>
                <w:szCs w:val="18"/>
                <w:lang w:val="en-US" w:eastAsia="zh-CN"/>
              </w:rPr>
              <w:t>一般包装材料</w:t>
            </w:r>
          </w:p>
        </w:tc>
        <w:tc>
          <w:tcPr>
            <w:tcW w:w="1852" w:type="dxa"/>
            <w:vMerge w:val="restart"/>
            <w:noWrap w:val="0"/>
            <w:vAlign w:val="center"/>
          </w:tcPr>
          <w:p w14:paraId="0D1DAC9B">
            <w:pPr>
              <w:pStyle w:val="14"/>
              <w:spacing w:before="0" w:beforeAutospacing="0" w:after="0" w:afterAutospacing="0"/>
              <w:jc w:val="center"/>
              <w:outlineLvl w:val="0"/>
              <w:rPr>
                <w:rFonts w:ascii="Times New Roman" w:hAnsi="Times New Roman" w:cs="宋体"/>
                <w:color w:val="auto"/>
                <w:sz w:val="21"/>
                <w:szCs w:val="21"/>
              </w:rPr>
            </w:pPr>
            <w:r>
              <w:rPr>
                <w:rFonts w:ascii="Times New Roman" w:hAnsi="Times New Roman" w:eastAsia="宋体"/>
                <w:color w:val="auto"/>
                <w:sz w:val="21"/>
              </w:rPr>
              <w:t>设置1个</w:t>
            </w:r>
            <w:r>
              <w:rPr>
                <w:rFonts w:hint="eastAsia" w:ascii="Times New Roman" w:hAnsi="Times New Roman"/>
                <w:color w:val="auto"/>
                <w:sz w:val="21"/>
                <w:lang w:val="en-US" w:eastAsia="zh-CN"/>
              </w:rPr>
              <w:t>15</w:t>
            </w:r>
            <w:r>
              <w:rPr>
                <w:rFonts w:hint="eastAsia" w:ascii="Times New Roman" w:hAnsi="Times New Roman" w:eastAsia="宋体"/>
                <w:color w:val="auto"/>
                <w:sz w:val="21"/>
                <w:lang w:val="en-US" w:eastAsia="zh-CN"/>
              </w:rPr>
              <w:t>0</w:t>
            </w:r>
            <w:r>
              <w:rPr>
                <w:rFonts w:ascii="Times New Roman" w:hAnsi="Times New Roman" w:eastAsia="宋体"/>
                <w:color w:val="auto"/>
                <w:sz w:val="21"/>
              </w:rPr>
              <w:t>m</w:t>
            </w:r>
            <w:r>
              <w:rPr>
                <w:rFonts w:ascii="Times New Roman" w:hAnsi="Times New Roman" w:eastAsia="宋体"/>
                <w:color w:val="auto"/>
                <w:sz w:val="21"/>
                <w:vertAlign w:val="superscript"/>
              </w:rPr>
              <w:t>2</w:t>
            </w:r>
            <w:r>
              <w:rPr>
                <w:rFonts w:ascii="Times New Roman" w:hAnsi="Times New Roman" w:eastAsia="宋体"/>
                <w:color w:val="auto"/>
                <w:sz w:val="21"/>
              </w:rPr>
              <w:t>一般固废暂存区，</w:t>
            </w:r>
            <w:r>
              <w:rPr>
                <w:rFonts w:hint="eastAsia" w:ascii="Times New Roman" w:hAnsi="Times New Roman"/>
                <w:color w:val="auto"/>
                <w:sz w:val="21"/>
                <w:lang w:val="en-US" w:eastAsia="zh-CN"/>
              </w:rPr>
              <w:t>一般包装材料、滤渣、茶叶渣</w:t>
            </w:r>
            <w:r>
              <w:rPr>
                <w:rFonts w:ascii="Times New Roman" w:hAnsi="Times New Roman" w:eastAsia="宋体"/>
                <w:color w:val="auto"/>
                <w:sz w:val="21"/>
              </w:rPr>
              <w:t>外售给废旧资源回收公司</w:t>
            </w:r>
            <w:r>
              <w:rPr>
                <w:rFonts w:hint="eastAsia" w:ascii="Times New Roman" w:hAnsi="Times New Roman"/>
                <w:color w:val="auto"/>
                <w:sz w:val="21"/>
                <w:lang w:eastAsia="zh-CN"/>
              </w:rPr>
              <w:t>，废石英砂、活性炭和滤膜</w:t>
            </w:r>
            <w:r>
              <w:rPr>
                <w:rFonts w:hint="eastAsia" w:ascii="Times New Roman" w:hAnsi="Times New Roman"/>
                <w:color w:val="auto"/>
                <w:sz w:val="21"/>
                <w:lang w:val="en-US" w:eastAsia="zh-CN"/>
              </w:rPr>
              <w:t>由厂家回收，污水处理污泥委托一般污泥处置单位利用处置</w:t>
            </w:r>
          </w:p>
        </w:tc>
        <w:tc>
          <w:tcPr>
            <w:tcW w:w="2017" w:type="dxa"/>
            <w:vMerge w:val="restart"/>
            <w:noWrap w:val="0"/>
            <w:vAlign w:val="center"/>
          </w:tcPr>
          <w:p w14:paraId="1B509FB8">
            <w:pPr>
              <w:adjustRightInd w:val="0"/>
              <w:snapToGrid w:val="0"/>
              <w:jc w:val="center"/>
              <w:rPr>
                <w:rFonts w:ascii="Times New Roman" w:hAnsi="Times New Roman" w:cs="宋体"/>
                <w:color w:val="auto"/>
                <w:sz w:val="21"/>
                <w:szCs w:val="21"/>
              </w:rPr>
            </w:pPr>
            <w:r>
              <w:rPr>
                <w:rFonts w:hint="eastAsia" w:ascii="Times New Roman" w:hAnsi="Times New Roman" w:cs="宋体"/>
                <w:color w:val="auto"/>
                <w:sz w:val="21"/>
                <w:szCs w:val="21"/>
              </w:rPr>
              <w:t>《一般工业固体废物贮存和填埋污染控制标准》（GB18599-2020）</w:t>
            </w:r>
          </w:p>
        </w:tc>
      </w:tr>
      <w:tr w14:paraId="712AE34F">
        <w:trPr>
          <w:trHeight w:val="567" w:hRule="atLeast"/>
          <w:jc w:val="center"/>
        </w:trPr>
        <w:tc>
          <w:tcPr>
            <w:tcW w:w="1778" w:type="dxa"/>
            <w:vMerge w:val="continue"/>
            <w:noWrap w:val="0"/>
            <w:vAlign w:val="center"/>
          </w:tcPr>
          <w:p w14:paraId="13AB7AB4">
            <w:pPr>
              <w:adjustRightInd w:val="0"/>
              <w:snapToGrid w:val="0"/>
              <w:jc w:val="center"/>
              <w:rPr>
                <w:rFonts w:hint="eastAsia" w:cs="宋体"/>
                <w:color w:val="auto"/>
                <w:szCs w:val="21"/>
              </w:rPr>
            </w:pPr>
          </w:p>
        </w:tc>
        <w:tc>
          <w:tcPr>
            <w:tcW w:w="1500" w:type="dxa"/>
            <w:noWrap w:val="0"/>
            <w:vAlign w:val="center"/>
          </w:tcPr>
          <w:p w14:paraId="79BC5856">
            <w:pPr>
              <w:pStyle w:val="36"/>
              <w:keepNext w:val="0"/>
              <w:keepLines w:val="0"/>
              <w:suppressLineNumbers w:val="0"/>
              <w:bidi w:val="0"/>
              <w:spacing w:before="0" w:beforeAutospacing="0" w:after="0" w:afterAutospacing="0"/>
              <w:ind w:left="0" w:leftChars="0" w:right="0" w:rightChars="0"/>
              <w:rPr>
                <w:rFonts w:hint="eastAsia" w:ascii="Times New Roman" w:hAnsi="Times New Roman" w:eastAsia="宋体"/>
                <w:color w:val="auto"/>
                <w:sz w:val="21"/>
                <w:lang w:val="en-US" w:eastAsia="zh-CN"/>
              </w:rPr>
            </w:pPr>
            <w:r>
              <w:rPr>
                <w:rFonts w:hint="eastAsia" w:ascii="Times New Roman" w:hAnsi="Times New Roman"/>
                <w:color w:val="auto"/>
                <w:sz w:val="21"/>
                <w:lang w:val="en-US" w:eastAsia="zh-CN"/>
              </w:rPr>
              <w:t>过滤</w:t>
            </w:r>
          </w:p>
        </w:tc>
        <w:tc>
          <w:tcPr>
            <w:tcW w:w="1740" w:type="dxa"/>
            <w:noWrap w:val="0"/>
            <w:vAlign w:val="center"/>
          </w:tcPr>
          <w:p w14:paraId="17771189">
            <w:pPr>
              <w:pStyle w:val="17"/>
              <w:spacing w:line="240" w:lineRule="auto"/>
              <w:ind w:left="0" w:leftChars="0" w:firstLine="0" w:firstLineChars="0"/>
              <w:jc w:val="center"/>
              <w:rPr>
                <w:rFonts w:hint="eastAsia" w:ascii="Times New Roman" w:hAnsi="Times New Roman" w:eastAsia="宋体"/>
                <w:color w:val="auto"/>
                <w:sz w:val="21"/>
              </w:rPr>
            </w:pPr>
            <w:r>
              <w:rPr>
                <w:rFonts w:hint="eastAsia" w:ascii="Times New Roman" w:hAnsi="Times New Roman" w:cs="Times New Roman"/>
                <w:b w:val="0"/>
                <w:color w:val="auto"/>
                <w:sz w:val="21"/>
                <w:szCs w:val="18"/>
                <w:lang w:val="en-US" w:eastAsia="zh-CN"/>
              </w:rPr>
              <w:t>滤渣</w:t>
            </w:r>
          </w:p>
        </w:tc>
        <w:tc>
          <w:tcPr>
            <w:tcW w:w="1852" w:type="dxa"/>
            <w:vMerge w:val="continue"/>
            <w:noWrap w:val="0"/>
            <w:vAlign w:val="center"/>
          </w:tcPr>
          <w:p w14:paraId="09CEDAC3">
            <w:pPr>
              <w:pStyle w:val="14"/>
              <w:spacing w:before="0" w:beforeAutospacing="0" w:after="0" w:afterAutospacing="0"/>
              <w:jc w:val="center"/>
              <w:outlineLvl w:val="0"/>
              <w:rPr>
                <w:rFonts w:ascii="Times New Roman" w:hAnsi="Times New Roman" w:eastAsia="宋体"/>
                <w:color w:val="auto"/>
                <w:sz w:val="21"/>
              </w:rPr>
            </w:pPr>
          </w:p>
        </w:tc>
        <w:tc>
          <w:tcPr>
            <w:tcW w:w="2017" w:type="dxa"/>
            <w:vMerge w:val="continue"/>
            <w:noWrap w:val="0"/>
            <w:vAlign w:val="center"/>
          </w:tcPr>
          <w:p w14:paraId="5D8AE3E8">
            <w:pPr>
              <w:adjustRightInd w:val="0"/>
              <w:snapToGrid w:val="0"/>
              <w:jc w:val="center"/>
              <w:rPr>
                <w:rFonts w:hint="eastAsia" w:ascii="Times New Roman" w:hAnsi="Times New Roman" w:cs="宋体"/>
                <w:color w:val="auto"/>
                <w:sz w:val="21"/>
                <w:szCs w:val="21"/>
              </w:rPr>
            </w:pPr>
          </w:p>
        </w:tc>
      </w:tr>
      <w:tr w14:paraId="487CDFA1">
        <w:trPr>
          <w:trHeight w:val="567" w:hRule="atLeast"/>
          <w:jc w:val="center"/>
        </w:trPr>
        <w:tc>
          <w:tcPr>
            <w:tcW w:w="1778" w:type="dxa"/>
            <w:vMerge w:val="continue"/>
            <w:noWrap w:val="0"/>
            <w:vAlign w:val="center"/>
          </w:tcPr>
          <w:p w14:paraId="370640E3">
            <w:pPr>
              <w:adjustRightInd w:val="0"/>
              <w:snapToGrid w:val="0"/>
              <w:jc w:val="center"/>
              <w:rPr>
                <w:rFonts w:cs="宋体"/>
                <w:color w:val="auto"/>
                <w:szCs w:val="21"/>
              </w:rPr>
            </w:pPr>
          </w:p>
        </w:tc>
        <w:tc>
          <w:tcPr>
            <w:tcW w:w="1500" w:type="dxa"/>
            <w:noWrap w:val="0"/>
            <w:vAlign w:val="center"/>
          </w:tcPr>
          <w:p w14:paraId="03B02603">
            <w:pPr>
              <w:pStyle w:val="36"/>
              <w:keepNext w:val="0"/>
              <w:keepLines w:val="0"/>
              <w:suppressLineNumbers w:val="0"/>
              <w:bidi w:val="0"/>
              <w:spacing w:before="0" w:beforeAutospacing="0" w:after="0" w:afterAutospacing="0"/>
              <w:ind w:left="0" w:leftChars="0" w:right="0" w:rightChars="0"/>
              <w:rPr>
                <w:rFonts w:hint="default" w:ascii="Times New Roman" w:hAnsi="Times New Roman" w:eastAsia="宋体"/>
                <w:color w:val="auto"/>
                <w:kern w:val="2"/>
                <w:sz w:val="21"/>
                <w:szCs w:val="18"/>
                <w:lang w:val="en-US" w:eastAsia="zh-CN" w:bidi="ar-SA"/>
              </w:rPr>
            </w:pPr>
            <w:r>
              <w:rPr>
                <w:rFonts w:hint="eastAsia" w:ascii="Times New Roman"/>
                <w:color w:val="auto"/>
                <w:sz w:val="21"/>
                <w:lang w:val="en-US" w:eastAsia="zh-CN"/>
              </w:rPr>
              <w:t>过滤</w:t>
            </w:r>
          </w:p>
        </w:tc>
        <w:tc>
          <w:tcPr>
            <w:tcW w:w="1740" w:type="dxa"/>
            <w:noWrap w:val="0"/>
            <w:vAlign w:val="center"/>
          </w:tcPr>
          <w:p w14:paraId="61458DCF">
            <w:pPr>
              <w:pStyle w:val="17"/>
              <w:spacing w:line="240" w:lineRule="auto"/>
              <w:ind w:left="0" w:leftChars="0" w:firstLine="0" w:firstLineChars="0"/>
              <w:jc w:val="center"/>
              <w:rPr>
                <w:rFonts w:hint="eastAsia" w:ascii="Times New Roman" w:hAnsi="Times New Roman" w:eastAsia="宋体" w:cs="Times New Roman"/>
                <w:b w:val="0"/>
                <w:color w:val="auto"/>
                <w:kern w:val="2"/>
                <w:sz w:val="21"/>
                <w:szCs w:val="18"/>
                <w:lang w:val="en-US" w:eastAsia="zh-CN" w:bidi="ar-SA"/>
              </w:rPr>
            </w:pPr>
            <w:r>
              <w:rPr>
                <w:rFonts w:hint="eastAsia" w:ascii="Times New Roman" w:hAnsi="Times New Roman" w:cs="Times New Roman"/>
                <w:b w:val="0"/>
                <w:color w:val="auto"/>
                <w:sz w:val="21"/>
                <w:szCs w:val="18"/>
                <w:lang w:val="en-US" w:eastAsia="zh-CN"/>
              </w:rPr>
              <w:t>茶叶渣</w:t>
            </w:r>
          </w:p>
        </w:tc>
        <w:tc>
          <w:tcPr>
            <w:tcW w:w="1852" w:type="dxa"/>
            <w:vMerge w:val="continue"/>
            <w:noWrap w:val="0"/>
            <w:vAlign w:val="center"/>
          </w:tcPr>
          <w:p w14:paraId="4C77EDF2">
            <w:pPr>
              <w:adjustRightInd w:val="0"/>
              <w:snapToGrid w:val="0"/>
              <w:jc w:val="center"/>
              <w:rPr>
                <w:rFonts w:hint="eastAsia" w:ascii="Times New Roman" w:hAnsi="Times New Roman" w:cs="宋体"/>
                <w:color w:val="auto"/>
                <w:sz w:val="21"/>
                <w:szCs w:val="21"/>
              </w:rPr>
            </w:pPr>
          </w:p>
        </w:tc>
        <w:tc>
          <w:tcPr>
            <w:tcW w:w="2017" w:type="dxa"/>
            <w:vMerge w:val="continue"/>
            <w:noWrap w:val="0"/>
            <w:vAlign w:val="center"/>
          </w:tcPr>
          <w:p w14:paraId="1B0F1D57">
            <w:pPr>
              <w:adjustRightInd w:val="0"/>
              <w:snapToGrid w:val="0"/>
              <w:jc w:val="center"/>
              <w:rPr>
                <w:rFonts w:hint="eastAsia" w:ascii="Times New Roman" w:hAnsi="Times New Roman" w:cs="宋体"/>
                <w:color w:val="auto"/>
                <w:sz w:val="21"/>
                <w:szCs w:val="21"/>
              </w:rPr>
            </w:pPr>
          </w:p>
        </w:tc>
      </w:tr>
      <w:tr w14:paraId="5C3D7A99">
        <w:trPr>
          <w:trHeight w:val="567" w:hRule="atLeast"/>
          <w:jc w:val="center"/>
        </w:trPr>
        <w:tc>
          <w:tcPr>
            <w:tcW w:w="1778" w:type="dxa"/>
            <w:vMerge w:val="continue"/>
            <w:noWrap w:val="0"/>
            <w:vAlign w:val="center"/>
          </w:tcPr>
          <w:p w14:paraId="20667E3C">
            <w:pPr>
              <w:adjustRightInd w:val="0"/>
              <w:snapToGrid w:val="0"/>
              <w:jc w:val="center"/>
              <w:rPr>
                <w:rFonts w:cs="宋体"/>
                <w:color w:val="auto"/>
                <w:szCs w:val="21"/>
              </w:rPr>
            </w:pPr>
          </w:p>
        </w:tc>
        <w:tc>
          <w:tcPr>
            <w:tcW w:w="1500" w:type="dxa"/>
            <w:noWrap w:val="0"/>
            <w:vAlign w:val="center"/>
          </w:tcPr>
          <w:p w14:paraId="25C2454D">
            <w:pPr>
              <w:pStyle w:val="36"/>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olor w:val="auto"/>
                <w:sz w:val="21"/>
                <w:szCs w:val="18"/>
                <w:lang w:val="en-US" w:eastAsia="zh-CN"/>
              </w:rPr>
            </w:pPr>
            <w:r>
              <w:rPr>
                <w:rFonts w:hint="eastAsia" w:ascii="Times New Roman" w:hAnsi="Times New Roman" w:cs="Times New Roman"/>
                <w:color w:val="auto"/>
                <w:kern w:val="2"/>
                <w:sz w:val="21"/>
                <w:szCs w:val="21"/>
                <w:lang w:val="en-US" w:eastAsia="zh-CN" w:bidi="ar-SA"/>
              </w:rPr>
              <w:t>纯水制备</w:t>
            </w:r>
          </w:p>
        </w:tc>
        <w:tc>
          <w:tcPr>
            <w:tcW w:w="1740" w:type="dxa"/>
            <w:noWrap w:val="0"/>
            <w:vAlign w:val="center"/>
          </w:tcPr>
          <w:p w14:paraId="11A5C4AB">
            <w:pPr>
              <w:pStyle w:val="17"/>
              <w:spacing w:line="240" w:lineRule="auto"/>
              <w:ind w:left="0" w:leftChars="0" w:firstLine="0" w:firstLineChars="0"/>
              <w:jc w:val="center"/>
              <w:rPr>
                <w:rFonts w:hint="eastAsia"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废石英砂、活性炭和滤膜</w:t>
            </w:r>
          </w:p>
        </w:tc>
        <w:tc>
          <w:tcPr>
            <w:tcW w:w="1852" w:type="dxa"/>
            <w:vMerge w:val="continue"/>
            <w:noWrap w:val="0"/>
            <w:vAlign w:val="center"/>
          </w:tcPr>
          <w:p w14:paraId="1D02CB85">
            <w:pPr>
              <w:adjustRightInd w:val="0"/>
              <w:snapToGrid w:val="0"/>
              <w:jc w:val="center"/>
              <w:rPr>
                <w:rFonts w:hint="eastAsia" w:ascii="Times New Roman" w:hAnsi="Times New Roman" w:cs="宋体"/>
                <w:color w:val="auto"/>
                <w:sz w:val="21"/>
                <w:szCs w:val="21"/>
              </w:rPr>
            </w:pPr>
          </w:p>
        </w:tc>
        <w:tc>
          <w:tcPr>
            <w:tcW w:w="2017" w:type="dxa"/>
            <w:vMerge w:val="continue"/>
            <w:noWrap w:val="0"/>
            <w:vAlign w:val="center"/>
          </w:tcPr>
          <w:p w14:paraId="2C90F31B">
            <w:pPr>
              <w:adjustRightInd w:val="0"/>
              <w:snapToGrid w:val="0"/>
              <w:jc w:val="center"/>
              <w:rPr>
                <w:rFonts w:hint="eastAsia" w:ascii="Times New Roman" w:hAnsi="Times New Roman" w:cs="宋体"/>
                <w:color w:val="auto"/>
                <w:sz w:val="21"/>
                <w:szCs w:val="21"/>
              </w:rPr>
            </w:pPr>
          </w:p>
        </w:tc>
      </w:tr>
      <w:tr w14:paraId="2BD5447E">
        <w:trPr>
          <w:trHeight w:val="567" w:hRule="atLeast"/>
          <w:jc w:val="center"/>
        </w:trPr>
        <w:tc>
          <w:tcPr>
            <w:tcW w:w="1778" w:type="dxa"/>
            <w:vMerge w:val="continue"/>
            <w:noWrap w:val="0"/>
            <w:vAlign w:val="center"/>
          </w:tcPr>
          <w:p w14:paraId="50E49BD3">
            <w:pPr>
              <w:adjustRightInd w:val="0"/>
              <w:snapToGrid w:val="0"/>
              <w:jc w:val="center"/>
              <w:rPr>
                <w:rFonts w:cs="宋体"/>
                <w:color w:val="auto"/>
                <w:szCs w:val="21"/>
              </w:rPr>
            </w:pPr>
          </w:p>
        </w:tc>
        <w:tc>
          <w:tcPr>
            <w:tcW w:w="1500" w:type="dxa"/>
            <w:noWrap w:val="0"/>
            <w:vAlign w:val="center"/>
          </w:tcPr>
          <w:p w14:paraId="2B74B65C">
            <w:pPr>
              <w:pStyle w:val="36"/>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olor w:val="auto"/>
                <w:sz w:val="21"/>
                <w:szCs w:val="18"/>
                <w:lang w:val="en-US" w:eastAsia="zh-CN"/>
              </w:rPr>
            </w:pPr>
            <w:r>
              <w:rPr>
                <w:rFonts w:hint="eastAsia" w:ascii="Times New Roman" w:hAnsi="Times New Roman"/>
                <w:color w:val="auto"/>
                <w:sz w:val="21"/>
                <w:lang w:val="en-US" w:eastAsia="zh-CN"/>
              </w:rPr>
              <w:t>污水处理</w:t>
            </w:r>
          </w:p>
        </w:tc>
        <w:tc>
          <w:tcPr>
            <w:tcW w:w="1740" w:type="dxa"/>
            <w:noWrap w:val="0"/>
            <w:vAlign w:val="center"/>
          </w:tcPr>
          <w:p w14:paraId="6EE58056">
            <w:pPr>
              <w:pStyle w:val="17"/>
              <w:spacing w:line="240" w:lineRule="auto"/>
              <w:ind w:left="0" w:leftChars="0" w:firstLine="0" w:firstLineChars="0"/>
              <w:jc w:val="center"/>
              <w:rPr>
                <w:rFonts w:hint="eastAsia"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污水处理污泥</w:t>
            </w:r>
          </w:p>
        </w:tc>
        <w:tc>
          <w:tcPr>
            <w:tcW w:w="1852" w:type="dxa"/>
            <w:vMerge w:val="continue"/>
            <w:noWrap w:val="0"/>
            <w:vAlign w:val="center"/>
          </w:tcPr>
          <w:p w14:paraId="4798F2C0">
            <w:pPr>
              <w:adjustRightInd w:val="0"/>
              <w:snapToGrid w:val="0"/>
              <w:jc w:val="center"/>
              <w:rPr>
                <w:rFonts w:hint="eastAsia" w:ascii="Times New Roman" w:hAnsi="Times New Roman" w:cs="宋体"/>
                <w:color w:val="auto"/>
                <w:sz w:val="21"/>
                <w:szCs w:val="21"/>
              </w:rPr>
            </w:pPr>
          </w:p>
        </w:tc>
        <w:tc>
          <w:tcPr>
            <w:tcW w:w="2017" w:type="dxa"/>
            <w:vMerge w:val="continue"/>
            <w:noWrap w:val="0"/>
            <w:vAlign w:val="center"/>
          </w:tcPr>
          <w:p w14:paraId="64A4CD8D">
            <w:pPr>
              <w:adjustRightInd w:val="0"/>
              <w:snapToGrid w:val="0"/>
              <w:jc w:val="center"/>
              <w:rPr>
                <w:rFonts w:hint="eastAsia" w:ascii="Times New Roman" w:hAnsi="Times New Roman" w:cs="宋体"/>
                <w:color w:val="auto"/>
                <w:sz w:val="21"/>
                <w:szCs w:val="21"/>
              </w:rPr>
            </w:pPr>
          </w:p>
        </w:tc>
      </w:tr>
      <w:tr w14:paraId="6C87A8D7">
        <w:trPr>
          <w:trHeight w:val="567" w:hRule="atLeast"/>
          <w:jc w:val="center"/>
        </w:trPr>
        <w:tc>
          <w:tcPr>
            <w:tcW w:w="1778" w:type="dxa"/>
            <w:vMerge w:val="continue"/>
            <w:noWrap w:val="0"/>
            <w:vAlign w:val="center"/>
          </w:tcPr>
          <w:p w14:paraId="428DD886">
            <w:pPr>
              <w:adjustRightInd w:val="0"/>
              <w:snapToGrid w:val="0"/>
              <w:jc w:val="center"/>
              <w:rPr>
                <w:rFonts w:cs="宋体"/>
                <w:color w:val="auto"/>
                <w:szCs w:val="21"/>
              </w:rPr>
            </w:pPr>
          </w:p>
        </w:tc>
        <w:tc>
          <w:tcPr>
            <w:tcW w:w="1500" w:type="dxa"/>
            <w:noWrap w:val="0"/>
            <w:vAlign w:val="center"/>
          </w:tcPr>
          <w:p w14:paraId="1B2CA60F">
            <w:pPr>
              <w:adjustRightInd w:val="0"/>
              <w:snapToGrid w:val="0"/>
              <w:jc w:val="center"/>
              <w:rPr>
                <w:rFonts w:ascii="Times New Roman" w:hAnsi="Times New Roman" w:eastAsia="宋体"/>
                <w:color w:val="auto"/>
                <w:kern w:val="2"/>
                <w:sz w:val="21"/>
                <w:szCs w:val="18"/>
                <w:lang w:val="en-US" w:eastAsia="zh-CN" w:bidi="ar-SA"/>
              </w:rPr>
            </w:pPr>
            <w:r>
              <w:rPr>
                <w:rFonts w:hint="eastAsia" w:ascii="Times New Roman" w:hAnsi="Times New Roman" w:eastAsia="宋体"/>
                <w:color w:val="auto"/>
                <w:sz w:val="21"/>
                <w:szCs w:val="18"/>
              </w:rPr>
              <w:t>有机废气治理</w:t>
            </w:r>
          </w:p>
        </w:tc>
        <w:tc>
          <w:tcPr>
            <w:tcW w:w="1740" w:type="dxa"/>
            <w:noWrap w:val="0"/>
            <w:vAlign w:val="center"/>
          </w:tcPr>
          <w:p w14:paraId="41A1F24D">
            <w:pPr>
              <w:pStyle w:val="17"/>
              <w:spacing w:line="240" w:lineRule="auto"/>
              <w:ind w:left="0" w:leftChars="0" w:firstLine="0" w:firstLineChars="0"/>
              <w:jc w:val="center"/>
              <w:rPr>
                <w:rFonts w:ascii="Times New Roman" w:hAnsi="Times New Roman" w:eastAsia="宋体" w:cs="Times New Roman"/>
                <w:b w:val="0"/>
                <w:color w:val="auto"/>
                <w:kern w:val="2"/>
                <w:sz w:val="21"/>
                <w:szCs w:val="18"/>
                <w:lang w:val="en-US" w:eastAsia="zh-CN" w:bidi="ar-SA"/>
              </w:rPr>
            </w:pPr>
            <w:r>
              <w:rPr>
                <w:rFonts w:hint="eastAsia" w:ascii="Times New Roman" w:hAnsi="Times New Roman" w:eastAsia="宋体" w:cs="Times New Roman"/>
                <w:b w:val="0"/>
                <w:color w:val="auto"/>
                <w:sz w:val="21"/>
                <w:szCs w:val="18"/>
              </w:rPr>
              <w:t>废活性炭</w:t>
            </w:r>
          </w:p>
        </w:tc>
        <w:tc>
          <w:tcPr>
            <w:tcW w:w="1852" w:type="dxa"/>
            <w:vMerge w:val="restart"/>
            <w:noWrap w:val="0"/>
            <w:vAlign w:val="center"/>
          </w:tcPr>
          <w:p w14:paraId="172BC01B">
            <w:pPr>
              <w:pStyle w:val="14"/>
              <w:spacing w:before="0" w:beforeAutospacing="0" w:after="0" w:afterAutospacing="0"/>
              <w:jc w:val="center"/>
              <w:outlineLvl w:val="0"/>
              <w:rPr>
                <w:rFonts w:hint="eastAsia" w:ascii="Times New Roman" w:hAnsi="Times New Roman"/>
                <w:color w:val="auto"/>
                <w:sz w:val="21"/>
              </w:rPr>
            </w:pPr>
            <w:r>
              <w:rPr>
                <w:rFonts w:ascii="Times New Roman" w:hAnsi="Times New Roman" w:eastAsia="宋体"/>
                <w:color w:val="auto"/>
                <w:sz w:val="21"/>
              </w:rPr>
              <w:t>设置1个</w:t>
            </w:r>
            <w:r>
              <w:rPr>
                <w:rFonts w:hint="eastAsia" w:ascii="Times New Roman" w:hAnsi="Times New Roman"/>
                <w:color w:val="auto"/>
                <w:sz w:val="21"/>
                <w:lang w:val="en-US" w:eastAsia="zh-CN"/>
              </w:rPr>
              <w:t>5</w:t>
            </w:r>
            <w:r>
              <w:rPr>
                <w:rFonts w:hint="eastAsia" w:ascii="Times New Roman" w:hAnsi="Times New Roman" w:eastAsia="宋体"/>
                <w:color w:val="auto"/>
                <w:sz w:val="21"/>
                <w:lang w:val="en-US" w:eastAsia="zh-CN"/>
              </w:rPr>
              <w:t>0</w:t>
            </w:r>
            <w:r>
              <w:rPr>
                <w:rFonts w:ascii="Times New Roman" w:hAnsi="Times New Roman" w:eastAsia="宋体"/>
                <w:color w:val="auto"/>
                <w:sz w:val="21"/>
              </w:rPr>
              <w:t>m</w:t>
            </w:r>
            <w:r>
              <w:rPr>
                <w:rFonts w:ascii="Times New Roman" w:hAnsi="Times New Roman" w:eastAsia="宋体"/>
                <w:color w:val="auto"/>
                <w:sz w:val="21"/>
                <w:vertAlign w:val="superscript"/>
              </w:rPr>
              <w:t>2</w:t>
            </w:r>
            <w:r>
              <w:rPr>
                <w:rFonts w:hint="eastAsia" w:ascii="Times New Roman" w:hAnsi="Times New Roman"/>
                <w:color w:val="auto"/>
                <w:sz w:val="21"/>
                <w:lang w:eastAsia="zh-CN"/>
              </w:rPr>
              <w:t>危废库</w:t>
            </w:r>
            <w:r>
              <w:rPr>
                <w:rFonts w:ascii="Times New Roman" w:hAnsi="Times New Roman" w:eastAsia="宋体"/>
                <w:color w:val="auto"/>
                <w:sz w:val="21"/>
              </w:rPr>
              <w:t>，委托有危废处置资质单位处置</w:t>
            </w:r>
          </w:p>
        </w:tc>
        <w:tc>
          <w:tcPr>
            <w:tcW w:w="2017" w:type="dxa"/>
            <w:vMerge w:val="restart"/>
            <w:noWrap w:val="0"/>
            <w:vAlign w:val="center"/>
          </w:tcPr>
          <w:p w14:paraId="1E081BCF">
            <w:pPr>
              <w:adjustRightInd w:val="0"/>
              <w:snapToGrid w:val="0"/>
              <w:jc w:val="center"/>
              <w:rPr>
                <w:rFonts w:hint="eastAsia" w:ascii="Times New Roman" w:hAnsi="Times New Roman" w:eastAsia="宋体" w:cs="宋体"/>
                <w:color w:val="auto"/>
                <w:sz w:val="21"/>
                <w:szCs w:val="21"/>
                <w:lang w:eastAsia="zh-CN"/>
              </w:rPr>
            </w:pPr>
            <w:r>
              <w:rPr>
                <w:rFonts w:hint="eastAsia" w:ascii="Times New Roman" w:hAnsi="Times New Roman" w:cs="宋体"/>
                <w:color w:val="auto"/>
                <w:sz w:val="21"/>
                <w:szCs w:val="21"/>
                <w:lang w:eastAsia="zh-CN"/>
              </w:rPr>
              <w:t>《危险废物贮存污染控制标准》（GB18597-2023）</w:t>
            </w:r>
          </w:p>
        </w:tc>
      </w:tr>
      <w:tr w14:paraId="5C110895">
        <w:trPr>
          <w:trHeight w:val="567" w:hRule="atLeast"/>
          <w:jc w:val="center"/>
        </w:trPr>
        <w:tc>
          <w:tcPr>
            <w:tcW w:w="1778" w:type="dxa"/>
            <w:vMerge w:val="continue"/>
            <w:noWrap w:val="0"/>
            <w:vAlign w:val="center"/>
          </w:tcPr>
          <w:p w14:paraId="26598DCF">
            <w:pPr>
              <w:adjustRightInd w:val="0"/>
              <w:snapToGrid w:val="0"/>
              <w:jc w:val="center"/>
              <w:rPr>
                <w:rFonts w:cs="宋体"/>
                <w:color w:val="auto"/>
                <w:szCs w:val="21"/>
              </w:rPr>
            </w:pPr>
          </w:p>
        </w:tc>
        <w:tc>
          <w:tcPr>
            <w:tcW w:w="1500" w:type="dxa"/>
            <w:noWrap w:val="0"/>
            <w:vAlign w:val="center"/>
          </w:tcPr>
          <w:p w14:paraId="2789DCB0">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olor w:val="auto"/>
                <w:kern w:val="2"/>
                <w:sz w:val="21"/>
                <w:szCs w:val="18"/>
                <w:lang w:val="en-US" w:eastAsia="zh-CN" w:bidi="ar-SA"/>
              </w:rPr>
            </w:pPr>
            <w:r>
              <w:rPr>
                <w:rFonts w:hint="eastAsia" w:ascii="Times New Roman" w:hAnsi="Times New Roman"/>
                <w:color w:val="auto"/>
                <w:sz w:val="21"/>
                <w:szCs w:val="18"/>
                <w:lang w:val="en-US" w:eastAsia="zh-CN"/>
              </w:rPr>
              <w:t>润滑油包装</w:t>
            </w:r>
          </w:p>
        </w:tc>
        <w:tc>
          <w:tcPr>
            <w:tcW w:w="1740" w:type="dxa"/>
            <w:noWrap w:val="0"/>
            <w:vAlign w:val="center"/>
          </w:tcPr>
          <w:p w14:paraId="0ADE9568">
            <w:pPr>
              <w:pStyle w:val="17"/>
              <w:spacing w:line="240" w:lineRule="auto"/>
              <w:ind w:left="0" w:leftChars="0" w:firstLine="0" w:firstLineChars="0"/>
              <w:jc w:val="center"/>
              <w:rPr>
                <w:rFonts w:hint="eastAsia" w:ascii="Times New Roman" w:hAnsi="Times New Roman" w:eastAsia="宋体" w:cs="Times New Roman"/>
                <w:b w:val="0"/>
                <w:color w:val="auto"/>
                <w:kern w:val="2"/>
                <w:sz w:val="21"/>
                <w:szCs w:val="18"/>
                <w:lang w:val="en-US" w:eastAsia="zh-CN" w:bidi="ar-SA"/>
              </w:rPr>
            </w:pPr>
            <w:r>
              <w:rPr>
                <w:rFonts w:hint="eastAsia" w:ascii="Times New Roman" w:hAnsi="Times New Roman" w:cs="Times New Roman"/>
                <w:b w:val="0"/>
                <w:color w:val="auto"/>
                <w:sz w:val="21"/>
                <w:szCs w:val="18"/>
                <w:lang w:val="en-US" w:eastAsia="zh-CN"/>
              </w:rPr>
              <w:t>废包装桶</w:t>
            </w:r>
          </w:p>
        </w:tc>
        <w:tc>
          <w:tcPr>
            <w:tcW w:w="1852" w:type="dxa"/>
            <w:vMerge w:val="continue"/>
            <w:noWrap w:val="0"/>
            <w:vAlign w:val="center"/>
          </w:tcPr>
          <w:p w14:paraId="3BBCFEAA">
            <w:pPr>
              <w:pStyle w:val="14"/>
              <w:spacing w:before="0" w:beforeAutospacing="0" w:after="0" w:afterAutospacing="0"/>
              <w:jc w:val="center"/>
              <w:outlineLvl w:val="0"/>
              <w:rPr>
                <w:rFonts w:ascii="Times New Roman" w:hAnsi="Times New Roman" w:eastAsia="宋体"/>
                <w:color w:val="auto"/>
                <w:sz w:val="21"/>
              </w:rPr>
            </w:pPr>
          </w:p>
        </w:tc>
        <w:tc>
          <w:tcPr>
            <w:tcW w:w="2017" w:type="dxa"/>
            <w:vMerge w:val="continue"/>
            <w:noWrap w:val="0"/>
            <w:vAlign w:val="center"/>
          </w:tcPr>
          <w:p w14:paraId="6B0826D3">
            <w:pPr>
              <w:adjustRightInd w:val="0"/>
              <w:snapToGrid w:val="0"/>
              <w:jc w:val="center"/>
              <w:rPr>
                <w:rFonts w:hint="eastAsia" w:ascii="Times New Roman" w:hAnsi="Times New Roman" w:cs="宋体"/>
                <w:color w:val="auto"/>
                <w:sz w:val="21"/>
                <w:szCs w:val="21"/>
                <w:lang w:eastAsia="zh-CN"/>
              </w:rPr>
            </w:pPr>
          </w:p>
        </w:tc>
      </w:tr>
      <w:tr w14:paraId="055C358D">
        <w:trPr>
          <w:trHeight w:val="567" w:hRule="atLeast"/>
          <w:jc w:val="center"/>
        </w:trPr>
        <w:tc>
          <w:tcPr>
            <w:tcW w:w="1778" w:type="dxa"/>
            <w:vMerge w:val="continue"/>
            <w:noWrap w:val="0"/>
            <w:vAlign w:val="center"/>
          </w:tcPr>
          <w:p w14:paraId="7B5B5D2E">
            <w:pPr>
              <w:adjustRightInd w:val="0"/>
              <w:snapToGrid w:val="0"/>
              <w:jc w:val="center"/>
              <w:rPr>
                <w:rFonts w:cs="宋体"/>
                <w:color w:val="auto"/>
                <w:szCs w:val="21"/>
              </w:rPr>
            </w:pPr>
          </w:p>
        </w:tc>
        <w:tc>
          <w:tcPr>
            <w:tcW w:w="1500" w:type="dxa"/>
            <w:noWrap w:val="0"/>
            <w:vAlign w:val="center"/>
          </w:tcPr>
          <w:p w14:paraId="3EBAEE3E">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olor w:val="auto"/>
                <w:kern w:val="2"/>
                <w:sz w:val="21"/>
                <w:szCs w:val="18"/>
                <w:lang w:val="en-US" w:eastAsia="zh-CN" w:bidi="ar-SA"/>
              </w:rPr>
            </w:pPr>
            <w:r>
              <w:rPr>
                <w:rFonts w:hint="eastAsia" w:ascii="Times New Roman" w:hAnsi="Times New Roman" w:eastAsia="宋体"/>
                <w:color w:val="auto"/>
                <w:sz w:val="21"/>
                <w:szCs w:val="18"/>
                <w:lang w:val="en-US" w:eastAsia="zh-CN"/>
              </w:rPr>
              <w:t>设备保养</w:t>
            </w:r>
          </w:p>
        </w:tc>
        <w:tc>
          <w:tcPr>
            <w:tcW w:w="1740" w:type="dxa"/>
            <w:noWrap w:val="0"/>
            <w:vAlign w:val="center"/>
          </w:tcPr>
          <w:p w14:paraId="49FBD757">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color w:val="auto"/>
                <w:kern w:val="2"/>
                <w:sz w:val="21"/>
                <w:szCs w:val="18"/>
                <w:lang w:val="en-US" w:eastAsia="zh-CN" w:bidi="ar-SA"/>
              </w:rPr>
            </w:pPr>
            <w:r>
              <w:rPr>
                <w:rFonts w:hint="eastAsia" w:ascii="Times New Roman" w:hAnsi="Times New Roman" w:eastAsia="宋体" w:cs="Times New Roman"/>
                <w:b w:val="0"/>
                <w:color w:val="auto"/>
                <w:sz w:val="21"/>
                <w:szCs w:val="18"/>
                <w:lang w:val="en-US" w:eastAsia="zh-CN"/>
              </w:rPr>
              <w:t>废润滑油</w:t>
            </w:r>
          </w:p>
        </w:tc>
        <w:tc>
          <w:tcPr>
            <w:tcW w:w="1852" w:type="dxa"/>
            <w:vMerge w:val="continue"/>
            <w:noWrap w:val="0"/>
            <w:vAlign w:val="center"/>
          </w:tcPr>
          <w:p w14:paraId="14CE8AD0">
            <w:pPr>
              <w:pStyle w:val="14"/>
              <w:spacing w:before="0" w:beforeAutospacing="0" w:after="0" w:afterAutospacing="0"/>
              <w:jc w:val="center"/>
              <w:outlineLvl w:val="0"/>
              <w:rPr>
                <w:rFonts w:ascii="Times New Roman" w:hAnsi="Times New Roman" w:eastAsia="宋体"/>
                <w:color w:val="auto"/>
                <w:sz w:val="21"/>
              </w:rPr>
            </w:pPr>
          </w:p>
        </w:tc>
        <w:tc>
          <w:tcPr>
            <w:tcW w:w="2017" w:type="dxa"/>
            <w:vMerge w:val="continue"/>
            <w:noWrap w:val="0"/>
            <w:vAlign w:val="center"/>
          </w:tcPr>
          <w:p w14:paraId="21215BDB">
            <w:pPr>
              <w:adjustRightInd w:val="0"/>
              <w:snapToGrid w:val="0"/>
              <w:jc w:val="center"/>
              <w:rPr>
                <w:rFonts w:hint="eastAsia" w:ascii="Times New Roman" w:hAnsi="Times New Roman" w:cs="宋体"/>
                <w:color w:val="auto"/>
                <w:sz w:val="21"/>
                <w:szCs w:val="21"/>
                <w:lang w:eastAsia="zh-CN"/>
              </w:rPr>
            </w:pPr>
          </w:p>
        </w:tc>
      </w:tr>
      <w:tr w14:paraId="21A5F51B">
        <w:trPr>
          <w:trHeight w:val="567" w:hRule="atLeast"/>
          <w:jc w:val="center"/>
        </w:trPr>
        <w:tc>
          <w:tcPr>
            <w:tcW w:w="1778" w:type="dxa"/>
            <w:vMerge w:val="continue"/>
            <w:noWrap w:val="0"/>
            <w:vAlign w:val="center"/>
          </w:tcPr>
          <w:p w14:paraId="0AE2EE85">
            <w:pPr>
              <w:adjustRightInd w:val="0"/>
              <w:snapToGrid w:val="0"/>
              <w:jc w:val="center"/>
              <w:rPr>
                <w:rFonts w:cs="宋体"/>
                <w:color w:val="auto"/>
                <w:szCs w:val="21"/>
              </w:rPr>
            </w:pPr>
          </w:p>
        </w:tc>
        <w:tc>
          <w:tcPr>
            <w:tcW w:w="1500" w:type="dxa"/>
            <w:noWrap w:val="0"/>
            <w:vAlign w:val="center"/>
          </w:tcPr>
          <w:p w14:paraId="63780223">
            <w:pPr>
              <w:adjustRightInd w:val="0"/>
              <w:snapToGrid w:val="0"/>
              <w:jc w:val="center"/>
              <w:rPr>
                <w:rFonts w:hint="eastAsia" w:ascii="Times New Roman" w:hAnsi="Times New Roman" w:eastAsia="宋体"/>
                <w:color w:val="auto"/>
                <w:kern w:val="2"/>
                <w:sz w:val="21"/>
                <w:szCs w:val="18"/>
                <w:lang w:val="en-US" w:eastAsia="zh-CN" w:bidi="ar-SA"/>
              </w:rPr>
            </w:pPr>
            <w:r>
              <w:rPr>
                <w:rFonts w:hint="eastAsia" w:ascii="Times New Roman" w:hAnsi="Times New Roman" w:eastAsia="宋体"/>
                <w:color w:val="auto"/>
                <w:sz w:val="21"/>
                <w:szCs w:val="18"/>
                <w:lang w:val="en-US" w:eastAsia="zh-CN"/>
              </w:rPr>
              <w:t>设备维修保养</w:t>
            </w:r>
          </w:p>
        </w:tc>
        <w:tc>
          <w:tcPr>
            <w:tcW w:w="1740" w:type="dxa"/>
            <w:noWrap w:val="0"/>
            <w:vAlign w:val="center"/>
          </w:tcPr>
          <w:p w14:paraId="755E8958">
            <w:pPr>
              <w:pStyle w:val="17"/>
              <w:spacing w:line="240" w:lineRule="auto"/>
              <w:ind w:left="0" w:leftChars="0" w:firstLine="0" w:firstLineChars="0"/>
              <w:jc w:val="center"/>
              <w:rPr>
                <w:rFonts w:hint="eastAsia" w:ascii="Times New Roman" w:hAnsi="Times New Roman" w:eastAsia="宋体" w:cs="Times New Roman"/>
                <w:b w:val="0"/>
                <w:color w:val="auto"/>
                <w:kern w:val="2"/>
                <w:sz w:val="21"/>
                <w:szCs w:val="18"/>
                <w:lang w:val="en-US" w:eastAsia="zh-CN" w:bidi="ar-SA"/>
              </w:rPr>
            </w:pPr>
            <w:r>
              <w:rPr>
                <w:rFonts w:hint="eastAsia" w:ascii="Times New Roman" w:hAnsi="Times New Roman" w:eastAsia="宋体" w:cs="Times New Roman"/>
                <w:b w:val="0"/>
                <w:color w:val="auto"/>
                <w:sz w:val="21"/>
                <w:szCs w:val="18"/>
                <w:lang w:val="en-US" w:eastAsia="zh-CN"/>
              </w:rPr>
              <w:t>废劳保用品</w:t>
            </w:r>
          </w:p>
        </w:tc>
        <w:tc>
          <w:tcPr>
            <w:tcW w:w="1852" w:type="dxa"/>
            <w:vMerge w:val="continue"/>
            <w:noWrap w:val="0"/>
            <w:vAlign w:val="center"/>
          </w:tcPr>
          <w:p w14:paraId="509F451A">
            <w:pPr>
              <w:pStyle w:val="14"/>
              <w:spacing w:before="0" w:beforeAutospacing="0" w:after="0" w:afterAutospacing="0"/>
              <w:jc w:val="center"/>
              <w:outlineLvl w:val="0"/>
              <w:rPr>
                <w:rFonts w:ascii="Times New Roman" w:hAnsi="Times New Roman"/>
                <w:color w:val="auto"/>
                <w:sz w:val="21"/>
              </w:rPr>
            </w:pPr>
          </w:p>
        </w:tc>
        <w:tc>
          <w:tcPr>
            <w:tcW w:w="2017" w:type="dxa"/>
            <w:vMerge w:val="continue"/>
            <w:noWrap w:val="0"/>
            <w:vAlign w:val="center"/>
          </w:tcPr>
          <w:p w14:paraId="4D4D17C6">
            <w:pPr>
              <w:adjustRightInd w:val="0"/>
              <w:snapToGrid w:val="0"/>
              <w:jc w:val="center"/>
              <w:rPr>
                <w:rFonts w:hint="eastAsia" w:ascii="Times New Roman" w:hAnsi="Times New Roman" w:cs="宋体"/>
                <w:color w:val="auto"/>
                <w:sz w:val="21"/>
                <w:szCs w:val="21"/>
              </w:rPr>
            </w:pPr>
          </w:p>
        </w:tc>
      </w:tr>
      <w:tr w14:paraId="31D0F22D">
        <w:trPr>
          <w:trHeight w:val="567" w:hRule="atLeast"/>
          <w:jc w:val="center"/>
        </w:trPr>
        <w:tc>
          <w:tcPr>
            <w:tcW w:w="1778" w:type="dxa"/>
            <w:vMerge w:val="continue"/>
            <w:noWrap w:val="0"/>
            <w:vAlign w:val="center"/>
          </w:tcPr>
          <w:p w14:paraId="7256E82B">
            <w:pPr>
              <w:adjustRightInd w:val="0"/>
              <w:snapToGrid w:val="0"/>
              <w:jc w:val="center"/>
              <w:rPr>
                <w:rFonts w:cs="宋体"/>
                <w:color w:val="auto"/>
                <w:szCs w:val="21"/>
              </w:rPr>
            </w:pPr>
          </w:p>
        </w:tc>
        <w:tc>
          <w:tcPr>
            <w:tcW w:w="1500" w:type="dxa"/>
            <w:noWrap w:val="0"/>
            <w:vAlign w:val="center"/>
          </w:tcPr>
          <w:p w14:paraId="3EB7DCDC">
            <w:pPr>
              <w:adjustRightInd w:val="0"/>
              <w:snapToGrid w:val="0"/>
              <w:jc w:val="center"/>
              <w:rPr>
                <w:rFonts w:hint="default" w:ascii="Times New Roman" w:hAnsi="Times New Roman" w:eastAsia="宋体"/>
                <w:color w:val="auto"/>
                <w:sz w:val="21"/>
                <w:szCs w:val="18"/>
                <w:lang w:val="en-US" w:eastAsia="zh-CN"/>
              </w:rPr>
            </w:pPr>
            <w:r>
              <w:rPr>
                <w:rFonts w:hint="eastAsia" w:ascii="Times New Roman" w:hAnsi="Times New Roman"/>
                <w:color w:val="auto"/>
                <w:sz w:val="21"/>
                <w:szCs w:val="18"/>
                <w:lang w:val="en-US" w:eastAsia="zh-CN"/>
              </w:rPr>
              <w:t>化学品包装</w:t>
            </w:r>
          </w:p>
        </w:tc>
        <w:tc>
          <w:tcPr>
            <w:tcW w:w="1740" w:type="dxa"/>
            <w:noWrap w:val="0"/>
            <w:vAlign w:val="center"/>
          </w:tcPr>
          <w:p w14:paraId="0546EEF9">
            <w:pPr>
              <w:pStyle w:val="17"/>
              <w:spacing w:line="240" w:lineRule="auto"/>
              <w:ind w:left="0" w:leftChars="0" w:firstLine="0" w:firstLineChars="0"/>
              <w:jc w:val="center"/>
              <w:rPr>
                <w:rFonts w:hint="default" w:ascii="Times New Roman" w:hAnsi="Times New Roman" w:eastAsia="宋体"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化学品包装材料</w:t>
            </w:r>
          </w:p>
        </w:tc>
        <w:tc>
          <w:tcPr>
            <w:tcW w:w="1852" w:type="dxa"/>
            <w:vMerge w:val="continue"/>
            <w:noWrap w:val="0"/>
            <w:vAlign w:val="center"/>
          </w:tcPr>
          <w:p w14:paraId="6B0FADA5">
            <w:pPr>
              <w:pStyle w:val="14"/>
              <w:spacing w:before="0" w:beforeAutospacing="0" w:after="0" w:afterAutospacing="0"/>
              <w:jc w:val="center"/>
              <w:outlineLvl w:val="0"/>
              <w:rPr>
                <w:rFonts w:ascii="Times New Roman" w:hAnsi="Times New Roman"/>
                <w:color w:val="auto"/>
                <w:sz w:val="21"/>
              </w:rPr>
            </w:pPr>
          </w:p>
        </w:tc>
        <w:tc>
          <w:tcPr>
            <w:tcW w:w="2017" w:type="dxa"/>
            <w:vMerge w:val="continue"/>
            <w:noWrap w:val="0"/>
            <w:vAlign w:val="center"/>
          </w:tcPr>
          <w:p w14:paraId="7BC4A239">
            <w:pPr>
              <w:adjustRightInd w:val="0"/>
              <w:snapToGrid w:val="0"/>
              <w:jc w:val="center"/>
              <w:rPr>
                <w:rFonts w:hint="eastAsia" w:ascii="Times New Roman" w:hAnsi="Times New Roman" w:cs="宋体"/>
                <w:color w:val="auto"/>
                <w:sz w:val="21"/>
                <w:szCs w:val="21"/>
              </w:rPr>
            </w:pPr>
          </w:p>
        </w:tc>
      </w:tr>
      <w:tr w14:paraId="75733D3A">
        <w:trPr>
          <w:trHeight w:val="567" w:hRule="atLeast"/>
          <w:jc w:val="center"/>
        </w:trPr>
        <w:tc>
          <w:tcPr>
            <w:tcW w:w="1778" w:type="dxa"/>
            <w:vMerge w:val="continue"/>
            <w:noWrap w:val="0"/>
            <w:vAlign w:val="center"/>
          </w:tcPr>
          <w:p w14:paraId="73D236C0">
            <w:pPr>
              <w:adjustRightInd w:val="0"/>
              <w:snapToGrid w:val="0"/>
              <w:jc w:val="center"/>
              <w:rPr>
                <w:rFonts w:cs="宋体"/>
                <w:color w:val="auto"/>
                <w:szCs w:val="21"/>
              </w:rPr>
            </w:pPr>
          </w:p>
        </w:tc>
        <w:tc>
          <w:tcPr>
            <w:tcW w:w="1500" w:type="dxa"/>
            <w:noWrap w:val="0"/>
            <w:vAlign w:val="center"/>
          </w:tcPr>
          <w:p w14:paraId="393ECF84">
            <w:pPr>
              <w:adjustRightInd w:val="0"/>
              <w:snapToGrid w:val="0"/>
              <w:jc w:val="center"/>
              <w:rPr>
                <w:rFonts w:hint="default" w:ascii="Times New Roman" w:hAnsi="Times New Roman" w:eastAsia="宋体"/>
                <w:color w:val="auto"/>
                <w:kern w:val="2"/>
                <w:sz w:val="21"/>
                <w:szCs w:val="18"/>
                <w:lang w:val="en-US" w:eastAsia="zh-CN" w:bidi="ar-SA"/>
              </w:rPr>
            </w:pPr>
            <w:r>
              <w:rPr>
                <w:rFonts w:hint="eastAsia" w:ascii="Times New Roman" w:hAnsi="Times New Roman" w:eastAsia="宋体"/>
                <w:color w:val="auto"/>
                <w:sz w:val="21"/>
                <w:szCs w:val="18"/>
              </w:rPr>
              <w:t>员工工作、生活</w:t>
            </w:r>
          </w:p>
        </w:tc>
        <w:tc>
          <w:tcPr>
            <w:tcW w:w="1740" w:type="dxa"/>
            <w:noWrap w:val="0"/>
            <w:vAlign w:val="center"/>
          </w:tcPr>
          <w:p w14:paraId="6680C12C">
            <w:pPr>
              <w:pStyle w:val="17"/>
              <w:spacing w:line="240" w:lineRule="auto"/>
              <w:ind w:left="0" w:leftChars="0" w:firstLine="0" w:firstLineChars="0"/>
              <w:jc w:val="center"/>
              <w:rPr>
                <w:rFonts w:hint="default" w:ascii="Times New Roman" w:hAnsi="Times New Roman" w:eastAsia="宋体" w:cs="Times New Roman"/>
                <w:b w:val="0"/>
                <w:color w:val="auto"/>
                <w:kern w:val="2"/>
                <w:sz w:val="21"/>
                <w:szCs w:val="18"/>
                <w:lang w:val="en-US" w:eastAsia="zh-CN" w:bidi="ar-SA"/>
              </w:rPr>
            </w:pPr>
            <w:r>
              <w:rPr>
                <w:rFonts w:hint="eastAsia" w:ascii="Times New Roman" w:hAnsi="Times New Roman" w:eastAsia="宋体" w:cs="Times New Roman"/>
                <w:b w:val="0"/>
                <w:color w:val="auto"/>
                <w:sz w:val="21"/>
                <w:szCs w:val="18"/>
              </w:rPr>
              <w:t>生活垃圾</w:t>
            </w:r>
          </w:p>
        </w:tc>
        <w:tc>
          <w:tcPr>
            <w:tcW w:w="1852" w:type="dxa"/>
            <w:noWrap w:val="0"/>
            <w:vAlign w:val="center"/>
          </w:tcPr>
          <w:p w14:paraId="4FF96148">
            <w:pPr>
              <w:pStyle w:val="14"/>
              <w:spacing w:before="0" w:beforeAutospacing="0" w:after="0" w:afterAutospacing="0"/>
              <w:jc w:val="center"/>
              <w:outlineLvl w:val="0"/>
              <w:rPr>
                <w:rFonts w:ascii="Times New Roman" w:hAnsi="Times New Roman" w:eastAsia="宋体"/>
                <w:color w:val="auto"/>
                <w:kern w:val="0"/>
                <w:sz w:val="21"/>
                <w:szCs w:val="20"/>
                <w:lang w:val="en-US" w:eastAsia="zh-CN" w:bidi="ar-SA"/>
              </w:rPr>
            </w:pPr>
            <w:r>
              <w:rPr>
                <w:rFonts w:ascii="Times New Roman" w:hAnsi="Times New Roman" w:eastAsia="宋体"/>
                <w:color w:val="auto"/>
                <w:sz w:val="21"/>
              </w:rPr>
              <w:t>设置垃圾桶、垃圾箱，委托环卫部门统一清运</w:t>
            </w:r>
          </w:p>
        </w:tc>
        <w:tc>
          <w:tcPr>
            <w:tcW w:w="2017" w:type="dxa"/>
            <w:noWrap w:val="0"/>
            <w:vAlign w:val="center"/>
          </w:tcPr>
          <w:p w14:paraId="0409ED90">
            <w:pPr>
              <w:adjustRightInd w:val="0"/>
              <w:snapToGrid w:val="0"/>
              <w:jc w:val="center"/>
              <w:rPr>
                <w:rFonts w:ascii="Times New Roman" w:hAnsi="Times New Roman" w:cs="宋体"/>
                <w:color w:val="auto"/>
                <w:sz w:val="21"/>
                <w:szCs w:val="21"/>
              </w:rPr>
            </w:pPr>
            <w:r>
              <w:rPr>
                <w:rFonts w:hint="eastAsia" w:ascii="Times New Roman" w:hAnsi="Times New Roman" w:cs="宋体"/>
                <w:color w:val="auto"/>
                <w:sz w:val="21"/>
                <w:szCs w:val="21"/>
              </w:rPr>
              <w:t>《城市生活垃圾管理办法》</w:t>
            </w:r>
          </w:p>
        </w:tc>
      </w:tr>
      <w:tr w14:paraId="288D2183">
        <w:trPr>
          <w:trHeight w:val="425" w:hRule="atLeast"/>
          <w:jc w:val="center"/>
        </w:trPr>
        <w:tc>
          <w:tcPr>
            <w:tcW w:w="1778" w:type="dxa"/>
            <w:noWrap w:val="0"/>
            <w:vAlign w:val="center"/>
          </w:tcPr>
          <w:p w14:paraId="2B56B46C">
            <w:pPr>
              <w:adjustRightInd w:val="0"/>
              <w:snapToGrid w:val="0"/>
              <w:jc w:val="center"/>
              <w:rPr>
                <w:rFonts w:cs="宋体"/>
                <w:color w:val="auto"/>
                <w:szCs w:val="21"/>
              </w:rPr>
            </w:pPr>
            <w:r>
              <w:rPr>
                <w:rFonts w:hint="eastAsia" w:cs="宋体"/>
                <w:color w:val="auto"/>
                <w:szCs w:val="21"/>
              </w:rPr>
              <w:t>土壤及地下水</w:t>
            </w:r>
          </w:p>
          <w:p w14:paraId="09E9DC2C">
            <w:pPr>
              <w:adjustRightInd w:val="0"/>
              <w:snapToGrid w:val="0"/>
              <w:jc w:val="center"/>
              <w:rPr>
                <w:rFonts w:cs="宋体"/>
                <w:color w:val="auto"/>
                <w:szCs w:val="21"/>
              </w:rPr>
            </w:pPr>
            <w:r>
              <w:rPr>
                <w:rFonts w:hint="eastAsia" w:cs="宋体"/>
                <w:color w:val="auto"/>
                <w:szCs w:val="21"/>
              </w:rPr>
              <w:t>污染防治措施</w:t>
            </w:r>
          </w:p>
        </w:tc>
        <w:tc>
          <w:tcPr>
            <w:tcW w:w="7109" w:type="dxa"/>
            <w:gridSpan w:val="4"/>
            <w:noWrap w:val="0"/>
            <w:vAlign w:val="center"/>
          </w:tcPr>
          <w:p w14:paraId="535D9881">
            <w:pPr>
              <w:adjustRightInd w:val="0"/>
              <w:snapToGrid w:val="0"/>
              <w:spacing w:line="280" w:lineRule="exact"/>
              <w:ind w:firstLine="420" w:firstLineChars="200"/>
              <w:rPr>
                <w:color w:val="auto"/>
                <w:szCs w:val="21"/>
              </w:rPr>
            </w:pPr>
            <w:r>
              <w:rPr>
                <w:color w:val="auto"/>
                <w:szCs w:val="21"/>
              </w:rPr>
              <w:t>根据《环境影响评价技术导则地下水环境》（HJ610-2016）与</w:t>
            </w:r>
            <w:r>
              <w:rPr>
                <w:rFonts w:hint="eastAsia"/>
                <w:color w:val="auto"/>
                <w:szCs w:val="21"/>
                <w:lang w:eastAsia="zh-CN"/>
              </w:rPr>
              <w:t>《危险废物贮存污染控制标准》（GB18597-2023）</w:t>
            </w:r>
            <w:r>
              <w:rPr>
                <w:color w:val="auto"/>
                <w:szCs w:val="21"/>
              </w:rPr>
              <w:t>中规定，企业必须满足下列要求：</w:t>
            </w:r>
          </w:p>
          <w:p w14:paraId="7338360C">
            <w:pPr>
              <w:adjustRightInd w:val="0"/>
              <w:snapToGrid w:val="0"/>
              <w:spacing w:line="280" w:lineRule="exact"/>
              <w:ind w:firstLine="420" w:firstLineChars="200"/>
              <w:rPr>
                <w:color w:val="auto"/>
                <w:szCs w:val="21"/>
              </w:rPr>
            </w:pPr>
            <w:r>
              <w:rPr>
                <w:color w:val="auto"/>
                <w:szCs w:val="21"/>
              </w:rPr>
              <w:t>①</w:t>
            </w:r>
            <w:r>
              <w:rPr>
                <w:rFonts w:hint="eastAsia"/>
                <w:color w:val="auto"/>
                <w:sz w:val="21"/>
                <w:szCs w:val="21"/>
                <w:lang w:val="en-US" w:eastAsia="zh-CN"/>
              </w:rPr>
              <w:t>成品库、一般固废暂存区</w:t>
            </w:r>
            <w:r>
              <w:rPr>
                <w:rFonts w:hint="eastAsia"/>
                <w:color w:val="auto"/>
                <w:sz w:val="21"/>
                <w:szCs w:val="21"/>
              </w:rPr>
              <w:t>以及生产厂房为</w:t>
            </w:r>
            <w:r>
              <w:rPr>
                <w:color w:val="auto"/>
                <w:szCs w:val="21"/>
              </w:rPr>
              <w:t>简单防渗区，进行一般地面硬化处理。</w:t>
            </w:r>
          </w:p>
          <w:p w14:paraId="4879B03E">
            <w:pPr>
              <w:adjustRightInd w:val="0"/>
              <w:snapToGrid w:val="0"/>
              <w:spacing w:line="280" w:lineRule="exact"/>
              <w:ind w:firstLine="420" w:firstLineChars="200"/>
              <w:rPr>
                <w:color w:val="auto"/>
                <w:szCs w:val="21"/>
              </w:rPr>
            </w:pPr>
            <w:r>
              <w:rPr>
                <w:color w:val="auto"/>
                <w:szCs w:val="21"/>
              </w:rPr>
              <w:t>②</w:t>
            </w:r>
            <w:r>
              <w:rPr>
                <w:rFonts w:hint="eastAsia"/>
                <w:color w:val="auto"/>
                <w:szCs w:val="21"/>
                <w:lang w:eastAsia="zh-CN"/>
              </w:rPr>
              <w:t>危废库</w:t>
            </w:r>
            <w:r>
              <w:rPr>
                <w:color w:val="auto"/>
                <w:szCs w:val="21"/>
              </w:rPr>
              <w:t>为</w:t>
            </w:r>
            <w:r>
              <w:rPr>
                <w:rFonts w:hint="eastAsia"/>
                <w:color w:val="auto"/>
                <w:szCs w:val="21"/>
              </w:rPr>
              <w:t>重点</w:t>
            </w:r>
            <w:r>
              <w:rPr>
                <w:color w:val="auto"/>
                <w:szCs w:val="21"/>
              </w:rPr>
              <w:t>防渗区，地面采用10cm厚C25抗渗等级为P8的抗渗混凝土或者符合要求的环氧树脂进行防渗处理。</w:t>
            </w:r>
          </w:p>
          <w:p w14:paraId="71AC6B99">
            <w:pPr>
              <w:adjustRightInd w:val="0"/>
              <w:snapToGrid w:val="0"/>
              <w:spacing w:line="280" w:lineRule="exact"/>
              <w:ind w:firstLine="420" w:firstLineChars="200"/>
              <w:rPr>
                <w:rFonts w:cs="宋体"/>
                <w:color w:val="auto"/>
                <w:szCs w:val="21"/>
              </w:rPr>
            </w:pPr>
            <w:r>
              <w:rPr>
                <w:color w:val="auto"/>
                <w:szCs w:val="21"/>
              </w:rPr>
              <w:t>采用上述措施后，危废暂存库的渗透系数不大于1×10</w:t>
            </w:r>
            <w:r>
              <w:rPr>
                <w:rFonts w:hint="eastAsia"/>
                <w:color w:val="auto"/>
                <w:szCs w:val="21"/>
                <w:lang w:eastAsia="zh-CN"/>
              </w:rPr>
              <w:t>～</w:t>
            </w:r>
            <w:r>
              <w:rPr>
                <w:color w:val="auto"/>
                <w:szCs w:val="21"/>
                <w:vertAlign w:val="superscript"/>
              </w:rPr>
              <w:t>7</w:t>
            </w:r>
            <w:r>
              <w:rPr>
                <w:color w:val="auto"/>
                <w:szCs w:val="21"/>
              </w:rPr>
              <w:t>cm/s，可有效阻止污染物下渗。</w:t>
            </w:r>
          </w:p>
        </w:tc>
      </w:tr>
      <w:tr w14:paraId="33E0255B">
        <w:trPr>
          <w:trHeight w:val="425" w:hRule="atLeast"/>
          <w:jc w:val="center"/>
        </w:trPr>
        <w:tc>
          <w:tcPr>
            <w:tcW w:w="1778" w:type="dxa"/>
            <w:noWrap w:val="0"/>
            <w:vAlign w:val="center"/>
          </w:tcPr>
          <w:p w14:paraId="55639756">
            <w:pPr>
              <w:adjustRightInd w:val="0"/>
              <w:snapToGrid w:val="0"/>
              <w:jc w:val="center"/>
              <w:rPr>
                <w:rFonts w:cs="宋体"/>
                <w:color w:val="auto"/>
                <w:szCs w:val="21"/>
              </w:rPr>
            </w:pPr>
            <w:r>
              <w:rPr>
                <w:rFonts w:hint="eastAsia" w:cs="宋体"/>
                <w:color w:val="auto"/>
                <w:szCs w:val="21"/>
              </w:rPr>
              <w:t>生态保护措施</w:t>
            </w:r>
          </w:p>
        </w:tc>
        <w:tc>
          <w:tcPr>
            <w:tcW w:w="7109" w:type="dxa"/>
            <w:gridSpan w:val="4"/>
            <w:noWrap w:val="0"/>
            <w:vAlign w:val="center"/>
          </w:tcPr>
          <w:p w14:paraId="27BEDED0">
            <w:pPr>
              <w:adjustRightInd w:val="0"/>
              <w:snapToGrid w:val="0"/>
              <w:jc w:val="center"/>
              <w:rPr>
                <w:rFonts w:cs="宋体"/>
                <w:color w:val="auto"/>
                <w:szCs w:val="21"/>
              </w:rPr>
            </w:pPr>
            <w:r>
              <w:rPr>
                <w:rFonts w:hint="eastAsia" w:cs="宋体"/>
                <w:color w:val="auto"/>
                <w:szCs w:val="21"/>
              </w:rPr>
              <w:t>无</w:t>
            </w:r>
          </w:p>
        </w:tc>
      </w:tr>
      <w:tr w14:paraId="2EFB35C1">
        <w:trPr>
          <w:trHeight w:val="3322" w:hRule="atLeast"/>
          <w:jc w:val="center"/>
        </w:trPr>
        <w:tc>
          <w:tcPr>
            <w:tcW w:w="1778" w:type="dxa"/>
            <w:noWrap w:val="0"/>
            <w:vAlign w:val="center"/>
          </w:tcPr>
          <w:p w14:paraId="1D026269">
            <w:pPr>
              <w:adjustRightInd w:val="0"/>
              <w:snapToGrid w:val="0"/>
              <w:jc w:val="center"/>
              <w:rPr>
                <w:rFonts w:cs="宋体"/>
                <w:color w:val="auto"/>
                <w:spacing w:val="-8"/>
                <w:szCs w:val="21"/>
              </w:rPr>
            </w:pPr>
            <w:r>
              <w:rPr>
                <w:rFonts w:hint="eastAsia" w:cs="宋体"/>
                <w:color w:val="auto"/>
                <w:spacing w:val="-8"/>
                <w:szCs w:val="21"/>
              </w:rPr>
              <w:t>环境风险</w:t>
            </w:r>
          </w:p>
          <w:p w14:paraId="152BD5C8">
            <w:pPr>
              <w:adjustRightInd w:val="0"/>
              <w:snapToGrid w:val="0"/>
              <w:jc w:val="center"/>
              <w:rPr>
                <w:rFonts w:cs="宋体"/>
                <w:color w:val="auto"/>
                <w:szCs w:val="21"/>
              </w:rPr>
            </w:pPr>
            <w:r>
              <w:rPr>
                <w:rFonts w:hint="eastAsia" w:cs="宋体"/>
                <w:color w:val="auto"/>
                <w:spacing w:val="-8"/>
                <w:szCs w:val="21"/>
              </w:rPr>
              <w:t>防范措施</w:t>
            </w:r>
          </w:p>
        </w:tc>
        <w:tc>
          <w:tcPr>
            <w:tcW w:w="7109" w:type="dxa"/>
            <w:gridSpan w:val="4"/>
            <w:noWrap w:val="0"/>
            <w:vAlign w:val="center"/>
          </w:tcPr>
          <w:p w14:paraId="7860B7E2">
            <w:pPr>
              <w:adjustRightInd w:val="0"/>
              <w:snapToGrid w:val="0"/>
              <w:spacing w:line="360" w:lineRule="exact"/>
              <w:ind w:firstLine="420" w:firstLineChars="200"/>
              <w:rPr>
                <w:rFonts w:cs="宋体"/>
                <w:color w:val="auto"/>
                <w:szCs w:val="21"/>
              </w:rPr>
            </w:pPr>
            <w:r>
              <w:rPr>
                <w:rFonts w:hint="eastAsia" w:cs="宋体"/>
                <w:color w:val="auto"/>
                <w:szCs w:val="21"/>
              </w:rPr>
              <w:t>①建立健全并严格执行活性炭</w:t>
            </w:r>
            <w:r>
              <w:rPr>
                <w:rFonts w:hint="eastAsia" w:cs="宋体"/>
                <w:color w:val="auto"/>
                <w:szCs w:val="21"/>
                <w:lang w:eastAsia="zh-CN"/>
              </w:rPr>
              <w:t>、</w:t>
            </w:r>
            <w:r>
              <w:rPr>
                <w:rFonts w:hint="eastAsia" w:cs="宋体"/>
                <w:color w:val="auto"/>
                <w:szCs w:val="21"/>
                <w:lang w:val="en-US" w:eastAsia="zh-CN"/>
              </w:rPr>
              <w:t>润滑油</w:t>
            </w:r>
            <w:r>
              <w:rPr>
                <w:rFonts w:hint="eastAsia" w:cs="宋体"/>
                <w:color w:val="auto"/>
                <w:szCs w:val="21"/>
              </w:rPr>
              <w:t>使用的各项规章制度和规程，加强日常的安全检查。建立危险物质定期汇总登记制度，登记汇总的危险物质种类和数量存档、备查。科学管理，应根据危险物质性能，分区、分类存放，各类危险物质不得与禁忌物料混合存放。</w:t>
            </w:r>
          </w:p>
          <w:p w14:paraId="6FD0E2C4">
            <w:pPr>
              <w:adjustRightInd w:val="0"/>
              <w:snapToGrid w:val="0"/>
              <w:spacing w:line="360" w:lineRule="exact"/>
              <w:ind w:firstLine="420" w:firstLineChars="200"/>
              <w:rPr>
                <w:rFonts w:cs="宋体"/>
                <w:color w:val="auto"/>
                <w:szCs w:val="21"/>
              </w:rPr>
            </w:pPr>
            <w:r>
              <w:rPr>
                <w:rFonts w:hint="eastAsia" w:cs="宋体"/>
                <w:color w:val="auto"/>
                <w:szCs w:val="21"/>
              </w:rPr>
              <w:t>②安排专员定期对</w:t>
            </w:r>
            <w:r>
              <w:rPr>
                <w:rFonts w:hint="eastAsia" w:cs="宋体"/>
                <w:color w:val="auto"/>
                <w:szCs w:val="21"/>
                <w:lang w:eastAsia="zh-CN"/>
              </w:rPr>
              <w:t>危废库</w:t>
            </w:r>
            <w:r>
              <w:rPr>
                <w:rFonts w:hint="eastAsia" w:cs="宋体"/>
                <w:color w:val="auto"/>
                <w:szCs w:val="21"/>
              </w:rPr>
              <w:t>和一般固废暂存区进行检查，严格遵守安全操作规程和消防安全管理制度，远离火种、热源，工作场所严禁吸烟，从源头杜绝火灾事故发生。</w:t>
            </w:r>
          </w:p>
          <w:p w14:paraId="39AAFC32">
            <w:pPr>
              <w:adjustRightInd w:val="0"/>
              <w:snapToGrid w:val="0"/>
              <w:spacing w:line="360" w:lineRule="exact"/>
              <w:ind w:firstLine="420" w:firstLineChars="200"/>
              <w:rPr>
                <w:rFonts w:hint="eastAsia" w:cs="宋体"/>
                <w:color w:val="auto"/>
                <w:szCs w:val="21"/>
              </w:rPr>
            </w:pPr>
            <w:r>
              <w:rPr>
                <w:rFonts w:hint="eastAsia" w:cs="宋体"/>
                <w:color w:val="auto"/>
                <w:szCs w:val="21"/>
              </w:rPr>
              <w:t>③定期进行安全环保宣传教育以及紧急事故模拟演习，提高事故应变能力。</w:t>
            </w:r>
          </w:p>
          <w:p w14:paraId="2C2EBF76">
            <w:pPr>
              <w:adjustRightInd w:val="0"/>
              <w:snapToGrid w:val="0"/>
              <w:spacing w:line="360" w:lineRule="exact"/>
              <w:ind w:firstLine="420" w:firstLineChars="200"/>
              <w:rPr>
                <w:rFonts w:hint="eastAsia" w:cs="宋体"/>
                <w:color w:val="auto"/>
                <w:szCs w:val="21"/>
              </w:rPr>
            </w:pPr>
          </w:p>
          <w:p w14:paraId="0D6C4B76">
            <w:pPr>
              <w:adjustRightInd w:val="0"/>
              <w:snapToGrid w:val="0"/>
              <w:spacing w:line="360" w:lineRule="exact"/>
              <w:ind w:firstLine="420" w:firstLineChars="200"/>
              <w:rPr>
                <w:rFonts w:hint="eastAsia" w:cs="宋体"/>
                <w:color w:val="auto"/>
                <w:szCs w:val="21"/>
              </w:rPr>
            </w:pPr>
          </w:p>
        </w:tc>
      </w:tr>
      <w:tr w14:paraId="099B0BC6">
        <w:trPr>
          <w:trHeight w:val="5310" w:hRule="atLeast"/>
          <w:jc w:val="center"/>
        </w:trPr>
        <w:tc>
          <w:tcPr>
            <w:tcW w:w="1778" w:type="dxa"/>
            <w:noWrap w:val="0"/>
            <w:vAlign w:val="center"/>
          </w:tcPr>
          <w:p w14:paraId="442C9DF3">
            <w:pPr>
              <w:adjustRightInd w:val="0"/>
              <w:snapToGrid w:val="0"/>
              <w:jc w:val="center"/>
              <w:rPr>
                <w:rFonts w:cs="宋体"/>
                <w:color w:val="auto"/>
                <w:spacing w:val="-8"/>
                <w:szCs w:val="21"/>
              </w:rPr>
            </w:pPr>
            <w:r>
              <w:rPr>
                <w:rFonts w:hint="eastAsia" w:cs="宋体"/>
                <w:color w:val="auto"/>
                <w:spacing w:val="-8"/>
                <w:szCs w:val="21"/>
              </w:rPr>
              <w:t>其他环境</w:t>
            </w:r>
          </w:p>
          <w:p w14:paraId="6DBB7BA6">
            <w:pPr>
              <w:adjustRightInd w:val="0"/>
              <w:snapToGrid w:val="0"/>
              <w:jc w:val="center"/>
              <w:rPr>
                <w:rFonts w:cs="宋体"/>
                <w:color w:val="auto"/>
                <w:spacing w:val="-8"/>
                <w:szCs w:val="21"/>
              </w:rPr>
            </w:pPr>
            <w:r>
              <w:rPr>
                <w:rFonts w:hint="eastAsia" w:cs="宋体"/>
                <w:color w:val="auto"/>
                <w:spacing w:val="-8"/>
                <w:szCs w:val="21"/>
              </w:rPr>
              <w:t>管理要求</w:t>
            </w:r>
          </w:p>
        </w:tc>
        <w:tc>
          <w:tcPr>
            <w:tcW w:w="7109" w:type="dxa"/>
            <w:gridSpan w:val="4"/>
            <w:noWrap w:val="0"/>
            <w:vAlign w:val="center"/>
          </w:tcPr>
          <w:p w14:paraId="3E111AAD">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color w:val="auto"/>
              </w:rPr>
            </w:pPr>
            <w:r>
              <w:rPr>
                <w:rFonts w:hint="eastAsia"/>
                <w:color w:val="auto"/>
              </w:rPr>
              <w:t>①根据《排污许可管理办法（试行）》（</w:t>
            </w:r>
            <w:r>
              <w:rPr>
                <w:rFonts w:hint="eastAsia"/>
                <w:color w:val="auto"/>
                <w:lang w:eastAsia="zh-CN"/>
              </w:rPr>
              <w:t>环境保护部</w:t>
            </w:r>
            <w:r>
              <w:rPr>
                <w:rFonts w:hint="eastAsia"/>
                <w:color w:val="auto"/>
              </w:rPr>
              <w:t>令第48号）和《排污许可管理条例》（中华人民共和国国务院令第736号）文件规定，纳入固定污染源排污许可分类管理名录的企业事业单位和其他生产经营者（简称排污单位）应当按照规定申请并取得排污许可证，未取得排污许可证的，不得排放污染物。排污许可实行分类管理，根据污染物产生量、排放量、对环境的影响程度等因素，分为重点管理、简化管理和登记管理3种类别。对照《固定污染源排污许可分类管理名录（2019年版）》，本项目属于名录中“十、酒、饮料和精制茶制造业15中22、饮料制造152”中“其他”类别，为登记管理；“二十四、橡胶和塑料制品业29中62、塑料制品业292”中“其他”类别，为登记管理。应进行</w:t>
            </w:r>
            <w:r>
              <w:rPr>
                <w:rFonts w:hint="eastAsia"/>
                <w:color w:val="auto"/>
                <w:lang w:val="en-US" w:eastAsia="zh-CN"/>
              </w:rPr>
              <w:t>登记</w:t>
            </w:r>
            <w:r>
              <w:rPr>
                <w:rFonts w:hint="eastAsia"/>
                <w:color w:val="auto"/>
              </w:rPr>
              <w:t>管理。</w:t>
            </w:r>
            <w:r>
              <w:rPr>
                <w:color w:val="auto"/>
              </w:rPr>
              <w:t>建设单位在</w:t>
            </w:r>
            <w:r>
              <w:rPr>
                <w:rFonts w:hint="eastAsia"/>
                <w:color w:val="auto"/>
              </w:rPr>
              <w:t>投入运行</w:t>
            </w:r>
            <w:r>
              <w:rPr>
                <w:color w:val="auto"/>
              </w:rPr>
              <w:t>前，应按照</w:t>
            </w:r>
            <w:r>
              <w:rPr>
                <w:rFonts w:hint="eastAsia"/>
                <w:color w:val="auto"/>
              </w:rPr>
              <w:t>排污许可证管理</w:t>
            </w:r>
            <w:r>
              <w:rPr>
                <w:color w:val="auto"/>
              </w:rPr>
              <w:t>规定</w:t>
            </w:r>
            <w:r>
              <w:rPr>
                <w:rFonts w:hint="eastAsia"/>
                <w:color w:val="auto"/>
              </w:rPr>
              <w:t>，</w:t>
            </w:r>
            <w:r>
              <w:rPr>
                <w:color w:val="auto"/>
              </w:rPr>
              <w:t>进行</w:t>
            </w:r>
            <w:r>
              <w:rPr>
                <w:rFonts w:hint="eastAsia"/>
                <w:color w:val="auto"/>
              </w:rPr>
              <w:t>排污许可</w:t>
            </w:r>
            <w:r>
              <w:rPr>
                <w:rFonts w:hint="eastAsia"/>
                <w:color w:val="auto"/>
                <w:lang w:val="en-US" w:eastAsia="zh-CN"/>
              </w:rPr>
              <w:t>登记管理</w:t>
            </w:r>
            <w:r>
              <w:rPr>
                <w:rFonts w:hint="eastAsia"/>
                <w:color w:val="auto"/>
              </w:rPr>
              <w:t>。</w:t>
            </w:r>
          </w:p>
          <w:p w14:paraId="3DF8E994">
            <w:pPr>
              <w:pStyle w:val="17"/>
              <w:spacing w:line="360" w:lineRule="exact"/>
              <w:ind w:firstLine="420" w:firstLineChars="200"/>
              <w:jc w:val="both"/>
              <w:rPr>
                <w:rFonts w:hint="eastAsia" w:ascii="Times New Roman" w:hAnsi="Times New Roman"/>
                <w:b w:val="0"/>
                <w:bCs/>
                <w:color w:val="auto"/>
                <w:sz w:val="21"/>
                <w:szCs w:val="21"/>
              </w:rPr>
            </w:pPr>
            <w:r>
              <w:rPr>
                <w:rFonts w:hint="eastAsia" w:ascii="Times New Roman" w:hAnsi="Times New Roman"/>
                <w:b w:val="0"/>
                <w:bCs/>
                <w:color w:val="auto"/>
                <w:sz w:val="21"/>
                <w:szCs w:val="21"/>
              </w:rPr>
              <w:t>②项目的建设应切实履行配套的环境保护设施与主体工程同时设计、同时施工、同时投入运行的“三同时”制度。本项目配套建设的环境保护设施必须与主体工程同时设计、同时建成和投产使用，并按规定程序实施竣工环境保护验收，验收合格后方可正式投入生产。</w:t>
            </w:r>
          </w:p>
          <w:p w14:paraId="27369076">
            <w:pPr>
              <w:pStyle w:val="16"/>
              <w:rPr>
                <w:rFonts w:hint="eastAsia" w:ascii="Times New Roman" w:hAnsi="Times New Roman"/>
                <w:b w:val="0"/>
                <w:bCs/>
                <w:color w:val="auto"/>
                <w:sz w:val="21"/>
                <w:szCs w:val="21"/>
              </w:rPr>
            </w:pPr>
          </w:p>
          <w:p w14:paraId="34F00D64">
            <w:pPr>
              <w:pStyle w:val="17"/>
              <w:rPr>
                <w:rFonts w:hint="eastAsia" w:ascii="Times New Roman" w:hAnsi="Times New Roman"/>
                <w:b w:val="0"/>
                <w:bCs/>
                <w:color w:val="auto"/>
                <w:sz w:val="21"/>
                <w:szCs w:val="21"/>
              </w:rPr>
            </w:pPr>
          </w:p>
          <w:p w14:paraId="71265779">
            <w:pPr>
              <w:pStyle w:val="16"/>
              <w:rPr>
                <w:rFonts w:hint="eastAsia" w:ascii="Times New Roman" w:hAnsi="Times New Roman"/>
                <w:b w:val="0"/>
                <w:bCs/>
                <w:color w:val="auto"/>
                <w:sz w:val="21"/>
                <w:szCs w:val="21"/>
              </w:rPr>
            </w:pPr>
          </w:p>
          <w:p w14:paraId="2C383C60">
            <w:pPr>
              <w:pStyle w:val="17"/>
              <w:rPr>
                <w:color w:val="auto"/>
              </w:rPr>
            </w:pPr>
          </w:p>
          <w:p w14:paraId="1A599EA2">
            <w:pPr>
              <w:pStyle w:val="17"/>
              <w:rPr>
                <w:color w:val="auto"/>
              </w:rPr>
            </w:pPr>
          </w:p>
          <w:p w14:paraId="4E6659DB">
            <w:pPr>
              <w:pStyle w:val="17"/>
              <w:rPr>
                <w:color w:val="auto"/>
              </w:rPr>
            </w:pPr>
          </w:p>
          <w:p w14:paraId="65C6CFA3">
            <w:pPr>
              <w:pStyle w:val="17"/>
              <w:rPr>
                <w:color w:val="auto"/>
              </w:rPr>
            </w:pPr>
          </w:p>
          <w:p w14:paraId="4E4DB034">
            <w:pPr>
              <w:pStyle w:val="17"/>
              <w:rPr>
                <w:color w:val="auto"/>
              </w:rPr>
            </w:pPr>
          </w:p>
          <w:p w14:paraId="13B43EC8">
            <w:pPr>
              <w:pStyle w:val="17"/>
              <w:rPr>
                <w:color w:val="auto"/>
              </w:rPr>
            </w:pPr>
          </w:p>
          <w:p w14:paraId="01957C76">
            <w:pPr>
              <w:pStyle w:val="17"/>
              <w:rPr>
                <w:color w:val="auto"/>
              </w:rPr>
            </w:pPr>
          </w:p>
          <w:p w14:paraId="64B01D0A">
            <w:pPr>
              <w:pStyle w:val="17"/>
              <w:rPr>
                <w:color w:val="auto"/>
              </w:rPr>
            </w:pPr>
          </w:p>
          <w:p w14:paraId="557C33CE">
            <w:pPr>
              <w:pStyle w:val="17"/>
              <w:rPr>
                <w:color w:val="auto"/>
              </w:rPr>
            </w:pPr>
          </w:p>
          <w:p w14:paraId="4285ABF4">
            <w:pPr>
              <w:pStyle w:val="17"/>
              <w:rPr>
                <w:color w:val="auto"/>
              </w:rPr>
            </w:pPr>
          </w:p>
          <w:p w14:paraId="7D4C88D2">
            <w:pPr>
              <w:pStyle w:val="17"/>
              <w:rPr>
                <w:color w:val="auto"/>
              </w:rPr>
            </w:pPr>
          </w:p>
          <w:p w14:paraId="4E6E0DD1">
            <w:pPr>
              <w:pStyle w:val="17"/>
              <w:ind w:left="0" w:leftChars="0" w:firstLine="0" w:firstLineChars="0"/>
              <w:rPr>
                <w:color w:val="auto"/>
              </w:rPr>
            </w:pPr>
          </w:p>
        </w:tc>
      </w:tr>
    </w:tbl>
    <w:p w14:paraId="7E8AEF0D">
      <w:pPr>
        <w:pStyle w:val="14"/>
        <w:jc w:val="center"/>
        <w:outlineLvl w:val="0"/>
        <w:rPr>
          <w:rFonts w:ascii="黑体" w:hAnsi="黑体" w:eastAsia="黑体"/>
          <w:snapToGrid w:val="0"/>
          <w:color w:val="auto"/>
          <w:sz w:val="30"/>
          <w:szCs w:val="30"/>
        </w:rPr>
      </w:pPr>
      <w:r>
        <w:rPr>
          <w:snapToGrid w:val="0"/>
          <w:color w:val="auto"/>
        </w:rPr>
        <w:br w:type="page"/>
      </w:r>
      <w:r>
        <w:rPr>
          <w:rFonts w:hint="eastAsia" w:ascii="黑体" w:hAnsi="黑体" w:eastAsia="黑体"/>
          <w:snapToGrid w:val="0"/>
          <w:color w:val="auto"/>
          <w:sz w:val="30"/>
          <w:szCs w:val="30"/>
        </w:rPr>
        <w:t>六、结论</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155B3484">
        <w:trPr>
          <w:trHeight w:val="11991" w:hRule="atLeast"/>
          <w:jc w:val="center"/>
        </w:trPr>
        <w:tc>
          <w:tcPr>
            <w:tcW w:w="8865" w:type="dxa"/>
            <w:noWrap w:val="0"/>
            <w:vAlign w:val="top"/>
          </w:tcPr>
          <w:p w14:paraId="5B7D5618">
            <w:pPr>
              <w:adjustRightInd w:val="0"/>
              <w:snapToGrid w:val="0"/>
              <w:spacing w:line="360" w:lineRule="auto"/>
              <w:ind w:firstLine="482" w:firstLineChars="200"/>
              <w:rPr>
                <w:b/>
                <w:bCs/>
                <w:color w:val="auto"/>
                <w:kern w:val="0"/>
                <w:sz w:val="24"/>
              </w:rPr>
            </w:pPr>
          </w:p>
          <w:p w14:paraId="6317DDA8">
            <w:pPr>
              <w:adjustRightInd w:val="0"/>
              <w:snapToGrid w:val="0"/>
              <w:spacing w:line="360" w:lineRule="auto"/>
              <w:ind w:firstLine="482" w:firstLineChars="200"/>
              <w:rPr>
                <w:b/>
                <w:bCs/>
                <w:color w:val="auto"/>
                <w:kern w:val="0"/>
                <w:sz w:val="24"/>
              </w:rPr>
            </w:pPr>
          </w:p>
          <w:p w14:paraId="6691181F">
            <w:pPr>
              <w:adjustRightInd w:val="0"/>
              <w:snapToGrid w:val="0"/>
              <w:spacing w:line="360" w:lineRule="auto"/>
              <w:ind w:firstLine="482" w:firstLineChars="200"/>
              <w:rPr>
                <w:b/>
                <w:bCs/>
                <w:color w:val="auto"/>
                <w:kern w:val="0"/>
                <w:sz w:val="24"/>
              </w:rPr>
            </w:pPr>
          </w:p>
          <w:p w14:paraId="401F7C03">
            <w:pPr>
              <w:adjustRightInd w:val="0"/>
              <w:snapToGrid w:val="0"/>
              <w:spacing w:line="360" w:lineRule="auto"/>
              <w:ind w:firstLine="482" w:firstLineChars="200"/>
              <w:rPr>
                <w:b/>
                <w:bCs/>
                <w:color w:val="auto"/>
                <w:kern w:val="0"/>
                <w:sz w:val="24"/>
              </w:rPr>
            </w:pPr>
          </w:p>
          <w:p w14:paraId="312284A5">
            <w:pPr>
              <w:adjustRightInd w:val="0"/>
              <w:snapToGrid w:val="0"/>
              <w:spacing w:line="360" w:lineRule="auto"/>
              <w:ind w:firstLine="482" w:firstLineChars="200"/>
              <w:rPr>
                <w:b/>
                <w:bCs/>
                <w:color w:val="auto"/>
                <w:kern w:val="0"/>
                <w:sz w:val="24"/>
              </w:rPr>
            </w:pPr>
          </w:p>
          <w:p w14:paraId="08CD8BB7">
            <w:pPr>
              <w:adjustRightInd w:val="0"/>
              <w:snapToGrid w:val="0"/>
              <w:spacing w:line="360" w:lineRule="auto"/>
              <w:ind w:firstLine="482" w:firstLineChars="200"/>
              <w:rPr>
                <w:b/>
                <w:bCs/>
                <w:color w:val="auto"/>
                <w:kern w:val="0"/>
                <w:sz w:val="24"/>
              </w:rPr>
            </w:pPr>
          </w:p>
          <w:p w14:paraId="0B3910BC">
            <w:pPr>
              <w:adjustRightInd w:val="0"/>
              <w:snapToGrid w:val="0"/>
              <w:spacing w:line="360" w:lineRule="auto"/>
              <w:ind w:firstLine="482" w:firstLineChars="200"/>
              <w:rPr>
                <w:b/>
                <w:bCs/>
                <w:color w:val="auto"/>
                <w:kern w:val="0"/>
                <w:sz w:val="24"/>
              </w:rPr>
            </w:pPr>
            <w:r>
              <w:rPr>
                <w:b/>
                <w:bCs/>
                <w:color w:val="auto"/>
                <w:kern w:val="0"/>
                <w:sz w:val="24"/>
              </w:rPr>
              <w:t>综上所述：本项目符合国家和地方产业政策</w:t>
            </w:r>
            <w:r>
              <w:rPr>
                <w:rFonts w:hint="eastAsia"/>
                <w:b/>
                <w:bCs/>
                <w:color w:val="auto"/>
                <w:kern w:val="0"/>
                <w:sz w:val="24"/>
              </w:rPr>
              <w:t>要求</w:t>
            </w:r>
            <w:r>
              <w:rPr>
                <w:b/>
                <w:bCs/>
                <w:color w:val="auto"/>
                <w:kern w:val="0"/>
                <w:sz w:val="24"/>
              </w:rPr>
              <w:t>，</w:t>
            </w:r>
            <w:r>
              <w:rPr>
                <w:rFonts w:hint="eastAsia"/>
                <w:b/>
                <w:bCs/>
                <w:color w:val="auto"/>
                <w:kern w:val="0"/>
                <w:sz w:val="24"/>
              </w:rPr>
              <w:t>选址合理，</w:t>
            </w:r>
            <w:r>
              <w:rPr>
                <w:b/>
                <w:bCs/>
                <w:color w:val="auto"/>
                <w:kern w:val="0"/>
                <w:sz w:val="24"/>
              </w:rPr>
              <w:t>采用的各项污染防治措施合理、有效，</w:t>
            </w:r>
            <w:r>
              <w:rPr>
                <w:rFonts w:hint="eastAsia"/>
                <w:b/>
                <w:bCs/>
                <w:color w:val="auto"/>
                <w:kern w:val="0"/>
                <w:sz w:val="24"/>
              </w:rPr>
              <w:t>废</w:t>
            </w:r>
            <w:r>
              <w:rPr>
                <w:b/>
                <w:bCs/>
                <w:color w:val="auto"/>
                <w:kern w:val="0"/>
                <w:sz w:val="24"/>
              </w:rPr>
              <w:t>水</w:t>
            </w:r>
            <w:r>
              <w:rPr>
                <w:rFonts w:hint="eastAsia"/>
                <w:b/>
                <w:bCs/>
                <w:color w:val="auto"/>
                <w:kern w:val="0"/>
                <w:sz w:val="24"/>
                <w:lang w:val="en-US" w:eastAsia="zh-CN"/>
              </w:rPr>
              <w:t>、</w:t>
            </w:r>
            <w:r>
              <w:rPr>
                <w:rFonts w:hint="eastAsia"/>
                <w:b/>
                <w:bCs/>
                <w:color w:val="auto"/>
                <w:kern w:val="0"/>
                <w:sz w:val="24"/>
              </w:rPr>
              <w:t>废气</w:t>
            </w:r>
            <w:r>
              <w:rPr>
                <w:b/>
                <w:bCs/>
                <w:color w:val="auto"/>
                <w:kern w:val="0"/>
                <w:sz w:val="24"/>
              </w:rPr>
              <w:t>、噪声</w:t>
            </w:r>
            <w:r>
              <w:rPr>
                <w:rFonts w:hint="eastAsia"/>
                <w:b/>
                <w:bCs/>
                <w:color w:val="auto"/>
                <w:kern w:val="0"/>
                <w:sz w:val="24"/>
              </w:rPr>
              <w:t>等污染经采取相应治理设施治理后</w:t>
            </w:r>
            <w:r>
              <w:rPr>
                <w:b/>
                <w:bCs/>
                <w:color w:val="auto"/>
                <w:kern w:val="0"/>
                <w:sz w:val="24"/>
              </w:rPr>
              <w:t>均可实现达标排放，固体废物可实现零排放；项目</w:t>
            </w:r>
            <w:r>
              <w:rPr>
                <w:rFonts w:hint="eastAsia"/>
                <w:b/>
                <w:bCs/>
                <w:color w:val="auto"/>
                <w:kern w:val="0"/>
                <w:sz w:val="24"/>
              </w:rPr>
              <w:t>营运期</w:t>
            </w:r>
            <w:r>
              <w:rPr>
                <w:b/>
                <w:bCs/>
                <w:color w:val="auto"/>
                <w:kern w:val="0"/>
                <w:sz w:val="24"/>
              </w:rPr>
              <w:t>对周边环境污染影响</w:t>
            </w:r>
            <w:r>
              <w:rPr>
                <w:rFonts w:hint="eastAsia"/>
                <w:b/>
                <w:bCs/>
                <w:color w:val="auto"/>
                <w:kern w:val="0"/>
                <w:sz w:val="24"/>
              </w:rPr>
              <w:t>较小，在可接受范围内</w:t>
            </w:r>
            <w:r>
              <w:rPr>
                <w:b/>
                <w:bCs/>
                <w:color w:val="auto"/>
                <w:kern w:val="0"/>
                <w:sz w:val="24"/>
              </w:rPr>
              <w:t>。因此</w:t>
            </w:r>
            <w:r>
              <w:rPr>
                <w:rFonts w:hint="eastAsia"/>
                <w:b/>
                <w:bCs/>
                <w:color w:val="auto"/>
                <w:kern w:val="0"/>
                <w:sz w:val="24"/>
              </w:rPr>
              <w:t>，</w:t>
            </w:r>
            <w:r>
              <w:rPr>
                <w:b/>
                <w:bCs/>
                <w:color w:val="auto"/>
                <w:kern w:val="0"/>
                <w:sz w:val="24"/>
              </w:rPr>
              <w:t>在</w:t>
            </w:r>
            <w:r>
              <w:rPr>
                <w:rFonts w:hint="eastAsia"/>
                <w:b/>
                <w:bCs/>
                <w:color w:val="auto"/>
                <w:kern w:val="0"/>
                <w:sz w:val="24"/>
              </w:rPr>
              <w:t>本项目</w:t>
            </w:r>
            <w:r>
              <w:rPr>
                <w:b/>
                <w:bCs/>
                <w:color w:val="auto"/>
                <w:kern w:val="0"/>
                <w:sz w:val="24"/>
              </w:rPr>
              <w:t>设计和建设中，如能严格落实</w:t>
            </w:r>
            <w:r>
              <w:rPr>
                <w:rFonts w:hint="eastAsia"/>
                <w:b/>
                <w:bCs/>
                <w:color w:val="auto"/>
                <w:kern w:val="0"/>
                <w:sz w:val="24"/>
              </w:rPr>
              <w:t>本报告中提出</w:t>
            </w:r>
            <w:r>
              <w:rPr>
                <w:b/>
                <w:bCs/>
                <w:color w:val="auto"/>
                <w:kern w:val="0"/>
                <w:sz w:val="24"/>
              </w:rPr>
              <w:t>的</w:t>
            </w:r>
            <w:r>
              <w:rPr>
                <w:rFonts w:hint="eastAsia"/>
                <w:b/>
                <w:bCs/>
                <w:color w:val="auto"/>
                <w:kern w:val="0"/>
                <w:sz w:val="24"/>
              </w:rPr>
              <w:t>各项</w:t>
            </w:r>
            <w:r>
              <w:rPr>
                <w:b/>
                <w:bCs/>
                <w:color w:val="auto"/>
                <w:kern w:val="0"/>
                <w:sz w:val="24"/>
              </w:rPr>
              <w:t>污染防治措施，从环保角度分析，</w:t>
            </w:r>
            <w:r>
              <w:rPr>
                <w:rFonts w:hint="eastAsia"/>
                <w:b/>
                <w:bCs/>
                <w:color w:val="auto"/>
                <w:kern w:val="0"/>
                <w:sz w:val="24"/>
                <w:lang w:val="en-US" w:eastAsia="zh-CN"/>
              </w:rPr>
              <w:t>淮安挑战者饮料有限公司饮料生产项目（不含碳酸饮料和酒）</w:t>
            </w:r>
            <w:r>
              <w:rPr>
                <w:b/>
                <w:bCs/>
                <w:color w:val="auto"/>
                <w:kern w:val="0"/>
                <w:sz w:val="24"/>
              </w:rPr>
              <w:t>在</w:t>
            </w:r>
            <w:r>
              <w:rPr>
                <w:rFonts w:hint="eastAsia"/>
                <w:b/>
                <w:bCs/>
                <w:color w:val="auto"/>
                <w:kern w:val="0"/>
                <w:sz w:val="24"/>
              </w:rPr>
              <w:t>涟水县</w:t>
            </w:r>
            <w:r>
              <w:rPr>
                <w:rFonts w:hint="eastAsia"/>
                <w:b/>
                <w:bCs/>
                <w:color w:val="auto"/>
                <w:kern w:val="0"/>
                <w:sz w:val="24"/>
                <w:lang w:val="en-US" w:eastAsia="zh-CN"/>
              </w:rPr>
              <w:t>经济开发区</w:t>
            </w:r>
            <w:r>
              <w:rPr>
                <w:rFonts w:hint="eastAsia"/>
                <w:b/>
                <w:bCs/>
                <w:color w:val="auto"/>
                <w:kern w:val="0"/>
                <w:sz w:val="24"/>
              </w:rPr>
              <w:t>内</w:t>
            </w:r>
            <w:r>
              <w:rPr>
                <w:b/>
                <w:bCs/>
                <w:color w:val="auto"/>
                <w:kern w:val="0"/>
                <w:sz w:val="24"/>
              </w:rPr>
              <w:t>建设是可行的。</w:t>
            </w:r>
          </w:p>
          <w:p w14:paraId="7108A210">
            <w:pPr>
              <w:spacing w:line="360" w:lineRule="auto"/>
              <w:rPr>
                <w:rFonts w:ascii="宋体" w:cs="宋体"/>
                <w:color w:val="auto"/>
                <w:sz w:val="24"/>
              </w:rPr>
            </w:pPr>
          </w:p>
        </w:tc>
      </w:tr>
    </w:tbl>
    <w:p w14:paraId="15AB0041">
      <w:pPr>
        <w:pStyle w:val="14"/>
        <w:adjustRightInd w:val="0"/>
        <w:snapToGrid w:val="0"/>
        <w:spacing w:before="0" w:beforeAutospacing="0" w:after="0" w:afterAutospacing="0" w:line="500" w:lineRule="exact"/>
        <w:jc w:val="center"/>
        <w:outlineLvl w:val="0"/>
        <w:rPr>
          <w:rFonts w:ascii="方正小标宋_GBK" w:hAnsi="黑体" w:eastAsia="方正小标宋_GBK"/>
          <w:snapToGrid w:val="0"/>
          <w:color w:val="auto"/>
          <w:sz w:val="38"/>
          <w:szCs w:val="38"/>
        </w:rPr>
        <w:sectPr>
          <w:pgSz w:w="11905" w:h="16838"/>
          <w:pgMar w:top="1701" w:right="1531" w:bottom="2126" w:left="1531" w:header="851" w:footer="850" w:gutter="0"/>
          <w:pgBorders>
            <w:top w:val="none" w:sz="0" w:space="0"/>
            <w:left w:val="none" w:sz="0" w:space="0"/>
            <w:bottom w:val="none" w:sz="0" w:space="0"/>
            <w:right w:val="none" w:sz="0" w:space="0"/>
          </w:pgBorders>
          <w:pgNumType w:fmt="decimal"/>
          <w:cols w:space="720" w:num="1"/>
          <w:rtlGutter w:val="0"/>
          <w:docGrid w:linePitch="312" w:charSpace="0"/>
        </w:sectPr>
      </w:pPr>
    </w:p>
    <w:p w14:paraId="7D057582">
      <w:pPr>
        <w:pStyle w:val="14"/>
        <w:adjustRightInd w:val="0"/>
        <w:snapToGrid w:val="0"/>
        <w:spacing w:before="0" w:beforeAutospacing="0" w:after="0" w:afterAutospacing="0" w:line="500" w:lineRule="exact"/>
        <w:jc w:val="center"/>
        <w:outlineLvl w:val="0"/>
        <w:rPr>
          <w:rFonts w:hint="default" w:ascii="Times New Roman" w:hAnsi="Times New Roman" w:eastAsia="宋体" w:cs="宋体"/>
          <w:b/>
          <w:bCs/>
          <w:snapToGrid w:val="0"/>
          <w:color w:val="auto"/>
          <w:sz w:val="38"/>
          <w:szCs w:val="38"/>
          <w:lang w:val="en-US" w:eastAsia="zh-CN"/>
        </w:rPr>
      </w:pPr>
      <w:r>
        <w:rPr>
          <w:rFonts w:hint="eastAsia" w:ascii="Times New Roman" w:hAnsi="Times New Roman" w:eastAsia="宋体" w:cs="宋体"/>
          <w:b/>
          <w:bCs/>
          <w:snapToGrid w:val="0"/>
          <w:color w:val="auto"/>
          <w:sz w:val="38"/>
          <w:szCs w:val="38"/>
        </w:rPr>
        <w:t>建设项目污染物排放量汇总表</w:t>
      </w:r>
    </w:p>
    <w:tbl>
      <w:tblPr>
        <w:tblStyle w:val="20"/>
        <w:tblW w:w="1439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39"/>
        <w:gridCol w:w="869"/>
        <w:gridCol w:w="1389"/>
        <w:gridCol w:w="1499"/>
        <w:gridCol w:w="1114"/>
        <w:gridCol w:w="1739"/>
        <w:gridCol w:w="1594"/>
        <w:gridCol w:w="1802"/>
        <w:gridCol w:w="1763"/>
        <w:gridCol w:w="1387"/>
      </w:tblGrid>
      <w:tr w14:paraId="0AB10F4D">
        <w:trPr>
          <w:trHeight w:val="340" w:hRule="atLeast"/>
          <w:jc w:val="center"/>
        </w:trPr>
        <w:tc>
          <w:tcPr>
            <w:tcW w:w="1239" w:type="dxa"/>
            <w:tcBorders>
              <w:tl2br w:val="single" w:color="auto" w:sz="4" w:space="0"/>
            </w:tcBorders>
            <w:noWrap w:val="0"/>
            <w:tcMar>
              <w:left w:w="28" w:type="dxa"/>
              <w:right w:w="28" w:type="dxa"/>
            </w:tcMar>
            <w:vAlign w:val="center"/>
          </w:tcPr>
          <w:p w14:paraId="3091DF50">
            <w:pPr>
              <w:pStyle w:val="36"/>
              <w:spacing w:beforeLines="0" w:afterLines="0" w:line="240" w:lineRule="auto"/>
              <w:jc w:val="right"/>
              <w:rPr>
                <w:rFonts w:ascii="黑体" w:hAnsi="黑体" w:eastAsia="黑体" w:cs="宋体"/>
                <w:snapToGrid w:val="0"/>
                <w:color w:val="auto"/>
                <w:spacing w:val="-6"/>
                <w:kern w:val="21"/>
                <w:szCs w:val="21"/>
              </w:rPr>
            </w:pPr>
            <w:r>
              <w:rPr>
                <w:rFonts w:hint="eastAsia" w:ascii="黑体" w:hAnsi="黑体" w:eastAsia="黑体" w:cs="宋体"/>
                <w:snapToGrid w:val="0"/>
                <w:color w:val="auto"/>
                <w:spacing w:val="-6"/>
                <w:kern w:val="21"/>
                <w:szCs w:val="21"/>
              </w:rPr>
              <w:t>项目</w:t>
            </w:r>
          </w:p>
          <w:p w14:paraId="20A032C4">
            <w:pPr>
              <w:pStyle w:val="36"/>
              <w:spacing w:beforeLines="0" w:afterLines="0" w:line="240" w:lineRule="auto"/>
              <w:jc w:val="left"/>
              <w:rPr>
                <w:rFonts w:ascii="黑体" w:hAnsi="黑体" w:eastAsia="黑体" w:cs="宋体"/>
                <w:snapToGrid w:val="0"/>
                <w:color w:val="auto"/>
                <w:spacing w:val="-6"/>
                <w:kern w:val="21"/>
                <w:szCs w:val="21"/>
              </w:rPr>
            </w:pPr>
            <w:r>
              <w:rPr>
                <w:rFonts w:hint="eastAsia" w:ascii="黑体" w:hAnsi="黑体" w:eastAsia="黑体" w:cs="宋体"/>
                <w:snapToGrid w:val="0"/>
                <w:color w:val="auto"/>
                <w:spacing w:val="-6"/>
                <w:kern w:val="21"/>
                <w:szCs w:val="21"/>
              </w:rPr>
              <w:t>分类</w:t>
            </w:r>
          </w:p>
        </w:tc>
        <w:tc>
          <w:tcPr>
            <w:tcW w:w="2258" w:type="dxa"/>
            <w:gridSpan w:val="2"/>
            <w:noWrap w:val="0"/>
            <w:tcMar>
              <w:left w:w="28" w:type="dxa"/>
              <w:right w:w="28" w:type="dxa"/>
            </w:tcMar>
            <w:vAlign w:val="center"/>
          </w:tcPr>
          <w:p w14:paraId="26C9A4DC">
            <w:pPr>
              <w:pStyle w:val="36"/>
              <w:spacing w:beforeLines="0" w:afterLines="0" w:line="240" w:lineRule="auto"/>
              <w:rPr>
                <w:rFonts w:ascii="黑体" w:hAnsi="黑体" w:eastAsia="黑体" w:cs="宋体"/>
                <w:snapToGrid w:val="0"/>
                <w:color w:val="auto"/>
                <w:spacing w:val="-6"/>
                <w:kern w:val="21"/>
                <w:szCs w:val="21"/>
              </w:rPr>
            </w:pPr>
            <w:r>
              <w:rPr>
                <w:rFonts w:hint="eastAsia" w:ascii="黑体" w:hAnsi="黑体" w:eastAsia="黑体" w:cs="宋体"/>
                <w:snapToGrid w:val="0"/>
                <w:color w:val="auto"/>
                <w:spacing w:val="-6"/>
                <w:kern w:val="21"/>
                <w:szCs w:val="21"/>
              </w:rPr>
              <w:t>污染物名称</w:t>
            </w:r>
          </w:p>
        </w:tc>
        <w:tc>
          <w:tcPr>
            <w:tcW w:w="1499" w:type="dxa"/>
            <w:noWrap w:val="0"/>
            <w:tcMar>
              <w:left w:w="28" w:type="dxa"/>
              <w:right w:w="28" w:type="dxa"/>
            </w:tcMar>
            <w:vAlign w:val="center"/>
          </w:tcPr>
          <w:p w14:paraId="5AF3323A">
            <w:pPr>
              <w:pStyle w:val="36"/>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现有工程</w:t>
            </w:r>
          </w:p>
          <w:p w14:paraId="5B39922D">
            <w:pPr>
              <w:pStyle w:val="36"/>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排放量（固</w:t>
            </w:r>
            <w:r>
              <w:rPr>
                <w:rFonts w:hint="eastAsia" w:ascii="黑体" w:hAnsi="黑体" w:eastAsia="黑体"/>
                <w:snapToGrid w:val="0"/>
                <w:color w:val="auto"/>
                <w:spacing w:val="-6"/>
                <w:kern w:val="21"/>
                <w:szCs w:val="21"/>
              </w:rPr>
              <w:t>体</w:t>
            </w:r>
            <w:r>
              <w:rPr>
                <w:rFonts w:ascii="黑体" w:hAnsi="黑体" w:eastAsia="黑体"/>
                <w:snapToGrid w:val="0"/>
                <w:color w:val="auto"/>
                <w:spacing w:val="-6"/>
                <w:kern w:val="21"/>
                <w:szCs w:val="21"/>
              </w:rPr>
              <w:t>废</w:t>
            </w:r>
            <w:r>
              <w:rPr>
                <w:rFonts w:hint="eastAsia" w:ascii="黑体" w:hAnsi="黑体" w:eastAsia="黑体"/>
                <w:snapToGrid w:val="0"/>
                <w:color w:val="auto"/>
                <w:spacing w:val="-6"/>
                <w:kern w:val="21"/>
                <w:szCs w:val="21"/>
              </w:rPr>
              <w:t>物</w:t>
            </w:r>
            <w:r>
              <w:rPr>
                <w:rFonts w:ascii="黑体" w:hAnsi="黑体" w:eastAsia="黑体"/>
                <w:snapToGrid w:val="0"/>
                <w:color w:val="auto"/>
                <w:spacing w:val="-6"/>
                <w:kern w:val="21"/>
                <w:szCs w:val="21"/>
              </w:rPr>
              <w:t>产生量）</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1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color w:val="auto"/>
                <w:kern w:val="2"/>
                <w:szCs w:val="21"/>
              </w:rPr>
              <w:t>①</w:t>
            </w:r>
            <w:r>
              <w:rPr>
                <w:rFonts w:ascii="黑体" w:hAnsi="黑体" w:eastAsia="黑体"/>
                <w:snapToGrid w:val="0"/>
                <w:color w:val="auto"/>
                <w:spacing w:val="-6"/>
                <w:kern w:val="21"/>
                <w:szCs w:val="21"/>
              </w:rPr>
              <w:fldChar w:fldCharType="end"/>
            </w:r>
          </w:p>
        </w:tc>
        <w:tc>
          <w:tcPr>
            <w:tcW w:w="1114" w:type="dxa"/>
            <w:noWrap w:val="0"/>
            <w:tcMar>
              <w:left w:w="28" w:type="dxa"/>
              <w:right w:w="28" w:type="dxa"/>
            </w:tcMar>
            <w:vAlign w:val="center"/>
          </w:tcPr>
          <w:p w14:paraId="3CD87367">
            <w:pPr>
              <w:pStyle w:val="36"/>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现有工程</w:t>
            </w:r>
          </w:p>
          <w:p w14:paraId="2D3E6491">
            <w:pPr>
              <w:pStyle w:val="36"/>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许可排放量</w:t>
            </w:r>
          </w:p>
          <w:p w14:paraId="2F9FA848">
            <w:pPr>
              <w:pStyle w:val="36"/>
              <w:spacing w:beforeLines="0" w:afterLines="0"/>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2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snapToGrid w:val="0"/>
                <w:color w:val="auto"/>
                <w:spacing w:val="-6"/>
                <w:kern w:val="21"/>
                <w:szCs w:val="21"/>
              </w:rPr>
              <w:t>②</w:t>
            </w:r>
            <w:r>
              <w:rPr>
                <w:rFonts w:ascii="黑体" w:hAnsi="黑体" w:eastAsia="黑体"/>
                <w:snapToGrid w:val="0"/>
                <w:color w:val="auto"/>
                <w:spacing w:val="-6"/>
                <w:kern w:val="21"/>
                <w:szCs w:val="21"/>
              </w:rPr>
              <w:fldChar w:fldCharType="end"/>
            </w:r>
          </w:p>
        </w:tc>
        <w:tc>
          <w:tcPr>
            <w:tcW w:w="1739" w:type="dxa"/>
            <w:noWrap w:val="0"/>
            <w:tcMar>
              <w:left w:w="28" w:type="dxa"/>
              <w:right w:w="28" w:type="dxa"/>
            </w:tcMar>
            <w:vAlign w:val="center"/>
          </w:tcPr>
          <w:p w14:paraId="7D6B2AAD">
            <w:pPr>
              <w:pStyle w:val="36"/>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在建工程</w:t>
            </w:r>
          </w:p>
          <w:p w14:paraId="183C8029">
            <w:pPr>
              <w:pStyle w:val="36"/>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排放量（固</w:t>
            </w:r>
            <w:r>
              <w:rPr>
                <w:rFonts w:hint="eastAsia" w:ascii="黑体" w:hAnsi="黑体" w:eastAsia="黑体"/>
                <w:snapToGrid w:val="0"/>
                <w:color w:val="auto"/>
                <w:spacing w:val="-6"/>
                <w:kern w:val="21"/>
                <w:szCs w:val="21"/>
              </w:rPr>
              <w:t>体</w:t>
            </w:r>
            <w:r>
              <w:rPr>
                <w:rFonts w:ascii="黑体" w:hAnsi="黑体" w:eastAsia="黑体"/>
                <w:snapToGrid w:val="0"/>
                <w:color w:val="auto"/>
                <w:spacing w:val="-6"/>
                <w:kern w:val="21"/>
                <w:szCs w:val="21"/>
              </w:rPr>
              <w:t>废</w:t>
            </w:r>
            <w:r>
              <w:rPr>
                <w:rFonts w:hint="eastAsia" w:ascii="黑体" w:hAnsi="黑体" w:eastAsia="黑体"/>
                <w:snapToGrid w:val="0"/>
                <w:color w:val="auto"/>
                <w:spacing w:val="-6"/>
                <w:kern w:val="21"/>
                <w:szCs w:val="21"/>
              </w:rPr>
              <w:t>物</w:t>
            </w:r>
            <w:r>
              <w:rPr>
                <w:rFonts w:ascii="黑体" w:hAnsi="黑体" w:eastAsia="黑体"/>
                <w:snapToGrid w:val="0"/>
                <w:color w:val="auto"/>
                <w:spacing w:val="-6"/>
                <w:kern w:val="21"/>
                <w:szCs w:val="21"/>
              </w:rPr>
              <w:t>产生量）</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3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color w:val="auto"/>
                <w:kern w:val="2"/>
                <w:szCs w:val="21"/>
              </w:rPr>
              <w:t>③</w:t>
            </w:r>
            <w:r>
              <w:rPr>
                <w:rFonts w:ascii="黑体" w:hAnsi="黑体" w:eastAsia="黑体"/>
                <w:snapToGrid w:val="0"/>
                <w:color w:val="auto"/>
                <w:spacing w:val="-6"/>
                <w:kern w:val="21"/>
                <w:szCs w:val="21"/>
              </w:rPr>
              <w:fldChar w:fldCharType="end"/>
            </w:r>
          </w:p>
        </w:tc>
        <w:tc>
          <w:tcPr>
            <w:tcW w:w="1594" w:type="dxa"/>
            <w:noWrap w:val="0"/>
            <w:tcMar>
              <w:left w:w="28" w:type="dxa"/>
              <w:right w:w="28" w:type="dxa"/>
            </w:tcMar>
            <w:vAlign w:val="center"/>
          </w:tcPr>
          <w:p w14:paraId="62EC8A46">
            <w:pPr>
              <w:pStyle w:val="36"/>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本项目</w:t>
            </w:r>
          </w:p>
          <w:p w14:paraId="0A9F9B67">
            <w:pPr>
              <w:pStyle w:val="36"/>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排放量（固</w:t>
            </w:r>
            <w:r>
              <w:rPr>
                <w:rFonts w:hint="eastAsia" w:ascii="黑体" w:hAnsi="黑体" w:eastAsia="黑体"/>
                <w:snapToGrid w:val="0"/>
                <w:color w:val="auto"/>
                <w:spacing w:val="-6"/>
                <w:kern w:val="21"/>
                <w:szCs w:val="21"/>
              </w:rPr>
              <w:t>体</w:t>
            </w:r>
            <w:r>
              <w:rPr>
                <w:rFonts w:ascii="黑体" w:hAnsi="黑体" w:eastAsia="黑体"/>
                <w:snapToGrid w:val="0"/>
                <w:color w:val="auto"/>
                <w:spacing w:val="-6"/>
                <w:kern w:val="21"/>
                <w:szCs w:val="21"/>
              </w:rPr>
              <w:t>废</w:t>
            </w:r>
            <w:r>
              <w:rPr>
                <w:rFonts w:hint="eastAsia" w:ascii="黑体" w:hAnsi="黑体" w:eastAsia="黑体"/>
                <w:snapToGrid w:val="0"/>
                <w:color w:val="auto"/>
                <w:spacing w:val="-6"/>
                <w:kern w:val="21"/>
                <w:szCs w:val="21"/>
              </w:rPr>
              <w:t>物</w:t>
            </w:r>
            <w:r>
              <w:rPr>
                <w:rFonts w:ascii="黑体" w:hAnsi="黑体" w:eastAsia="黑体"/>
                <w:snapToGrid w:val="0"/>
                <w:color w:val="auto"/>
                <w:spacing w:val="-6"/>
                <w:kern w:val="21"/>
                <w:szCs w:val="21"/>
              </w:rPr>
              <w:t>产生量）</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4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color w:val="auto"/>
                <w:kern w:val="2"/>
                <w:szCs w:val="21"/>
              </w:rPr>
              <w:t>④</w:t>
            </w:r>
            <w:r>
              <w:rPr>
                <w:rFonts w:ascii="黑体" w:hAnsi="黑体" w:eastAsia="黑体"/>
                <w:snapToGrid w:val="0"/>
                <w:color w:val="auto"/>
                <w:spacing w:val="-6"/>
                <w:kern w:val="21"/>
                <w:szCs w:val="21"/>
              </w:rPr>
              <w:fldChar w:fldCharType="end"/>
            </w:r>
          </w:p>
        </w:tc>
        <w:tc>
          <w:tcPr>
            <w:tcW w:w="1802" w:type="dxa"/>
            <w:noWrap w:val="0"/>
            <w:tcMar>
              <w:left w:w="28" w:type="dxa"/>
              <w:right w:w="28" w:type="dxa"/>
            </w:tcMar>
            <w:vAlign w:val="center"/>
          </w:tcPr>
          <w:p w14:paraId="2D529090">
            <w:pPr>
              <w:pStyle w:val="36"/>
              <w:spacing w:beforeLines="0" w:afterLines="0" w:line="240" w:lineRule="auto"/>
              <w:rPr>
                <w:rFonts w:ascii="黑体" w:hAnsi="黑体" w:eastAsia="黑体"/>
                <w:snapToGrid w:val="0"/>
                <w:color w:val="auto"/>
                <w:spacing w:val="-16"/>
                <w:kern w:val="21"/>
                <w:szCs w:val="21"/>
              </w:rPr>
            </w:pPr>
            <w:r>
              <w:rPr>
                <w:rFonts w:ascii="黑体" w:hAnsi="黑体" w:eastAsia="黑体"/>
                <w:snapToGrid w:val="0"/>
                <w:color w:val="auto"/>
                <w:spacing w:val="-16"/>
                <w:kern w:val="21"/>
                <w:szCs w:val="21"/>
              </w:rPr>
              <w:t>以新带老削减量</w:t>
            </w:r>
          </w:p>
          <w:p w14:paraId="108A17B0">
            <w:pPr>
              <w:pStyle w:val="36"/>
              <w:spacing w:beforeLines="0" w:afterLines="0" w:line="240" w:lineRule="auto"/>
              <w:rPr>
                <w:rFonts w:ascii="黑体" w:hAnsi="黑体" w:eastAsia="黑体"/>
                <w:snapToGrid w:val="0"/>
                <w:color w:val="auto"/>
                <w:spacing w:val="-16"/>
                <w:kern w:val="21"/>
                <w:szCs w:val="21"/>
              </w:rPr>
            </w:pPr>
            <w:r>
              <w:rPr>
                <w:rFonts w:ascii="黑体" w:hAnsi="黑体" w:eastAsia="黑体"/>
                <w:snapToGrid w:val="0"/>
                <w:color w:val="auto"/>
                <w:spacing w:val="-16"/>
                <w:kern w:val="21"/>
                <w:szCs w:val="21"/>
              </w:rPr>
              <w:t>（新建项目不填）</w:t>
            </w:r>
            <w:r>
              <w:rPr>
                <w:rFonts w:ascii="黑体" w:hAnsi="黑体" w:eastAsia="黑体"/>
                <w:snapToGrid w:val="0"/>
                <w:color w:val="auto"/>
                <w:spacing w:val="-16"/>
                <w:kern w:val="21"/>
                <w:szCs w:val="21"/>
              </w:rPr>
              <w:fldChar w:fldCharType="begin"/>
            </w:r>
            <w:r>
              <w:rPr>
                <w:rFonts w:ascii="黑体" w:hAnsi="黑体" w:eastAsia="黑体"/>
                <w:snapToGrid w:val="0"/>
                <w:color w:val="auto"/>
                <w:spacing w:val="-16"/>
                <w:kern w:val="21"/>
                <w:szCs w:val="21"/>
              </w:rPr>
              <w:instrText xml:space="preserve"> = 5 \* GB3 \* MERGEFORMAT </w:instrText>
            </w:r>
            <w:r>
              <w:rPr>
                <w:rFonts w:ascii="黑体" w:hAnsi="黑体" w:eastAsia="黑体"/>
                <w:snapToGrid w:val="0"/>
                <w:color w:val="auto"/>
                <w:spacing w:val="-16"/>
                <w:kern w:val="21"/>
                <w:szCs w:val="21"/>
              </w:rPr>
              <w:fldChar w:fldCharType="separate"/>
            </w:r>
            <w:r>
              <w:rPr>
                <w:rFonts w:hint="eastAsia" w:ascii="黑体" w:hAnsi="黑体" w:eastAsia="黑体" w:cs="宋体"/>
                <w:color w:val="auto"/>
                <w:kern w:val="2"/>
                <w:szCs w:val="21"/>
              </w:rPr>
              <w:t>⑤</w:t>
            </w:r>
            <w:r>
              <w:rPr>
                <w:rFonts w:ascii="黑体" w:hAnsi="黑体" w:eastAsia="黑体"/>
                <w:snapToGrid w:val="0"/>
                <w:color w:val="auto"/>
                <w:spacing w:val="-16"/>
                <w:kern w:val="21"/>
                <w:szCs w:val="21"/>
              </w:rPr>
              <w:fldChar w:fldCharType="end"/>
            </w:r>
          </w:p>
        </w:tc>
        <w:tc>
          <w:tcPr>
            <w:tcW w:w="1763" w:type="dxa"/>
            <w:noWrap w:val="0"/>
            <w:tcMar>
              <w:left w:w="28" w:type="dxa"/>
              <w:right w:w="28" w:type="dxa"/>
            </w:tcMar>
            <w:vAlign w:val="center"/>
          </w:tcPr>
          <w:p w14:paraId="696536AC">
            <w:pPr>
              <w:pStyle w:val="36"/>
              <w:spacing w:beforeLines="0" w:afterLines="0" w:line="240" w:lineRule="auto"/>
              <w:rPr>
                <w:rFonts w:ascii="黑体" w:hAnsi="黑体" w:eastAsia="黑体"/>
                <w:snapToGrid w:val="0"/>
                <w:color w:val="auto"/>
                <w:spacing w:val="-16"/>
                <w:kern w:val="21"/>
                <w:szCs w:val="21"/>
              </w:rPr>
            </w:pPr>
            <w:r>
              <w:rPr>
                <w:rFonts w:ascii="黑体" w:hAnsi="黑体" w:eastAsia="黑体"/>
                <w:snapToGrid w:val="0"/>
                <w:color w:val="auto"/>
                <w:spacing w:val="-16"/>
                <w:kern w:val="21"/>
                <w:szCs w:val="21"/>
              </w:rPr>
              <w:t>本项目建成后</w:t>
            </w:r>
          </w:p>
          <w:p w14:paraId="0CD26AF3">
            <w:pPr>
              <w:pStyle w:val="36"/>
              <w:spacing w:beforeLines="0" w:afterLines="0" w:line="240" w:lineRule="auto"/>
              <w:rPr>
                <w:rFonts w:ascii="黑体" w:hAnsi="黑体" w:eastAsia="黑体"/>
                <w:snapToGrid w:val="0"/>
                <w:color w:val="auto"/>
                <w:spacing w:val="-16"/>
                <w:kern w:val="21"/>
                <w:szCs w:val="21"/>
              </w:rPr>
            </w:pPr>
            <w:r>
              <w:rPr>
                <w:rFonts w:hint="eastAsia" w:ascii="黑体" w:hAnsi="黑体" w:eastAsia="黑体"/>
                <w:snapToGrid w:val="0"/>
                <w:color w:val="auto"/>
                <w:spacing w:val="-16"/>
                <w:kern w:val="21"/>
                <w:szCs w:val="21"/>
              </w:rPr>
              <w:t>全厂</w:t>
            </w:r>
            <w:r>
              <w:rPr>
                <w:rFonts w:ascii="黑体" w:hAnsi="黑体" w:eastAsia="黑体"/>
                <w:snapToGrid w:val="0"/>
                <w:color w:val="auto"/>
                <w:spacing w:val="-16"/>
                <w:kern w:val="21"/>
                <w:szCs w:val="21"/>
              </w:rPr>
              <w:t>排放量（固</w:t>
            </w:r>
            <w:r>
              <w:rPr>
                <w:rFonts w:hint="eastAsia" w:ascii="黑体" w:hAnsi="黑体" w:eastAsia="黑体"/>
                <w:snapToGrid w:val="0"/>
                <w:color w:val="auto"/>
                <w:spacing w:val="-16"/>
                <w:kern w:val="21"/>
                <w:szCs w:val="21"/>
              </w:rPr>
              <w:t>体</w:t>
            </w:r>
            <w:r>
              <w:rPr>
                <w:rFonts w:ascii="黑体" w:hAnsi="黑体" w:eastAsia="黑体"/>
                <w:snapToGrid w:val="0"/>
                <w:color w:val="auto"/>
                <w:spacing w:val="-16"/>
                <w:kern w:val="21"/>
                <w:szCs w:val="21"/>
              </w:rPr>
              <w:t>废</w:t>
            </w:r>
            <w:r>
              <w:rPr>
                <w:rFonts w:hint="eastAsia" w:ascii="黑体" w:hAnsi="黑体" w:eastAsia="黑体"/>
                <w:snapToGrid w:val="0"/>
                <w:color w:val="auto"/>
                <w:spacing w:val="-16"/>
                <w:kern w:val="21"/>
                <w:szCs w:val="21"/>
              </w:rPr>
              <w:t>物</w:t>
            </w:r>
            <w:r>
              <w:rPr>
                <w:rFonts w:ascii="黑体" w:hAnsi="黑体" w:eastAsia="黑体"/>
                <w:snapToGrid w:val="0"/>
                <w:color w:val="auto"/>
                <w:spacing w:val="-16"/>
                <w:kern w:val="21"/>
                <w:szCs w:val="21"/>
              </w:rPr>
              <w:t>产生量）</w:t>
            </w:r>
            <w:r>
              <w:rPr>
                <w:rFonts w:ascii="黑体" w:hAnsi="黑体" w:eastAsia="黑体"/>
                <w:snapToGrid w:val="0"/>
                <w:color w:val="auto"/>
                <w:spacing w:val="-16"/>
                <w:kern w:val="21"/>
                <w:szCs w:val="21"/>
              </w:rPr>
              <w:fldChar w:fldCharType="begin"/>
            </w:r>
            <w:r>
              <w:rPr>
                <w:rFonts w:ascii="黑体" w:hAnsi="黑体" w:eastAsia="黑体"/>
                <w:snapToGrid w:val="0"/>
                <w:color w:val="auto"/>
                <w:spacing w:val="-16"/>
                <w:kern w:val="21"/>
                <w:szCs w:val="21"/>
              </w:rPr>
              <w:instrText xml:space="preserve"> = 6 \* GB3 \* MERGEFORMAT </w:instrText>
            </w:r>
            <w:r>
              <w:rPr>
                <w:rFonts w:ascii="黑体" w:hAnsi="黑体" w:eastAsia="黑体"/>
                <w:snapToGrid w:val="0"/>
                <w:color w:val="auto"/>
                <w:spacing w:val="-16"/>
                <w:kern w:val="21"/>
                <w:szCs w:val="21"/>
              </w:rPr>
              <w:fldChar w:fldCharType="separate"/>
            </w:r>
            <w:r>
              <w:rPr>
                <w:rFonts w:hint="eastAsia" w:ascii="黑体" w:hAnsi="黑体" w:eastAsia="黑体" w:cs="宋体"/>
                <w:color w:val="auto"/>
                <w:kern w:val="2"/>
                <w:szCs w:val="21"/>
              </w:rPr>
              <w:t>⑥</w:t>
            </w:r>
            <w:r>
              <w:rPr>
                <w:rFonts w:ascii="黑体" w:hAnsi="黑体" w:eastAsia="黑体"/>
                <w:snapToGrid w:val="0"/>
                <w:color w:val="auto"/>
                <w:spacing w:val="-16"/>
                <w:kern w:val="21"/>
                <w:szCs w:val="21"/>
              </w:rPr>
              <w:fldChar w:fldCharType="end"/>
            </w:r>
          </w:p>
        </w:tc>
        <w:tc>
          <w:tcPr>
            <w:tcW w:w="1387" w:type="dxa"/>
            <w:noWrap w:val="0"/>
            <w:tcMar>
              <w:left w:w="28" w:type="dxa"/>
              <w:right w:w="28" w:type="dxa"/>
            </w:tcMar>
            <w:vAlign w:val="center"/>
          </w:tcPr>
          <w:p w14:paraId="7EF1B533">
            <w:pPr>
              <w:pStyle w:val="36"/>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变化量</w:t>
            </w:r>
          </w:p>
          <w:p w14:paraId="7DA157FC">
            <w:pPr>
              <w:pStyle w:val="36"/>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7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color w:val="auto"/>
                <w:kern w:val="2"/>
                <w:szCs w:val="21"/>
              </w:rPr>
              <w:t>⑦</w:t>
            </w:r>
            <w:r>
              <w:rPr>
                <w:rFonts w:ascii="黑体" w:hAnsi="黑体" w:eastAsia="黑体"/>
                <w:snapToGrid w:val="0"/>
                <w:color w:val="auto"/>
                <w:spacing w:val="-6"/>
                <w:kern w:val="21"/>
                <w:szCs w:val="21"/>
              </w:rPr>
              <w:fldChar w:fldCharType="end"/>
            </w:r>
          </w:p>
        </w:tc>
      </w:tr>
      <w:tr w14:paraId="2D640DDD">
        <w:trPr>
          <w:trHeight w:val="340" w:hRule="exact"/>
          <w:jc w:val="center"/>
        </w:trPr>
        <w:tc>
          <w:tcPr>
            <w:tcW w:w="1239" w:type="dxa"/>
            <w:vMerge w:val="restart"/>
            <w:noWrap w:val="0"/>
            <w:vAlign w:val="center"/>
          </w:tcPr>
          <w:p w14:paraId="56074E63">
            <w:pPr>
              <w:pStyle w:val="36"/>
              <w:spacing w:beforeLines="0" w:afterLines="0" w:line="240" w:lineRule="auto"/>
              <w:rPr>
                <w:rFonts w:ascii="Times New Roman" w:hAnsi="Times New Roman" w:eastAsia="宋体" w:cs="宋体"/>
                <w:snapToGrid w:val="0"/>
                <w:color w:val="auto"/>
                <w:kern w:val="21"/>
                <w:sz w:val="21"/>
                <w:szCs w:val="21"/>
              </w:rPr>
            </w:pPr>
            <w:r>
              <w:rPr>
                <w:rFonts w:hint="eastAsia" w:ascii="Times New Roman" w:hAnsi="Times New Roman" w:eastAsia="宋体" w:cs="宋体"/>
                <w:snapToGrid w:val="0"/>
                <w:color w:val="auto"/>
                <w:kern w:val="21"/>
                <w:sz w:val="21"/>
                <w:szCs w:val="21"/>
              </w:rPr>
              <w:t>废气</w:t>
            </w:r>
          </w:p>
        </w:tc>
        <w:tc>
          <w:tcPr>
            <w:tcW w:w="869" w:type="dxa"/>
            <w:noWrap w:val="0"/>
            <w:vAlign w:val="center"/>
          </w:tcPr>
          <w:p w14:paraId="4CEB5B93">
            <w:pPr>
              <w:adjustRightInd w:val="0"/>
              <w:snapToGrid w:val="0"/>
              <w:jc w:val="center"/>
              <w:rPr>
                <w:rFonts w:ascii="Times New Roman" w:hAnsi="Times New Roman" w:eastAsia="宋体"/>
                <w:color w:val="auto"/>
                <w:kern w:val="2"/>
                <w:sz w:val="21"/>
                <w:szCs w:val="21"/>
                <w:lang w:val="en-US" w:eastAsia="zh-CN" w:bidi="ar-SA"/>
              </w:rPr>
            </w:pPr>
            <w:r>
              <w:rPr>
                <w:rFonts w:hint="eastAsia" w:ascii="Times New Roman" w:hAnsi="Times New Roman" w:eastAsia="宋体"/>
                <w:color w:val="auto"/>
                <w:sz w:val="21"/>
                <w:szCs w:val="21"/>
                <w:lang w:val="en-US" w:eastAsia="zh-CN"/>
              </w:rPr>
              <w:t>有</w:t>
            </w:r>
            <w:r>
              <w:rPr>
                <w:rFonts w:hint="eastAsia" w:ascii="Times New Roman" w:hAnsi="Times New Roman" w:eastAsia="宋体"/>
                <w:color w:val="auto"/>
                <w:sz w:val="21"/>
                <w:szCs w:val="21"/>
              </w:rPr>
              <w:t>组织</w:t>
            </w:r>
          </w:p>
        </w:tc>
        <w:tc>
          <w:tcPr>
            <w:tcW w:w="1389" w:type="dxa"/>
            <w:noWrap w:val="0"/>
            <w:vAlign w:val="center"/>
          </w:tcPr>
          <w:p w14:paraId="14340145">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非甲烷总烃</w:t>
            </w:r>
          </w:p>
        </w:tc>
        <w:tc>
          <w:tcPr>
            <w:tcW w:w="1499" w:type="dxa"/>
            <w:noWrap w:val="0"/>
            <w:vAlign w:val="center"/>
          </w:tcPr>
          <w:p w14:paraId="11C6FA87">
            <w:pPr>
              <w:pStyle w:val="36"/>
              <w:spacing w:beforeLines="0" w:afterLines="0" w:line="240" w:lineRule="auto"/>
              <w:jc w:val="center"/>
              <w:rPr>
                <w:rFonts w:hint="default"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 w:val="21"/>
                <w:szCs w:val="21"/>
                <w:lang w:val="en-US" w:eastAsia="zh-CN" w:bidi="ar-SA"/>
              </w:rPr>
              <w:t>/</w:t>
            </w:r>
          </w:p>
        </w:tc>
        <w:tc>
          <w:tcPr>
            <w:tcW w:w="1114" w:type="dxa"/>
            <w:noWrap w:val="0"/>
            <w:vAlign w:val="center"/>
          </w:tcPr>
          <w:p w14:paraId="0C16CD72">
            <w:pPr>
              <w:pStyle w:val="36"/>
              <w:spacing w:beforeLines="0" w:afterLines="0" w:line="240" w:lineRule="auto"/>
              <w:jc w:val="center"/>
              <w:rPr>
                <w:rFonts w:hint="default"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 w:val="21"/>
                <w:szCs w:val="21"/>
                <w:lang w:val="en-US" w:eastAsia="zh-CN" w:bidi="ar-SA"/>
              </w:rPr>
              <w:t>/</w:t>
            </w:r>
          </w:p>
        </w:tc>
        <w:tc>
          <w:tcPr>
            <w:tcW w:w="1739" w:type="dxa"/>
            <w:noWrap w:val="0"/>
            <w:vAlign w:val="center"/>
          </w:tcPr>
          <w:p w14:paraId="44EA1600">
            <w:pPr>
              <w:pStyle w:val="36"/>
              <w:spacing w:beforeLines="0" w:afterLines="0" w:line="240" w:lineRule="auto"/>
              <w:jc w:val="center"/>
              <w:rPr>
                <w:rFonts w:hint="default"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 w:val="21"/>
                <w:szCs w:val="21"/>
                <w:lang w:val="en-US" w:eastAsia="zh-CN" w:bidi="ar-SA"/>
              </w:rPr>
              <w:t>/</w:t>
            </w:r>
          </w:p>
        </w:tc>
        <w:tc>
          <w:tcPr>
            <w:tcW w:w="1594" w:type="dxa"/>
            <w:noWrap w:val="0"/>
            <w:vAlign w:val="center"/>
          </w:tcPr>
          <w:p w14:paraId="2F047037">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679t/a</w:t>
            </w:r>
          </w:p>
        </w:tc>
        <w:tc>
          <w:tcPr>
            <w:tcW w:w="1802" w:type="dxa"/>
            <w:noWrap w:val="0"/>
            <w:vAlign w:val="center"/>
          </w:tcPr>
          <w:p w14:paraId="1957B35A">
            <w:pPr>
              <w:pStyle w:val="36"/>
              <w:spacing w:beforeLines="0" w:afterLines="0" w:line="240" w:lineRule="auto"/>
              <w:jc w:val="center"/>
              <w:rPr>
                <w:rFonts w:hint="default"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 w:val="21"/>
                <w:szCs w:val="21"/>
                <w:lang w:val="en-US" w:eastAsia="zh-CN" w:bidi="ar-SA"/>
              </w:rPr>
              <w:t>/</w:t>
            </w:r>
          </w:p>
        </w:tc>
        <w:tc>
          <w:tcPr>
            <w:tcW w:w="1763" w:type="dxa"/>
            <w:noWrap w:val="0"/>
            <w:vAlign w:val="center"/>
          </w:tcPr>
          <w:p w14:paraId="53B5ECDA">
            <w:pPr>
              <w:widowControl/>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679t/a</w:t>
            </w:r>
          </w:p>
        </w:tc>
        <w:tc>
          <w:tcPr>
            <w:tcW w:w="1387" w:type="dxa"/>
            <w:noWrap w:val="0"/>
            <w:vAlign w:val="center"/>
          </w:tcPr>
          <w:p w14:paraId="2A8818D0">
            <w:pPr>
              <w:widowControl/>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679t/a</w:t>
            </w:r>
          </w:p>
        </w:tc>
      </w:tr>
      <w:tr w14:paraId="145D9CCD">
        <w:trPr>
          <w:trHeight w:val="340" w:hRule="exact"/>
          <w:jc w:val="center"/>
        </w:trPr>
        <w:tc>
          <w:tcPr>
            <w:tcW w:w="1239" w:type="dxa"/>
            <w:vMerge w:val="continue"/>
            <w:noWrap w:val="0"/>
            <w:vAlign w:val="center"/>
          </w:tcPr>
          <w:p w14:paraId="2AF3F283">
            <w:pPr>
              <w:pStyle w:val="36"/>
              <w:spacing w:beforeLines="0" w:afterLines="0" w:line="240" w:lineRule="auto"/>
              <w:rPr>
                <w:rFonts w:ascii="Times New Roman" w:hAnsi="Times New Roman" w:eastAsia="宋体" w:cs="宋体"/>
                <w:snapToGrid w:val="0"/>
                <w:color w:val="auto"/>
                <w:kern w:val="21"/>
                <w:sz w:val="21"/>
                <w:szCs w:val="21"/>
              </w:rPr>
            </w:pPr>
          </w:p>
        </w:tc>
        <w:tc>
          <w:tcPr>
            <w:tcW w:w="869" w:type="dxa"/>
            <w:noWrap w:val="0"/>
            <w:vAlign w:val="center"/>
          </w:tcPr>
          <w:p w14:paraId="56959A3D">
            <w:pPr>
              <w:adjustRightInd w:val="0"/>
              <w:snapToGrid w:val="0"/>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kern w:val="2"/>
                <w:sz w:val="21"/>
                <w:szCs w:val="21"/>
                <w:lang w:val="en-US" w:eastAsia="zh-CN" w:bidi="ar-SA"/>
              </w:rPr>
              <w:t>无组织</w:t>
            </w:r>
          </w:p>
        </w:tc>
        <w:tc>
          <w:tcPr>
            <w:tcW w:w="1389" w:type="dxa"/>
            <w:noWrap w:val="0"/>
            <w:vAlign w:val="center"/>
          </w:tcPr>
          <w:p w14:paraId="4E13FF31">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非甲烷总烃</w:t>
            </w:r>
          </w:p>
        </w:tc>
        <w:tc>
          <w:tcPr>
            <w:tcW w:w="1499" w:type="dxa"/>
            <w:noWrap w:val="0"/>
            <w:vAlign w:val="center"/>
          </w:tcPr>
          <w:p w14:paraId="455264E4">
            <w:pPr>
              <w:pStyle w:val="36"/>
              <w:spacing w:beforeLines="0" w:afterLines="0" w:line="240" w:lineRule="auto"/>
              <w:jc w:val="center"/>
              <w:rPr>
                <w:rFonts w:hint="default"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 w:val="21"/>
                <w:szCs w:val="21"/>
                <w:lang w:val="en-US" w:eastAsia="zh-CN" w:bidi="ar-SA"/>
              </w:rPr>
              <w:t>/</w:t>
            </w:r>
          </w:p>
        </w:tc>
        <w:tc>
          <w:tcPr>
            <w:tcW w:w="1114" w:type="dxa"/>
            <w:noWrap w:val="0"/>
            <w:vAlign w:val="center"/>
          </w:tcPr>
          <w:p w14:paraId="0FF1683E">
            <w:pPr>
              <w:pStyle w:val="36"/>
              <w:spacing w:beforeLines="0" w:afterLines="0" w:line="240" w:lineRule="auto"/>
              <w:jc w:val="center"/>
              <w:rPr>
                <w:rFonts w:hint="default"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 w:val="21"/>
                <w:szCs w:val="21"/>
                <w:lang w:val="en-US" w:eastAsia="zh-CN" w:bidi="ar-SA"/>
              </w:rPr>
              <w:t>/</w:t>
            </w:r>
          </w:p>
        </w:tc>
        <w:tc>
          <w:tcPr>
            <w:tcW w:w="1739" w:type="dxa"/>
            <w:noWrap w:val="0"/>
            <w:vAlign w:val="center"/>
          </w:tcPr>
          <w:p w14:paraId="7E1620C4">
            <w:pPr>
              <w:pStyle w:val="36"/>
              <w:spacing w:beforeLines="0" w:afterLines="0" w:line="240" w:lineRule="auto"/>
              <w:jc w:val="center"/>
              <w:rPr>
                <w:rFonts w:hint="default"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 w:val="21"/>
                <w:szCs w:val="21"/>
                <w:lang w:val="en-US" w:eastAsia="zh-CN" w:bidi="ar-SA"/>
              </w:rPr>
              <w:t>/</w:t>
            </w:r>
          </w:p>
        </w:tc>
        <w:tc>
          <w:tcPr>
            <w:tcW w:w="1594" w:type="dxa"/>
            <w:noWrap w:val="0"/>
            <w:vAlign w:val="center"/>
          </w:tcPr>
          <w:p w14:paraId="42757A25">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358t/a</w:t>
            </w:r>
          </w:p>
        </w:tc>
        <w:tc>
          <w:tcPr>
            <w:tcW w:w="1802" w:type="dxa"/>
            <w:noWrap w:val="0"/>
            <w:vAlign w:val="center"/>
          </w:tcPr>
          <w:p w14:paraId="2B662329">
            <w:pPr>
              <w:pStyle w:val="36"/>
              <w:spacing w:beforeLines="0" w:afterLines="0" w:line="240" w:lineRule="auto"/>
              <w:jc w:val="center"/>
              <w:rPr>
                <w:rFonts w:hint="default"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 w:val="21"/>
                <w:szCs w:val="21"/>
                <w:lang w:val="en-US" w:eastAsia="zh-CN" w:bidi="ar-SA"/>
              </w:rPr>
              <w:t>/</w:t>
            </w:r>
          </w:p>
        </w:tc>
        <w:tc>
          <w:tcPr>
            <w:tcW w:w="1763" w:type="dxa"/>
            <w:noWrap w:val="0"/>
            <w:vAlign w:val="center"/>
          </w:tcPr>
          <w:p w14:paraId="1DE5F085">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358t/a</w:t>
            </w:r>
          </w:p>
        </w:tc>
        <w:tc>
          <w:tcPr>
            <w:tcW w:w="1387" w:type="dxa"/>
            <w:noWrap w:val="0"/>
            <w:vAlign w:val="center"/>
          </w:tcPr>
          <w:p w14:paraId="3FA8DCAC">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358t/a</w:t>
            </w:r>
          </w:p>
        </w:tc>
      </w:tr>
      <w:tr w14:paraId="20709E7C">
        <w:trPr>
          <w:trHeight w:val="340" w:hRule="exact"/>
          <w:jc w:val="center"/>
        </w:trPr>
        <w:tc>
          <w:tcPr>
            <w:tcW w:w="1239" w:type="dxa"/>
            <w:vMerge w:val="restart"/>
            <w:noWrap w:val="0"/>
            <w:vAlign w:val="center"/>
          </w:tcPr>
          <w:p w14:paraId="721EC0C0">
            <w:pPr>
              <w:pStyle w:val="36"/>
              <w:spacing w:beforeLines="0" w:afterLines="0" w:line="240" w:lineRule="auto"/>
              <w:rPr>
                <w:rFonts w:hint="eastAsia" w:ascii="Times New Roman" w:hAnsi="Times New Roman" w:eastAsia="宋体" w:cs="宋体"/>
                <w:snapToGrid w:val="0"/>
                <w:color w:val="auto"/>
                <w:kern w:val="21"/>
                <w:sz w:val="21"/>
                <w:szCs w:val="21"/>
                <w:lang w:val="en-US" w:eastAsia="zh-CN"/>
              </w:rPr>
            </w:pPr>
            <w:r>
              <w:rPr>
                <w:rFonts w:hint="eastAsia" w:ascii="Times New Roman" w:hAnsi="Times New Roman" w:eastAsia="宋体" w:cs="宋体"/>
                <w:snapToGrid w:val="0"/>
                <w:color w:val="auto"/>
                <w:kern w:val="21"/>
                <w:sz w:val="21"/>
                <w:szCs w:val="21"/>
                <w:lang w:val="en-US" w:eastAsia="zh-CN"/>
              </w:rPr>
              <w:t>废水</w:t>
            </w:r>
          </w:p>
        </w:tc>
        <w:tc>
          <w:tcPr>
            <w:tcW w:w="2258" w:type="dxa"/>
            <w:gridSpan w:val="2"/>
            <w:noWrap w:val="0"/>
            <w:vAlign w:val="center"/>
          </w:tcPr>
          <w:p w14:paraId="3D1603CF">
            <w:pPr>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sz w:val="21"/>
                <w:szCs w:val="21"/>
              </w:rPr>
              <w:t>废</w:t>
            </w:r>
            <w:r>
              <w:rPr>
                <w:rFonts w:hint="eastAsia" w:ascii="Times New Roman" w:hAnsi="Times New Roman" w:eastAsia="宋体"/>
                <w:color w:val="auto"/>
                <w:sz w:val="21"/>
                <w:szCs w:val="21"/>
                <w:lang w:val="en-US" w:eastAsia="zh-CN"/>
              </w:rPr>
              <w:t>水量</w:t>
            </w:r>
          </w:p>
        </w:tc>
        <w:tc>
          <w:tcPr>
            <w:tcW w:w="1499" w:type="dxa"/>
            <w:noWrap w:val="0"/>
            <w:vAlign w:val="center"/>
          </w:tcPr>
          <w:p w14:paraId="2E843E3E">
            <w:pPr>
              <w:pStyle w:val="36"/>
              <w:spacing w:beforeLines="0" w:afterLines="0" w:line="240" w:lineRule="auto"/>
              <w:jc w:val="center"/>
              <w:rPr>
                <w:rFonts w:hint="default"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 w:val="21"/>
                <w:szCs w:val="21"/>
                <w:lang w:val="en-US" w:eastAsia="zh-CN" w:bidi="ar-SA"/>
              </w:rPr>
              <w:t>/</w:t>
            </w:r>
          </w:p>
        </w:tc>
        <w:tc>
          <w:tcPr>
            <w:tcW w:w="1114" w:type="dxa"/>
            <w:noWrap w:val="0"/>
            <w:vAlign w:val="center"/>
          </w:tcPr>
          <w:p w14:paraId="12BE5E8E">
            <w:pPr>
              <w:pStyle w:val="36"/>
              <w:spacing w:beforeLines="0" w:afterLines="0" w:line="240" w:lineRule="auto"/>
              <w:jc w:val="center"/>
              <w:rPr>
                <w:rFonts w:hint="default"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 w:val="21"/>
                <w:szCs w:val="21"/>
                <w:lang w:val="en-US" w:eastAsia="zh-CN" w:bidi="ar-SA"/>
              </w:rPr>
              <w:t>/</w:t>
            </w:r>
          </w:p>
        </w:tc>
        <w:tc>
          <w:tcPr>
            <w:tcW w:w="1739" w:type="dxa"/>
            <w:noWrap w:val="0"/>
            <w:vAlign w:val="center"/>
          </w:tcPr>
          <w:p w14:paraId="09F86DE2">
            <w:pPr>
              <w:pStyle w:val="36"/>
              <w:spacing w:beforeLines="0" w:afterLines="0" w:line="240" w:lineRule="auto"/>
              <w:jc w:val="center"/>
              <w:rPr>
                <w:rFonts w:hint="default"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 w:val="21"/>
                <w:szCs w:val="21"/>
                <w:lang w:val="en-US" w:eastAsia="zh-CN" w:bidi="ar-SA"/>
              </w:rPr>
              <w:t>/</w:t>
            </w:r>
          </w:p>
        </w:tc>
        <w:tc>
          <w:tcPr>
            <w:tcW w:w="1594" w:type="dxa"/>
            <w:noWrap w:val="0"/>
            <w:vAlign w:val="center"/>
          </w:tcPr>
          <w:p w14:paraId="6A1DDA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99480</w:t>
            </w:r>
            <w:r>
              <w:rPr>
                <w:rFonts w:hint="eastAsia" w:cs="Times New Roman"/>
                <w:color w:val="auto"/>
                <w:sz w:val="21"/>
                <w:szCs w:val="21"/>
                <w:lang w:val="en-US" w:eastAsia="zh-CN"/>
              </w:rPr>
              <w:t>t/a</w:t>
            </w:r>
          </w:p>
        </w:tc>
        <w:tc>
          <w:tcPr>
            <w:tcW w:w="1802" w:type="dxa"/>
            <w:noWrap w:val="0"/>
            <w:vAlign w:val="center"/>
          </w:tcPr>
          <w:p w14:paraId="6C8CF8F8">
            <w:pPr>
              <w:pStyle w:val="36"/>
              <w:spacing w:beforeLines="0" w:afterLines="0" w:line="240" w:lineRule="auto"/>
              <w:jc w:val="center"/>
              <w:rPr>
                <w:rFonts w:hint="eastAsia"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 w:val="21"/>
                <w:szCs w:val="21"/>
                <w:lang w:val="en-US" w:eastAsia="zh-CN" w:bidi="ar-SA"/>
              </w:rPr>
              <w:t>/</w:t>
            </w:r>
          </w:p>
        </w:tc>
        <w:tc>
          <w:tcPr>
            <w:tcW w:w="1763" w:type="dxa"/>
            <w:noWrap w:val="0"/>
            <w:vAlign w:val="center"/>
          </w:tcPr>
          <w:p w14:paraId="4ADE23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99480</w:t>
            </w:r>
            <w:r>
              <w:rPr>
                <w:rFonts w:hint="eastAsia" w:cs="Times New Roman"/>
                <w:color w:val="auto"/>
                <w:sz w:val="21"/>
                <w:szCs w:val="21"/>
                <w:lang w:val="en-US" w:eastAsia="zh-CN"/>
              </w:rPr>
              <w:t>t/a</w:t>
            </w:r>
          </w:p>
        </w:tc>
        <w:tc>
          <w:tcPr>
            <w:tcW w:w="1387" w:type="dxa"/>
            <w:noWrap w:val="0"/>
            <w:vAlign w:val="center"/>
          </w:tcPr>
          <w:p w14:paraId="2588D4EE">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99480</w:t>
            </w:r>
            <w:r>
              <w:rPr>
                <w:rFonts w:hint="eastAsia" w:cs="Times New Roman"/>
                <w:color w:val="auto"/>
                <w:sz w:val="21"/>
                <w:szCs w:val="21"/>
                <w:lang w:val="en-US" w:eastAsia="zh-CN"/>
              </w:rPr>
              <w:t>t/a</w:t>
            </w:r>
          </w:p>
        </w:tc>
      </w:tr>
      <w:tr w14:paraId="16949A38">
        <w:trPr>
          <w:trHeight w:val="340" w:hRule="exact"/>
          <w:jc w:val="center"/>
        </w:trPr>
        <w:tc>
          <w:tcPr>
            <w:tcW w:w="1239" w:type="dxa"/>
            <w:vMerge w:val="continue"/>
            <w:noWrap w:val="0"/>
            <w:vAlign w:val="center"/>
          </w:tcPr>
          <w:p w14:paraId="1BDFD39A">
            <w:pPr>
              <w:pStyle w:val="36"/>
              <w:spacing w:beforeLines="0" w:afterLines="0" w:line="240" w:lineRule="auto"/>
              <w:rPr>
                <w:rFonts w:hint="eastAsia" w:ascii="Times New Roman" w:hAnsi="Times New Roman" w:eastAsia="宋体" w:cs="宋体"/>
                <w:snapToGrid w:val="0"/>
                <w:color w:val="auto"/>
                <w:kern w:val="21"/>
                <w:sz w:val="21"/>
                <w:szCs w:val="21"/>
              </w:rPr>
            </w:pPr>
          </w:p>
        </w:tc>
        <w:tc>
          <w:tcPr>
            <w:tcW w:w="2258" w:type="dxa"/>
            <w:gridSpan w:val="2"/>
            <w:noWrap w:val="0"/>
            <w:vAlign w:val="center"/>
          </w:tcPr>
          <w:p w14:paraId="04AE9EF0">
            <w:pPr>
              <w:pStyle w:val="3"/>
              <w:spacing w:line="200" w:lineRule="exact"/>
              <w:ind w:firstLine="0" w:firstLineChars="0"/>
              <w:jc w:val="center"/>
              <w:rPr>
                <w:rFonts w:ascii="Times New Roman" w:hAnsi="Times New Roman" w:eastAsia="宋体"/>
                <w:color w:val="auto"/>
                <w:sz w:val="21"/>
                <w:szCs w:val="21"/>
              </w:rPr>
            </w:pPr>
            <w:r>
              <w:rPr>
                <w:rFonts w:ascii="Times New Roman" w:hAnsi="Times New Roman" w:eastAsia="宋体"/>
                <w:color w:val="auto"/>
                <w:sz w:val="21"/>
                <w:szCs w:val="21"/>
              </w:rPr>
              <w:t>COD</w:t>
            </w:r>
          </w:p>
        </w:tc>
        <w:tc>
          <w:tcPr>
            <w:tcW w:w="1499" w:type="dxa"/>
            <w:noWrap w:val="0"/>
            <w:vAlign w:val="center"/>
          </w:tcPr>
          <w:p w14:paraId="3CB94045">
            <w:pPr>
              <w:pStyle w:val="36"/>
              <w:spacing w:beforeLines="0" w:afterLines="0" w:line="200" w:lineRule="exact"/>
              <w:jc w:val="center"/>
              <w:rPr>
                <w:rFonts w:hint="eastAsia" w:ascii="Times New Roman" w:hAnsi="Times New Roman" w:eastAsia="宋体"/>
                <w:snapToGrid w:val="0"/>
                <w:color w:val="auto"/>
                <w:kern w:val="21"/>
                <w:sz w:val="21"/>
                <w:szCs w:val="21"/>
                <w:lang w:val="en-US" w:eastAsia="zh-CN" w:bidi="ar-SA"/>
              </w:rPr>
            </w:pPr>
            <w:r>
              <w:rPr>
                <w:rFonts w:hint="eastAsia" w:ascii="Times New Roman" w:hAnsi="Times New Roman" w:eastAsia="宋体"/>
                <w:snapToGrid w:val="0"/>
                <w:color w:val="auto"/>
                <w:kern w:val="21"/>
                <w:sz w:val="21"/>
                <w:szCs w:val="21"/>
                <w:lang w:val="en-US" w:eastAsia="zh-CN"/>
              </w:rPr>
              <w:t>/</w:t>
            </w:r>
          </w:p>
        </w:tc>
        <w:tc>
          <w:tcPr>
            <w:tcW w:w="1114" w:type="dxa"/>
            <w:noWrap w:val="0"/>
            <w:vAlign w:val="center"/>
          </w:tcPr>
          <w:p w14:paraId="0028763F">
            <w:pPr>
              <w:pStyle w:val="36"/>
              <w:spacing w:beforeLines="0" w:afterLines="0" w:line="200" w:lineRule="exact"/>
              <w:jc w:val="center"/>
              <w:rPr>
                <w:rFonts w:hint="eastAsia" w:ascii="Times New Roman" w:hAnsi="Times New Roman" w:eastAsia="宋体"/>
                <w:snapToGrid w:val="0"/>
                <w:color w:val="auto"/>
                <w:kern w:val="21"/>
                <w:sz w:val="21"/>
                <w:szCs w:val="21"/>
                <w:lang w:val="en-US" w:eastAsia="zh-CN" w:bidi="ar-SA"/>
              </w:rPr>
            </w:pPr>
            <w:r>
              <w:rPr>
                <w:rFonts w:hint="eastAsia" w:ascii="Times New Roman" w:hAnsi="Times New Roman" w:eastAsia="宋体"/>
                <w:snapToGrid w:val="0"/>
                <w:color w:val="auto"/>
                <w:kern w:val="21"/>
                <w:sz w:val="21"/>
                <w:szCs w:val="21"/>
                <w:lang w:val="en-US" w:eastAsia="zh-CN"/>
              </w:rPr>
              <w:t>/</w:t>
            </w:r>
          </w:p>
        </w:tc>
        <w:tc>
          <w:tcPr>
            <w:tcW w:w="1739" w:type="dxa"/>
            <w:noWrap w:val="0"/>
            <w:vAlign w:val="center"/>
          </w:tcPr>
          <w:p w14:paraId="26B18A4A">
            <w:pPr>
              <w:pStyle w:val="36"/>
              <w:spacing w:beforeLines="0" w:afterLines="0" w:line="200" w:lineRule="exact"/>
              <w:jc w:val="center"/>
              <w:rPr>
                <w:rFonts w:hint="eastAsia" w:ascii="Times New Roman" w:hAnsi="Times New Roman" w:eastAsia="宋体"/>
                <w:snapToGrid w:val="0"/>
                <w:color w:val="auto"/>
                <w:kern w:val="21"/>
                <w:sz w:val="21"/>
                <w:szCs w:val="21"/>
                <w:lang w:val="en-US" w:eastAsia="zh-CN" w:bidi="ar-SA"/>
              </w:rPr>
            </w:pPr>
            <w:r>
              <w:rPr>
                <w:rFonts w:hint="eastAsia" w:ascii="Times New Roman" w:hAnsi="Times New Roman" w:eastAsia="宋体"/>
                <w:snapToGrid w:val="0"/>
                <w:color w:val="auto"/>
                <w:kern w:val="21"/>
                <w:sz w:val="21"/>
                <w:szCs w:val="21"/>
                <w:lang w:val="en-US" w:eastAsia="zh-CN"/>
              </w:rPr>
              <w:t>/</w:t>
            </w:r>
          </w:p>
        </w:tc>
        <w:tc>
          <w:tcPr>
            <w:tcW w:w="1594" w:type="dxa"/>
            <w:noWrap w:val="0"/>
            <w:vAlign w:val="center"/>
          </w:tcPr>
          <w:p w14:paraId="1EB7A0A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bidi="ar"/>
              </w:rPr>
              <w:t>4.974</w:t>
            </w:r>
            <w:r>
              <w:rPr>
                <w:rFonts w:hint="eastAsia" w:cs="Times New Roman"/>
                <w:color w:val="auto"/>
                <w:sz w:val="21"/>
                <w:szCs w:val="21"/>
                <w:lang w:val="en-US" w:eastAsia="zh-CN"/>
              </w:rPr>
              <w:t>t/a</w:t>
            </w:r>
          </w:p>
        </w:tc>
        <w:tc>
          <w:tcPr>
            <w:tcW w:w="1802" w:type="dxa"/>
            <w:noWrap w:val="0"/>
            <w:vAlign w:val="center"/>
          </w:tcPr>
          <w:p w14:paraId="0A389222">
            <w:pPr>
              <w:pStyle w:val="36"/>
              <w:spacing w:beforeLines="0" w:afterLines="0" w:line="200" w:lineRule="exact"/>
              <w:jc w:val="center"/>
              <w:rPr>
                <w:rFonts w:hint="default" w:ascii="Times New Roman" w:hAnsi="Times New Roman" w:eastAsia="宋体"/>
                <w:snapToGrid w:val="0"/>
                <w:color w:val="auto"/>
                <w:kern w:val="21"/>
                <w:sz w:val="21"/>
                <w:szCs w:val="21"/>
                <w:lang w:val="en-US" w:eastAsia="zh-CN" w:bidi="ar-SA"/>
              </w:rPr>
            </w:pPr>
            <w:r>
              <w:rPr>
                <w:rFonts w:hint="eastAsia" w:ascii="Times New Roman" w:hAnsi="Times New Roman" w:eastAsia="宋体"/>
                <w:snapToGrid w:val="0"/>
                <w:color w:val="auto"/>
                <w:kern w:val="21"/>
                <w:sz w:val="21"/>
                <w:szCs w:val="21"/>
                <w:lang w:val="en-US" w:eastAsia="zh-CN"/>
              </w:rPr>
              <w:t>/</w:t>
            </w:r>
          </w:p>
        </w:tc>
        <w:tc>
          <w:tcPr>
            <w:tcW w:w="1763" w:type="dxa"/>
            <w:noWrap w:val="0"/>
            <w:vAlign w:val="center"/>
          </w:tcPr>
          <w:p w14:paraId="34420987">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bidi="ar"/>
              </w:rPr>
              <w:t>4.974</w:t>
            </w:r>
            <w:r>
              <w:rPr>
                <w:rFonts w:hint="eastAsia" w:cs="Times New Roman"/>
                <w:color w:val="auto"/>
                <w:sz w:val="21"/>
                <w:szCs w:val="21"/>
                <w:lang w:val="en-US" w:eastAsia="zh-CN"/>
              </w:rPr>
              <w:t>t/a</w:t>
            </w:r>
          </w:p>
        </w:tc>
        <w:tc>
          <w:tcPr>
            <w:tcW w:w="1387" w:type="dxa"/>
            <w:noWrap w:val="0"/>
            <w:vAlign w:val="center"/>
          </w:tcPr>
          <w:p w14:paraId="678FDC32">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bidi="ar"/>
              </w:rPr>
              <w:t>4.974</w:t>
            </w:r>
            <w:r>
              <w:rPr>
                <w:rFonts w:hint="eastAsia" w:cs="Times New Roman"/>
                <w:color w:val="auto"/>
                <w:sz w:val="21"/>
                <w:szCs w:val="21"/>
                <w:lang w:val="en-US" w:eastAsia="zh-CN"/>
              </w:rPr>
              <w:t>t/a</w:t>
            </w:r>
          </w:p>
        </w:tc>
      </w:tr>
      <w:tr w14:paraId="291DE81B">
        <w:trPr>
          <w:trHeight w:val="340" w:hRule="exact"/>
          <w:jc w:val="center"/>
        </w:trPr>
        <w:tc>
          <w:tcPr>
            <w:tcW w:w="1239" w:type="dxa"/>
            <w:vMerge w:val="continue"/>
            <w:noWrap w:val="0"/>
            <w:vAlign w:val="center"/>
          </w:tcPr>
          <w:p w14:paraId="0840E8F1">
            <w:pPr>
              <w:pStyle w:val="36"/>
              <w:spacing w:beforeLines="0" w:afterLines="0" w:line="240" w:lineRule="auto"/>
              <w:rPr>
                <w:rFonts w:hint="eastAsia" w:ascii="Times New Roman" w:hAnsi="Times New Roman" w:eastAsia="宋体" w:cs="宋体"/>
                <w:snapToGrid w:val="0"/>
                <w:color w:val="auto"/>
                <w:kern w:val="21"/>
                <w:sz w:val="21"/>
                <w:szCs w:val="21"/>
              </w:rPr>
            </w:pPr>
          </w:p>
        </w:tc>
        <w:tc>
          <w:tcPr>
            <w:tcW w:w="2258" w:type="dxa"/>
            <w:gridSpan w:val="2"/>
            <w:noWrap w:val="0"/>
            <w:vAlign w:val="center"/>
          </w:tcPr>
          <w:p w14:paraId="0E45531E">
            <w:pPr>
              <w:pStyle w:val="3"/>
              <w:spacing w:line="200" w:lineRule="exact"/>
              <w:ind w:firstLine="0" w:firstLineChars="0"/>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BOD</w:t>
            </w:r>
            <w:r>
              <w:rPr>
                <w:rFonts w:hint="eastAsia"/>
                <w:color w:val="auto"/>
                <w:sz w:val="21"/>
                <w:szCs w:val="21"/>
                <w:vertAlign w:val="subscript"/>
                <w:lang w:val="en-US" w:eastAsia="zh-CN"/>
              </w:rPr>
              <w:t>5</w:t>
            </w:r>
          </w:p>
        </w:tc>
        <w:tc>
          <w:tcPr>
            <w:tcW w:w="1499" w:type="dxa"/>
            <w:noWrap w:val="0"/>
            <w:vAlign w:val="center"/>
          </w:tcPr>
          <w:p w14:paraId="172AFAAD">
            <w:pPr>
              <w:spacing w:beforeLines="0" w:afterLines="0" w:line="200" w:lineRule="exact"/>
              <w:jc w:val="center"/>
              <w:rPr>
                <w:rFonts w:hint="eastAsia" w:ascii="Times New Roman" w:hAnsi="Times New Roman" w:eastAsia="宋体"/>
                <w:snapToGrid w:val="0"/>
                <w:color w:val="auto"/>
                <w:kern w:val="21"/>
                <w:sz w:val="21"/>
                <w:szCs w:val="21"/>
                <w:lang w:val="en-US" w:eastAsia="zh-CN"/>
              </w:rPr>
            </w:pPr>
            <w:r>
              <w:rPr>
                <w:rFonts w:hint="eastAsia" w:ascii="Times New Roman" w:hAnsi="Times New Roman" w:eastAsia="宋体"/>
                <w:snapToGrid w:val="0"/>
                <w:color w:val="auto"/>
                <w:kern w:val="21"/>
                <w:sz w:val="21"/>
                <w:szCs w:val="21"/>
                <w:lang w:val="en-US" w:eastAsia="zh-CN"/>
              </w:rPr>
              <w:t>/</w:t>
            </w:r>
          </w:p>
        </w:tc>
        <w:tc>
          <w:tcPr>
            <w:tcW w:w="1114" w:type="dxa"/>
            <w:noWrap w:val="0"/>
            <w:vAlign w:val="center"/>
          </w:tcPr>
          <w:p w14:paraId="49A11CA5">
            <w:pPr>
              <w:spacing w:beforeLines="0" w:afterLines="0" w:line="200" w:lineRule="exact"/>
              <w:jc w:val="center"/>
              <w:rPr>
                <w:rFonts w:hint="eastAsia" w:ascii="Times New Roman" w:hAnsi="Times New Roman" w:eastAsia="宋体"/>
                <w:snapToGrid w:val="0"/>
                <w:color w:val="auto"/>
                <w:kern w:val="21"/>
                <w:sz w:val="21"/>
                <w:szCs w:val="21"/>
                <w:lang w:val="en-US" w:eastAsia="zh-CN"/>
              </w:rPr>
            </w:pPr>
            <w:r>
              <w:rPr>
                <w:rFonts w:hint="eastAsia" w:ascii="Times New Roman" w:hAnsi="Times New Roman" w:eastAsia="宋体"/>
                <w:snapToGrid w:val="0"/>
                <w:color w:val="auto"/>
                <w:kern w:val="21"/>
                <w:sz w:val="21"/>
                <w:szCs w:val="21"/>
                <w:lang w:val="en-US" w:eastAsia="zh-CN"/>
              </w:rPr>
              <w:t>/</w:t>
            </w:r>
          </w:p>
        </w:tc>
        <w:tc>
          <w:tcPr>
            <w:tcW w:w="1739" w:type="dxa"/>
            <w:noWrap w:val="0"/>
            <w:vAlign w:val="center"/>
          </w:tcPr>
          <w:p w14:paraId="1AEE29B0">
            <w:pPr>
              <w:spacing w:beforeLines="0" w:afterLines="0" w:line="200" w:lineRule="exact"/>
              <w:jc w:val="center"/>
              <w:rPr>
                <w:rFonts w:hint="eastAsia" w:ascii="Times New Roman" w:hAnsi="Times New Roman" w:eastAsia="宋体"/>
                <w:snapToGrid w:val="0"/>
                <w:color w:val="auto"/>
                <w:kern w:val="21"/>
                <w:sz w:val="21"/>
                <w:szCs w:val="21"/>
                <w:lang w:val="en-US" w:eastAsia="zh-CN"/>
              </w:rPr>
            </w:pPr>
            <w:r>
              <w:rPr>
                <w:rFonts w:hint="eastAsia" w:ascii="Times New Roman" w:hAnsi="Times New Roman" w:eastAsia="宋体"/>
                <w:snapToGrid w:val="0"/>
                <w:color w:val="auto"/>
                <w:kern w:val="21"/>
                <w:sz w:val="21"/>
                <w:szCs w:val="21"/>
                <w:lang w:val="en-US" w:eastAsia="zh-CN"/>
              </w:rPr>
              <w:t>/</w:t>
            </w:r>
          </w:p>
        </w:tc>
        <w:tc>
          <w:tcPr>
            <w:tcW w:w="1594" w:type="dxa"/>
            <w:noWrap w:val="0"/>
            <w:vAlign w:val="center"/>
          </w:tcPr>
          <w:p w14:paraId="5865C5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0.995t/a</w:t>
            </w:r>
          </w:p>
        </w:tc>
        <w:tc>
          <w:tcPr>
            <w:tcW w:w="1802" w:type="dxa"/>
            <w:noWrap w:val="0"/>
            <w:vAlign w:val="center"/>
          </w:tcPr>
          <w:p w14:paraId="461A9175">
            <w:pPr>
              <w:spacing w:beforeLines="0" w:afterLines="0" w:line="200" w:lineRule="exact"/>
              <w:jc w:val="center"/>
              <w:rPr>
                <w:rFonts w:hint="eastAsia" w:ascii="Times New Roman" w:hAnsi="Times New Roman" w:eastAsia="宋体"/>
                <w:snapToGrid w:val="0"/>
                <w:color w:val="auto"/>
                <w:kern w:val="21"/>
                <w:sz w:val="21"/>
                <w:szCs w:val="21"/>
                <w:lang w:val="en-US" w:eastAsia="zh-CN"/>
              </w:rPr>
            </w:pPr>
            <w:r>
              <w:rPr>
                <w:rFonts w:hint="eastAsia" w:ascii="Times New Roman" w:hAnsi="Times New Roman" w:eastAsia="宋体" w:cs="宋体"/>
                <w:snapToGrid w:val="0"/>
                <w:color w:val="auto"/>
                <w:kern w:val="21"/>
                <w:sz w:val="21"/>
                <w:szCs w:val="21"/>
                <w:lang w:val="en-US" w:eastAsia="zh-CN"/>
              </w:rPr>
              <w:t>/</w:t>
            </w:r>
          </w:p>
        </w:tc>
        <w:tc>
          <w:tcPr>
            <w:tcW w:w="1763" w:type="dxa"/>
            <w:noWrap w:val="0"/>
            <w:vAlign w:val="center"/>
          </w:tcPr>
          <w:p w14:paraId="2287A32E">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0.995t/a</w:t>
            </w:r>
          </w:p>
        </w:tc>
        <w:tc>
          <w:tcPr>
            <w:tcW w:w="1387" w:type="dxa"/>
            <w:noWrap w:val="0"/>
            <w:vAlign w:val="center"/>
          </w:tcPr>
          <w:p w14:paraId="1F3D2A9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0.995t/a</w:t>
            </w:r>
          </w:p>
        </w:tc>
      </w:tr>
      <w:tr w14:paraId="35EE9B89">
        <w:trPr>
          <w:trHeight w:val="340" w:hRule="exact"/>
          <w:jc w:val="center"/>
        </w:trPr>
        <w:tc>
          <w:tcPr>
            <w:tcW w:w="1239" w:type="dxa"/>
            <w:vMerge w:val="continue"/>
            <w:noWrap w:val="0"/>
            <w:vAlign w:val="center"/>
          </w:tcPr>
          <w:p w14:paraId="6D756A06">
            <w:pPr>
              <w:pStyle w:val="36"/>
              <w:spacing w:beforeLines="0" w:afterLines="0" w:line="240" w:lineRule="auto"/>
              <w:rPr>
                <w:rFonts w:ascii="Times New Roman" w:hAnsi="Times New Roman" w:eastAsia="宋体" w:cs="宋体"/>
                <w:snapToGrid w:val="0"/>
                <w:color w:val="auto"/>
                <w:kern w:val="21"/>
                <w:sz w:val="21"/>
                <w:szCs w:val="21"/>
              </w:rPr>
            </w:pPr>
          </w:p>
        </w:tc>
        <w:tc>
          <w:tcPr>
            <w:tcW w:w="2258" w:type="dxa"/>
            <w:gridSpan w:val="2"/>
            <w:noWrap w:val="0"/>
            <w:vAlign w:val="center"/>
          </w:tcPr>
          <w:p w14:paraId="6C7E4E41">
            <w:pPr>
              <w:pStyle w:val="3"/>
              <w:spacing w:line="200" w:lineRule="exact"/>
              <w:ind w:firstLine="0" w:firstLineChars="0"/>
              <w:jc w:val="center"/>
              <w:rPr>
                <w:rFonts w:ascii="Times New Roman" w:hAnsi="Times New Roman" w:eastAsia="宋体"/>
                <w:color w:val="auto"/>
                <w:sz w:val="21"/>
                <w:szCs w:val="21"/>
              </w:rPr>
            </w:pPr>
            <w:r>
              <w:rPr>
                <w:rFonts w:ascii="Times New Roman" w:hAnsi="Times New Roman" w:eastAsia="宋体"/>
                <w:color w:val="auto"/>
                <w:sz w:val="21"/>
                <w:szCs w:val="21"/>
              </w:rPr>
              <w:t>SS</w:t>
            </w:r>
          </w:p>
        </w:tc>
        <w:tc>
          <w:tcPr>
            <w:tcW w:w="1499" w:type="dxa"/>
            <w:noWrap w:val="0"/>
            <w:vAlign w:val="center"/>
          </w:tcPr>
          <w:p w14:paraId="62BB53C2">
            <w:pPr>
              <w:pStyle w:val="36"/>
              <w:spacing w:beforeLines="0" w:afterLines="0" w:line="200" w:lineRule="exact"/>
              <w:jc w:val="center"/>
              <w:rPr>
                <w:rFonts w:hint="eastAsia" w:ascii="Times New Roman" w:hAnsi="Times New Roman" w:eastAsia="宋体"/>
                <w:snapToGrid w:val="0"/>
                <w:color w:val="auto"/>
                <w:kern w:val="21"/>
                <w:sz w:val="21"/>
                <w:szCs w:val="21"/>
                <w:lang w:val="en-US" w:eastAsia="zh-CN" w:bidi="ar-SA"/>
              </w:rPr>
            </w:pPr>
            <w:r>
              <w:rPr>
                <w:rFonts w:hint="eastAsia" w:ascii="Times New Roman" w:hAnsi="Times New Roman" w:eastAsia="宋体"/>
                <w:snapToGrid w:val="0"/>
                <w:color w:val="auto"/>
                <w:kern w:val="21"/>
                <w:sz w:val="21"/>
                <w:szCs w:val="21"/>
                <w:lang w:val="en-US" w:eastAsia="zh-CN"/>
              </w:rPr>
              <w:t>/</w:t>
            </w:r>
          </w:p>
        </w:tc>
        <w:tc>
          <w:tcPr>
            <w:tcW w:w="1114" w:type="dxa"/>
            <w:noWrap w:val="0"/>
            <w:vAlign w:val="center"/>
          </w:tcPr>
          <w:p w14:paraId="40DFB336">
            <w:pPr>
              <w:pStyle w:val="36"/>
              <w:spacing w:beforeLines="0" w:afterLines="0" w:line="200" w:lineRule="exact"/>
              <w:jc w:val="center"/>
              <w:rPr>
                <w:rFonts w:hint="eastAsia" w:ascii="Times New Roman" w:hAnsi="Times New Roman" w:eastAsia="宋体"/>
                <w:snapToGrid w:val="0"/>
                <w:color w:val="auto"/>
                <w:kern w:val="21"/>
                <w:sz w:val="21"/>
                <w:szCs w:val="21"/>
                <w:lang w:val="en-US" w:eastAsia="zh-CN" w:bidi="ar-SA"/>
              </w:rPr>
            </w:pPr>
            <w:r>
              <w:rPr>
                <w:rFonts w:hint="eastAsia" w:ascii="Times New Roman" w:hAnsi="Times New Roman" w:eastAsia="宋体"/>
                <w:snapToGrid w:val="0"/>
                <w:color w:val="auto"/>
                <w:kern w:val="21"/>
                <w:sz w:val="21"/>
                <w:szCs w:val="21"/>
                <w:lang w:val="en-US" w:eastAsia="zh-CN"/>
              </w:rPr>
              <w:t>/</w:t>
            </w:r>
          </w:p>
        </w:tc>
        <w:tc>
          <w:tcPr>
            <w:tcW w:w="1739" w:type="dxa"/>
            <w:noWrap w:val="0"/>
            <w:vAlign w:val="center"/>
          </w:tcPr>
          <w:p w14:paraId="15050642">
            <w:pPr>
              <w:pStyle w:val="36"/>
              <w:spacing w:beforeLines="0" w:afterLines="0" w:line="200" w:lineRule="exact"/>
              <w:jc w:val="center"/>
              <w:rPr>
                <w:rFonts w:hint="eastAsia" w:ascii="Times New Roman" w:hAnsi="Times New Roman" w:eastAsia="宋体"/>
                <w:snapToGrid w:val="0"/>
                <w:color w:val="auto"/>
                <w:kern w:val="21"/>
                <w:sz w:val="21"/>
                <w:szCs w:val="21"/>
                <w:lang w:val="en-US" w:eastAsia="zh-CN" w:bidi="ar-SA"/>
              </w:rPr>
            </w:pPr>
            <w:r>
              <w:rPr>
                <w:rFonts w:hint="eastAsia" w:ascii="Times New Roman" w:hAnsi="Times New Roman" w:eastAsia="宋体"/>
                <w:snapToGrid w:val="0"/>
                <w:color w:val="auto"/>
                <w:kern w:val="21"/>
                <w:sz w:val="21"/>
                <w:szCs w:val="21"/>
                <w:lang w:val="en-US" w:eastAsia="zh-CN"/>
              </w:rPr>
              <w:t>/</w:t>
            </w:r>
          </w:p>
        </w:tc>
        <w:tc>
          <w:tcPr>
            <w:tcW w:w="1594" w:type="dxa"/>
            <w:noWrap w:val="0"/>
            <w:vAlign w:val="center"/>
          </w:tcPr>
          <w:p w14:paraId="505F4D8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bidi="ar"/>
              </w:rPr>
              <w:t>0.995</w:t>
            </w:r>
            <w:r>
              <w:rPr>
                <w:rFonts w:hint="eastAsia" w:cs="Times New Roman"/>
                <w:color w:val="auto"/>
                <w:sz w:val="21"/>
                <w:szCs w:val="21"/>
                <w:lang w:val="en-US" w:eastAsia="zh-CN"/>
              </w:rPr>
              <w:t>t/a</w:t>
            </w:r>
          </w:p>
        </w:tc>
        <w:tc>
          <w:tcPr>
            <w:tcW w:w="1802" w:type="dxa"/>
            <w:noWrap w:val="0"/>
            <w:vAlign w:val="center"/>
          </w:tcPr>
          <w:p w14:paraId="516943BA">
            <w:pPr>
              <w:spacing w:beforeLines="0" w:afterLines="0" w:line="200" w:lineRule="exact"/>
              <w:jc w:val="center"/>
              <w:rPr>
                <w:rFonts w:hint="default" w:ascii="Times New Roman" w:hAnsi="Times New Roman" w:eastAsia="宋体"/>
                <w:snapToGrid w:val="0"/>
                <w:color w:val="auto"/>
                <w:kern w:val="21"/>
                <w:sz w:val="21"/>
                <w:szCs w:val="21"/>
                <w:lang w:val="en-US" w:eastAsia="zh-CN" w:bidi="ar-SA"/>
              </w:rPr>
            </w:pPr>
            <w:r>
              <w:rPr>
                <w:rFonts w:hint="eastAsia" w:ascii="Times New Roman" w:hAnsi="Times New Roman" w:eastAsia="宋体" w:cs="宋体"/>
                <w:snapToGrid w:val="0"/>
                <w:color w:val="auto"/>
                <w:kern w:val="21"/>
                <w:sz w:val="21"/>
                <w:szCs w:val="21"/>
                <w:lang w:val="en-US" w:eastAsia="zh-CN"/>
              </w:rPr>
              <w:t>/</w:t>
            </w:r>
          </w:p>
        </w:tc>
        <w:tc>
          <w:tcPr>
            <w:tcW w:w="1763" w:type="dxa"/>
            <w:noWrap w:val="0"/>
            <w:vAlign w:val="center"/>
          </w:tcPr>
          <w:p w14:paraId="672D02A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bidi="ar"/>
              </w:rPr>
              <w:t>0.995</w:t>
            </w:r>
            <w:r>
              <w:rPr>
                <w:rFonts w:hint="eastAsia" w:cs="Times New Roman"/>
                <w:color w:val="auto"/>
                <w:sz w:val="21"/>
                <w:szCs w:val="21"/>
                <w:lang w:val="en-US" w:eastAsia="zh-CN"/>
              </w:rPr>
              <w:t>t/a</w:t>
            </w:r>
          </w:p>
        </w:tc>
        <w:tc>
          <w:tcPr>
            <w:tcW w:w="1387" w:type="dxa"/>
            <w:noWrap w:val="0"/>
            <w:vAlign w:val="center"/>
          </w:tcPr>
          <w:p w14:paraId="30E30DC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bidi="ar"/>
              </w:rPr>
              <w:t>0.995</w:t>
            </w:r>
            <w:r>
              <w:rPr>
                <w:rFonts w:hint="eastAsia" w:cs="Times New Roman"/>
                <w:color w:val="auto"/>
                <w:sz w:val="21"/>
                <w:szCs w:val="21"/>
                <w:lang w:val="en-US" w:eastAsia="zh-CN"/>
              </w:rPr>
              <w:t>t/a</w:t>
            </w:r>
          </w:p>
        </w:tc>
      </w:tr>
      <w:tr w14:paraId="42E4C38D">
        <w:trPr>
          <w:trHeight w:val="340" w:hRule="exact"/>
          <w:jc w:val="center"/>
        </w:trPr>
        <w:tc>
          <w:tcPr>
            <w:tcW w:w="1239" w:type="dxa"/>
            <w:vMerge w:val="continue"/>
            <w:noWrap w:val="0"/>
            <w:vAlign w:val="center"/>
          </w:tcPr>
          <w:p w14:paraId="6CE2456F">
            <w:pPr>
              <w:pStyle w:val="36"/>
              <w:spacing w:beforeLines="0" w:afterLines="0" w:line="240" w:lineRule="auto"/>
              <w:rPr>
                <w:rFonts w:ascii="Times New Roman" w:hAnsi="Times New Roman" w:eastAsia="宋体" w:cs="宋体"/>
                <w:snapToGrid w:val="0"/>
                <w:color w:val="auto"/>
                <w:kern w:val="21"/>
                <w:sz w:val="21"/>
                <w:szCs w:val="21"/>
              </w:rPr>
            </w:pPr>
          </w:p>
        </w:tc>
        <w:tc>
          <w:tcPr>
            <w:tcW w:w="2258" w:type="dxa"/>
            <w:gridSpan w:val="2"/>
            <w:noWrap w:val="0"/>
            <w:vAlign w:val="center"/>
          </w:tcPr>
          <w:p w14:paraId="15B31A0C">
            <w:pPr>
              <w:pStyle w:val="3"/>
              <w:spacing w:line="200" w:lineRule="exact"/>
              <w:ind w:firstLine="0" w:firstLineChars="0"/>
              <w:jc w:val="center"/>
              <w:rPr>
                <w:rFonts w:ascii="Times New Roman" w:hAnsi="Times New Roman" w:eastAsia="宋体"/>
                <w:color w:val="auto"/>
                <w:sz w:val="21"/>
                <w:szCs w:val="21"/>
              </w:rPr>
            </w:pPr>
            <w:r>
              <w:rPr>
                <w:rFonts w:ascii="Times New Roman" w:hAnsi="Times New Roman" w:eastAsia="宋体"/>
                <w:color w:val="auto"/>
                <w:sz w:val="21"/>
                <w:szCs w:val="21"/>
              </w:rPr>
              <w:t>NH</w:t>
            </w:r>
            <w:r>
              <w:rPr>
                <w:rFonts w:ascii="Times New Roman" w:hAnsi="Times New Roman" w:eastAsia="宋体"/>
                <w:color w:val="auto"/>
                <w:sz w:val="21"/>
                <w:szCs w:val="21"/>
                <w:vertAlign w:val="subscript"/>
              </w:rPr>
              <w:t>3</w:t>
            </w:r>
            <w:r>
              <w:rPr>
                <w:rFonts w:ascii="Times New Roman" w:hAnsi="Times New Roman" w:eastAsia="宋体"/>
                <w:color w:val="auto"/>
                <w:sz w:val="21"/>
                <w:szCs w:val="21"/>
              </w:rPr>
              <w:t>-N</w:t>
            </w:r>
          </w:p>
        </w:tc>
        <w:tc>
          <w:tcPr>
            <w:tcW w:w="1499" w:type="dxa"/>
            <w:noWrap w:val="0"/>
            <w:vAlign w:val="center"/>
          </w:tcPr>
          <w:p w14:paraId="7292BE63">
            <w:pPr>
              <w:pStyle w:val="36"/>
              <w:spacing w:beforeLines="0" w:afterLines="0" w:line="200" w:lineRule="exact"/>
              <w:jc w:val="center"/>
              <w:rPr>
                <w:rFonts w:hint="eastAsia" w:ascii="Times New Roman" w:hAnsi="Times New Roman" w:eastAsia="宋体"/>
                <w:snapToGrid w:val="0"/>
                <w:color w:val="auto"/>
                <w:kern w:val="21"/>
                <w:sz w:val="21"/>
                <w:szCs w:val="21"/>
                <w:lang w:val="en-US" w:eastAsia="zh-CN" w:bidi="ar-SA"/>
              </w:rPr>
            </w:pPr>
            <w:r>
              <w:rPr>
                <w:rFonts w:hint="eastAsia" w:ascii="Times New Roman" w:hAnsi="Times New Roman" w:eastAsia="宋体"/>
                <w:snapToGrid w:val="0"/>
                <w:color w:val="auto"/>
                <w:kern w:val="21"/>
                <w:sz w:val="21"/>
                <w:szCs w:val="21"/>
                <w:lang w:val="en-US" w:eastAsia="zh-CN"/>
              </w:rPr>
              <w:t>/</w:t>
            </w:r>
          </w:p>
        </w:tc>
        <w:tc>
          <w:tcPr>
            <w:tcW w:w="1114" w:type="dxa"/>
            <w:noWrap w:val="0"/>
            <w:vAlign w:val="center"/>
          </w:tcPr>
          <w:p w14:paraId="2060B391">
            <w:pPr>
              <w:pStyle w:val="36"/>
              <w:spacing w:beforeLines="0" w:afterLines="0" w:line="200" w:lineRule="exact"/>
              <w:jc w:val="center"/>
              <w:rPr>
                <w:rFonts w:hint="eastAsia" w:ascii="Times New Roman" w:hAnsi="Times New Roman" w:eastAsia="宋体"/>
                <w:snapToGrid w:val="0"/>
                <w:color w:val="auto"/>
                <w:kern w:val="21"/>
                <w:sz w:val="21"/>
                <w:szCs w:val="21"/>
                <w:lang w:val="en-US" w:eastAsia="zh-CN" w:bidi="ar-SA"/>
              </w:rPr>
            </w:pPr>
            <w:r>
              <w:rPr>
                <w:rFonts w:hint="eastAsia" w:ascii="Times New Roman" w:hAnsi="Times New Roman" w:eastAsia="宋体"/>
                <w:snapToGrid w:val="0"/>
                <w:color w:val="auto"/>
                <w:kern w:val="21"/>
                <w:sz w:val="21"/>
                <w:szCs w:val="21"/>
                <w:lang w:val="en-US" w:eastAsia="zh-CN"/>
              </w:rPr>
              <w:t>/</w:t>
            </w:r>
          </w:p>
        </w:tc>
        <w:tc>
          <w:tcPr>
            <w:tcW w:w="1739" w:type="dxa"/>
            <w:noWrap w:val="0"/>
            <w:vAlign w:val="center"/>
          </w:tcPr>
          <w:p w14:paraId="54099C09">
            <w:pPr>
              <w:pStyle w:val="36"/>
              <w:spacing w:beforeLines="0" w:afterLines="0" w:line="200" w:lineRule="exact"/>
              <w:jc w:val="center"/>
              <w:rPr>
                <w:rFonts w:hint="eastAsia" w:ascii="Times New Roman" w:hAnsi="Times New Roman" w:eastAsia="宋体"/>
                <w:snapToGrid w:val="0"/>
                <w:color w:val="auto"/>
                <w:kern w:val="21"/>
                <w:sz w:val="21"/>
                <w:szCs w:val="21"/>
                <w:lang w:val="en-US" w:eastAsia="zh-CN" w:bidi="ar-SA"/>
              </w:rPr>
            </w:pPr>
            <w:r>
              <w:rPr>
                <w:rFonts w:hint="eastAsia" w:ascii="Times New Roman" w:hAnsi="Times New Roman" w:eastAsia="宋体"/>
                <w:snapToGrid w:val="0"/>
                <w:color w:val="auto"/>
                <w:kern w:val="21"/>
                <w:sz w:val="21"/>
                <w:szCs w:val="21"/>
                <w:lang w:val="en-US" w:eastAsia="zh-CN"/>
              </w:rPr>
              <w:t>/</w:t>
            </w:r>
          </w:p>
        </w:tc>
        <w:tc>
          <w:tcPr>
            <w:tcW w:w="1594" w:type="dxa"/>
            <w:noWrap w:val="0"/>
            <w:vAlign w:val="center"/>
          </w:tcPr>
          <w:p w14:paraId="05F765E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192</w:t>
            </w:r>
            <w:r>
              <w:rPr>
                <w:rFonts w:hint="eastAsia" w:cs="Times New Roman"/>
                <w:color w:val="auto"/>
                <w:sz w:val="21"/>
                <w:szCs w:val="21"/>
                <w:lang w:val="en-US" w:eastAsia="zh-CN"/>
              </w:rPr>
              <w:t>t/a</w:t>
            </w:r>
          </w:p>
        </w:tc>
        <w:tc>
          <w:tcPr>
            <w:tcW w:w="1802" w:type="dxa"/>
            <w:noWrap w:val="0"/>
            <w:vAlign w:val="center"/>
          </w:tcPr>
          <w:p w14:paraId="49B01456">
            <w:pPr>
              <w:spacing w:beforeLines="0" w:afterLines="0" w:line="200" w:lineRule="exact"/>
              <w:jc w:val="center"/>
              <w:rPr>
                <w:rFonts w:hint="default" w:ascii="Times New Roman" w:hAnsi="Times New Roman" w:eastAsia="宋体"/>
                <w:snapToGrid w:val="0"/>
                <w:color w:val="auto"/>
                <w:kern w:val="21"/>
                <w:sz w:val="21"/>
                <w:szCs w:val="21"/>
                <w:lang w:val="en-US" w:eastAsia="zh-CN" w:bidi="ar-SA"/>
              </w:rPr>
            </w:pPr>
            <w:r>
              <w:rPr>
                <w:rFonts w:hint="eastAsia" w:ascii="Times New Roman" w:hAnsi="Times New Roman" w:eastAsia="宋体" w:cs="宋体"/>
                <w:snapToGrid w:val="0"/>
                <w:color w:val="auto"/>
                <w:kern w:val="21"/>
                <w:sz w:val="21"/>
                <w:szCs w:val="21"/>
                <w:lang w:val="en-US" w:eastAsia="zh-CN"/>
              </w:rPr>
              <w:t>/</w:t>
            </w:r>
          </w:p>
        </w:tc>
        <w:tc>
          <w:tcPr>
            <w:tcW w:w="1763" w:type="dxa"/>
            <w:noWrap w:val="0"/>
            <w:vAlign w:val="center"/>
          </w:tcPr>
          <w:p w14:paraId="6FD04EB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192</w:t>
            </w:r>
            <w:r>
              <w:rPr>
                <w:rFonts w:hint="eastAsia" w:cs="Times New Roman"/>
                <w:color w:val="auto"/>
                <w:sz w:val="21"/>
                <w:szCs w:val="21"/>
                <w:lang w:val="en-US" w:eastAsia="zh-CN"/>
              </w:rPr>
              <w:t>t/a</w:t>
            </w:r>
          </w:p>
        </w:tc>
        <w:tc>
          <w:tcPr>
            <w:tcW w:w="1387" w:type="dxa"/>
            <w:noWrap w:val="0"/>
            <w:vAlign w:val="center"/>
          </w:tcPr>
          <w:p w14:paraId="3340407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192</w:t>
            </w:r>
            <w:r>
              <w:rPr>
                <w:rFonts w:hint="eastAsia" w:cs="Times New Roman"/>
                <w:color w:val="auto"/>
                <w:sz w:val="21"/>
                <w:szCs w:val="21"/>
                <w:lang w:val="en-US" w:eastAsia="zh-CN"/>
              </w:rPr>
              <w:t>t/a</w:t>
            </w:r>
          </w:p>
        </w:tc>
      </w:tr>
      <w:tr w14:paraId="6A6F363F">
        <w:trPr>
          <w:trHeight w:val="340" w:hRule="exact"/>
          <w:jc w:val="center"/>
        </w:trPr>
        <w:tc>
          <w:tcPr>
            <w:tcW w:w="1239" w:type="dxa"/>
            <w:vMerge w:val="continue"/>
            <w:noWrap w:val="0"/>
            <w:vAlign w:val="center"/>
          </w:tcPr>
          <w:p w14:paraId="3913CC11">
            <w:pPr>
              <w:pStyle w:val="36"/>
              <w:spacing w:beforeLines="0" w:afterLines="0" w:line="240" w:lineRule="auto"/>
              <w:rPr>
                <w:rFonts w:ascii="Times New Roman" w:hAnsi="Times New Roman" w:eastAsia="宋体" w:cs="宋体"/>
                <w:snapToGrid w:val="0"/>
                <w:color w:val="auto"/>
                <w:kern w:val="21"/>
                <w:sz w:val="21"/>
                <w:szCs w:val="21"/>
              </w:rPr>
            </w:pPr>
          </w:p>
        </w:tc>
        <w:tc>
          <w:tcPr>
            <w:tcW w:w="2258" w:type="dxa"/>
            <w:gridSpan w:val="2"/>
            <w:noWrap w:val="0"/>
            <w:vAlign w:val="center"/>
          </w:tcPr>
          <w:p w14:paraId="02C378C0">
            <w:pPr>
              <w:pStyle w:val="3"/>
              <w:spacing w:line="200" w:lineRule="exact"/>
              <w:ind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rPr>
              <w:t>TN</w:t>
            </w:r>
          </w:p>
        </w:tc>
        <w:tc>
          <w:tcPr>
            <w:tcW w:w="1499" w:type="dxa"/>
            <w:noWrap w:val="0"/>
            <w:vAlign w:val="center"/>
          </w:tcPr>
          <w:p w14:paraId="32109ECB">
            <w:pPr>
              <w:pStyle w:val="36"/>
              <w:spacing w:beforeLines="0" w:afterLines="0" w:line="200" w:lineRule="exact"/>
              <w:jc w:val="center"/>
              <w:rPr>
                <w:rFonts w:hint="eastAsia" w:ascii="Times New Roman" w:hAnsi="Times New Roman" w:eastAsia="宋体"/>
                <w:snapToGrid w:val="0"/>
                <w:color w:val="auto"/>
                <w:kern w:val="21"/>
                <w:sz w:val="21"/>
                <w:szCs w:val="21"/>
                <w:lang w:val="en-US" w:eastAsia="zh-CN" w:bidi="ar-SA"/>
              </w:rPr>
            </w:pPr>
            <w:r>
              <w:rPr>
                <w:rFonts w:hint="eastAsia" w:ascii="Times New Roman" w:hAnsi="Times New Roman" w:eastAsia="宋体"/>
                <w:snapToGrid w:val="0"/>
                <w:color w:val="auto"/>
                <w:kern w:val="21"/>
                <w:sz w:val="21"/>
                <w:szCs w:val="21"/>
                <w:lang w:val="en-US" w:eastAsia="zh-CN"/>
              </w:rPr>
              <w:t>/</w:t>
            </w:r>
          </w:p>
        </w:tc>
        <w:tc>
          <w:tcPr>
            <w:tcW w:w="1114" w:type="dxa"/>
            <w:noWrap w:val="0"/>
            <w:vAlign w:val="center"/>
          </w:tcPr>
          <w:p w14:paraId="008710CE">
            <w:pPr>
              <w:pStyle w:val="36"/>
              <w:spacing w:beforeLines="0" w:afterLines="0" w:line="200" w:lineRule="exact"/>
              <w:jc w:val="center"/>
              <w:rPr>
                <w:rFonts w:hint="eastAsia" w:ascii="Times New Roman" w:hAnsi="Times New Roman" w:eastAsia="宋体"/>
                <w:snapToGrid w:val="0"/>
                <w:color w:val="auto"/>
                <w:kern w:val="21"/>
                <w:sz w:val="21"/>
                <w:szCs w:val="21"/>
                <w:lang w:val="en-US" w:eastAsia="zh-CN" w:bidi="ar-SA"/>
              </w:rPr>
            </w:pPr>
            <w:r>
              <w:rPr>
                <w:rFonts w:hint="eastAsia" w:ascii="Times New Roman" w:hAnsi="Times New Roman" w:eastAsia="宋体"/>
                <w:snapToGrid w:val="0"/>
                <w:color w:val="auto"/>
                <w:kern w:val="21"/>
                <w:sz w:val="21"/>
                <w:szCs w:val="21"/>
                <w:lang w:val="en-US" w:eastAsia="zh-CN"/>
              </w:rPr>
              <w:t>/</w:t>
            </w:r>
          </w:p>
        </w:tc>
        <w:tc>
          <w:tcPr>
            <w:tcW w:w="1739" w:type="dxa"/>
            <w:noWrap w:val="0"/>
            <w:vAlign w:val="center"/>
          </w:tcPr>
          <w:p w14:paraId="69E7C921">
            <w:pPr>
              <w:pStyle w:val="36"/>
              <w:spacing w:beforeLines="0" w:afterLines="0" w:line="200" w:lineRule="exact"/>
              <w:jc w:val="center"/>
              <w:rPr>
                <w:rFonts w:hint="eastAsia" w:ascii="Times New Roman" w:hAnsi="Times New Roman" w:eastAsia="宋体"/>
                <w:snapToGrid w:val="0"/>
                <w:color w:val="auto"/>
                <w:kern w:val="21"/>
                <w:sz w:val="21"/>
                <w:szCs w:val="21"/>
                <w:lang w:val="en-US" w:eastAsia="zh-CN" w:bidi="ar-SA"/>
              </w:rPr>
            </w:pPr>
            <w:r>
              <w:rPr>
                <w:rFonts w:hint="eastAsia" w:ascii="Times New Roman" w:hAnsi="Times New Roman" w:eastAsia="宋体"/>
                <w:snapToGrid w:val="0"/>
                <w:color w:val="auto"/>
                <w:kern w:val="21"/>
                <w:sz w:val="21"/>
                <w:szCs w:val="21"/>
                <w:lang w:val="en-US" w:eastAsia="zh-CN"/>
              </w:rPr>
              <w:t>/</w:t>
            </w:r>
          </w:p>
        </w:tc>
        <w:tc>
          <w:tcPr>
            <w:tcW w:w="1594" w:type="dxa"/>
            <w:noWrap w:val="0"/>
            <w:vAlign w:val="center"/>
          </w:tcPr>
          <w:p w14:paraId="05F0ABC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945</w:t>
            </w:r>
            <w:r>
              <w:rPr>
                <w:rFonts w:hint="eastAsia" w:cs="Times New Roman"/>
                <w:color w:val="auto"/>
                <w:sz w:val="21"/>
                <w:szCs w:val="21"/>
                <w:lang w:val="en-US" w:eastAsia="zh-CN"/>
              </w:rPr>
              <w:t>t/a</w:t>
            </w:r>
          </w:p>
        </w:tc>
        <w:tc>
          <w:tcPr>
            <w:tcW w:w="1802" w:type="dxa"/>
            <w:noWrap w:val="0"/>
            <w:vAlign w:val="center"/>
          </w:tcPr>
          <w:p w14:paraId="0D4A5318">
            <w:pPr>
              <w:spacing w:beforeLines="0" w:afterLines="0" w:line="200" w:lineRule="exact"/>
              <w:jc w:val="center"/>
              <w:rPr>
                <w:rFonts w:hint="default" w:ascii="Times New Roman" w:hAnsi="Times New Roman" w:eastAsia="宋体"/>
                <w:snapToGrid w:val="0"/>
                <w:color w:val="auto"/>
                <w:kern w:val="21"/>
                <w:sz w:val="21"/>
                <w:szCs w:val="21"/>
                <w:lang w:val="en-US" w:eastAsia="zh-CN" w:bidi="ar-SA"/>
              </w:rPr>
            </w:pPr>
            <w:r>
              <w:rPr>
                <w:rFonts w:hint="eastAsia" w:ascii="Times New Roman" w:hAnsi="Times New Roman" w:eastAsia="宋体" w:cs="宋体"/>
                <w:snapToGrid w:val="0"/>
                <w:color w:val="auto"/>
                <w:kern w:val="21"/>
                <w:sz w:val="21"/>
                <w:szCs w:val="21"/>
                <w:lang w:val="en-US" w:eastAsia="zh-CN"/>
              </w:rPr>
              <w:t>/</w:t>
            </w:r>
          </w:p>
        </w:tc>
        <w:tc>
          <w:tcPr>
            <w:tcW w:w="1763" w:type="dxa"/>
            <w:noWrap w:val="0"/>
            <w:vAlign w:val="center"/>
          </w:tcPr>
          <w:p w14:paraId="4FB4160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945</w:t>
            </w:r>
            <w:r>
              <w:rPr>
                <w:rFonts w:hint="eastAsia" w:cs="Times New Roman"/>
                <w:color w:val="auto"/>
                <w:sz w:val="21"/>
                <w:szCs w:val="21"/>
                <w:lang w:val="en-US" w:eastAsia="zh-CN"/>
              </w:rPr>
              <w:t>t/a</w:t>
            </w:r>
          </w:p>
        </w:tc>
        <w:tc>
          <w:tcPr>
            <w:tcW w:w="1387" w:type="dxa"/>
            <w:noWrap w:val="0"/>
            <w:vAlign w:val="center"/>
          </w:tcPr>
          <w:p w14:paraId="35F7EF9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945</w:t>
            </w:r>
            <w:r>
              <w:rPr>
                <w:rFonts w:hint="eastAsia" w:cs="Times New Roman"/>
                <w:color w:val="auto"/>
                <w:sz w:val="21"/>
                <w:szCs w:val="21"/>
                <w:lang w:val="en-US" w:eastAsia="zh-CN"/>
              </w:rPr>
              <w:t>t/a</w:t>
            </w:r>
          </w:p>
        </w:tc>
      </w:tr>
      <w:tr w14:paraId="6169F30B">
        <w:trPr>
          <w:trHeight w:val="340" w:hRule="exact"/>
          <w:jc w:val="center"/>
        </w:trPr>
        <w:tc>
          <w:tcPr>
            <w:tcW w:w="1239" w:type="dxa"/>
            <w:vMerge w:val="continue"/>
            <w:noWrap w:val="0"/>
            <w:vAlign w:val="center"/>
          </w:tcPr>
          <w:p w14:paraId="609F8D80">
            <w:pPr>
              <w:pStyle w:val="36"/>
              <w:spacing w:beforeLines="0" w:afterLines="0" w:line="240" w:lineRule="auto"/>
              <w:rPr>
                <w:rFonts w:ascii="Times New Roman" w:hAnsi="Times New Roman" w:eastAsia="宋体" w:cs="宋体"/>
                <w:snapToGrid w:val="0"/>
                <w:color w:val="auto"/>
                <w:kern w:val="21"/>
                <w:sz w:val="21"/>
                <w:szCs w:val="21"/>
              </w:rPr>
            </w:pPr>
          </w:p>
        </w:tc>
        <w:tc>
          <w:tcPr>
            <w:tcW w:w="2258" w:type="dxa"/>
            <w:gridSpan w:val="2"/>
            <w:noWrap w:val="0"/>
            <w:vAlign w:val="center"/>
          </w:tcPr>
          <w:p w14:paraId="6E9C2E70">
            <w:pPr>
              <w:pStyle w:val="3"/>
              <w:spacing w:line="200" w:lineRule="exact"/>
              <w:ind w:firstLine="0" w:firstLineChars="0"/>
              <w:jc w:val="center"/>
              <w:rPr>
                <w:rFonts w:ascii="Times New Roman" w:hAnsi="Times New Roman" w:eastAsia="宋体"/>
                <w:color w:val="auto"/>
                <w:sz w:val="21"/>
                <w:szCs w:val="21"/>
              </w:rPr>
            </w:pPr>
            <w:r>
              <w:rPr>
                <w:rFonts w:ascii="Times New Roman" w:hAnsi="Times New Roman" w:eastAsia="宋体"/>
                <w:color w:val="auto"/>
                <w:sz w:val="21"/>
                <w:szCs w:val="21"/>
              </w:rPr>
              <w:t>TP</w:t>
            </w:r>
          </w:p>
        </w:tc>
        <w:tc>
          <w:tcPr>
            <w:tcW w:w="1499" w:type="dxa"/>
            <w:noWrap w:val="0"/>
            <w:vAlign w:val="center"/>
          </w:tcPr>
          <w:p w14:paraId="4482FAC5">
            <w:pPr>
              <w:pStyle w:val="36"/>
              <w:spacing w:beforeLines="0" w:afterLines="0" w:line="200" w:lineRule="exact"/>
              <w:jc w:val="center"/>
              <w:rPr>
                <w:rFonts w:hint="eastAsia" w:ascii="Times New Roman" w:hAnsi="Times New Roman" w:eastAsia="宋体"/>
                <w:snapToGrid w:val="0"/>
                <w:color w:val="auto"/>
                <w:kern w:val="21"/>
                <w:sz w:val="21"/>
                <w:szCs w:val="21"/>
                <w:lang w:val="en-US" w:eastAsia="zh-CN" w:bidi="ar-SA"/>
              </w:rPr>
            </w:pPr>
            <w:r>
              <w:rPr>
                <w:rFonts w:hint="eastAsia" w:ascii="Times New Roman" w:hAnsi="Times New Roman" w:eastAsia="宋体"/>
                <w:snapToGrid w:val="0"/>
                <w:color w:val="auto"/>
                <w:kern w:val="21"/>
                <w:sz w:val="21"/>
                <w:szCs w:val="21"/>
                <w:lang w:val="en-US" w:eastAsia="zh-CN"/>
              </w:rPr>
              <w:t>/</w:t>
            </w:r>
          </w:p>
        </w:tc>
        <w:tc>
          <w:tcPr>
            <w:tcW w:w="1114" w:type="dxa"/>
            <w:noWrap w:val="0"/>
            <w:vAlign w:val="center"/>
          </w:tcPr>
          <w:p w14:paraId="63EDEA97">
            <w:pPr>
              <w:pStyle w:val="36"/>
              <w:spacing w:beforeLines="0" w:afterLines="0" w:line="200" w:lineRule="exact"/>
              <w:jc w:val="center"/>
              <w:rPr>
                <w:rFonts w:hint="eastAsia" w:ascii="Times New Roman" w:hAnsi="Times New Roman" w:eastAsia="宋体"/>
                <w:snapToGrid w:val="0"/>
                <w:color w:val="auto"/>
                <w:kern w:val="21"/>
                <w:sz w:val="21"/>
                <w:szCs w:val="21"/>
                <w:lang w:val="en-US" w:eastAsia="zh-CN" w:bidi="ar-SA"/>
              </w:rPr>
            </w:pPr>
            <w:r>
              <w:rPr>
                <w:rFonts w:hint="eastAsia" w:ascii="Times New Roman" w:hAnsi="Times New Roman" w:eastAsia="宋体"/>
                <w:snapToGrid w:val="0"/>
                <w:color w:val="auto"/>
                <w:kern w:val="21"/>
                <w:sz w:val="21"/>
                <w:szCs w:val="21"/>
                <w:lang w:val="en-US" w:eastAsia="zh-CN"/>
              </w:rPr>
              <w:t>/</w:t>
            </w:r>
          </w:p>
        </w:tc>
        <w:tc>
          <w:tcPr>
            <w:tcW w:w="1739" w:type="dxa"/>
            <w:noWrap w:val="0"/>
            <w:vAlign w:val="center"/>
          </w:tcPr>
          <w:p w14:paraId="4614A9D1">
            <w:pPr>
              <w:pStyle w:val="36"/>
              <w:spacing w:beforeLines="0" w:afterLines="0" w:line="200" w:lineRule="exact"/>
              <w:jc w:val="center"/>
              <w:rPr>
                <w:rFonts w:hint="eastAsia" w:ascii="Times New Roman" w:hAnsi="Times New Roman" w:eastAsia="宋体"/>
                <w:snapToGrid w:val="0"/>
                <w:color w:val="auto"/>
                <w:kern w:val="21"/>
                <w:sz w:val="21"/>
                <w:szCs w:val="21"/>
                <w:lang w:val="en-US" w:eastAsia="zh-CN" w:bidi="ar-SA"/>
              </w:rPr>
            </w:pPr>
            <w:r>
              <w:rPr>
                <w:rFonts w:hint="eastAsia" w:ascii="Times New Roman" w:hAnsi="Times New Roman" w:eastAsia="宋体"/>
                <w:snapToGrid w:val="0"/>
                <w:color w:val="auto"/>
                <w:kern w:val="21"/>
                <w:sz w:val="21"/>
                <w:szCs w:val="21"/>
                <w:lang w:val="en-US" w:eastAsia="zh-CN"/>
              </w:rPr>
              <w:t>/</w:t>
            </w:r>
          </w:p>
        </w:tc>
        <w:tc>
          <w:tcPr>
            <w:tcW w:w="1594" w:type="dxa"/>
            <w:noWrap w:val="0"/>
            <w:vAlign w:val="center"/>
          </w:tcPr>
          <w:p w14:paraId="02B04FE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5</w:t>
            </w:r>
            <w:r>
              <w:rPr>
                <w:rFonts w:hint="eastAsia" w:cs="Times New Roman"/>
                <w:color w:val="auto"/>
                <w:sz w:val="21"/>
                <w:szCs w:val="21"/>
                <w:lang w:val="en-US" w:eastAsia="zh-CN"/>
              </w:rPr>
              <w:t>t/a</w:t>
            </w:r>
          </w:p>
        </w:tc>
        <w:tc>
          <w:tcPr>
            <w:tcW w:w="1802" w:type="dxa"/>
            <w:noWrap w:val="0"/>
            <w:vAlign w:val="center"/>
          </w:tcPr>
          <w:p w14:paraId="24845A41">
            <w:pPr>
              <w:spacing w:beforeLines="0" w:afterLines="0" w:line="200" w:lineRule="exact"/>
              <w:jc w:val="center"/>
              <w:rPr>
                <w:rFonts w:hint="default" w:ascii="Times New Roman" w:hAnsi="Times New Roman" w:eastAsia="宋体"/>
                <w:snapToGrid w:val="0"/>
                <w:color w:val="auto"/>
                <w:kern w:val="21"/>
                <w:sz w:val="21"/>
                <w:szCs w:val="21"/>
                <w:lang w:val="en-US" w:eastAsia="zh-CN" w:bidi="ar-SA"/>
              </w:rPr>
            </w:pPr>
            <w:r>
              <w:rPr>
                <w:rFonts w:hint="eastAsia" w:ascii="Times New Roman" w:hAnsi="Times New Roman" w:eastAsia="宋体" w:cs="宋体"/>
                <w:snapToGrid w:val="0"/>
                <w:color w:val="auto"/>
                <w:kern w:val="21"/>
                <w:sz w:val="21"/>
                <w:szCs w:val="21"/>
                <w:lang w:val="en-US" w:eastAsia="zh-CN"/>
              </w:rPr>
              <w:t>/</w:t>
            </w:r>
          </w:p>
        </w:tc>
        <w:tc>
          <w:tcPr>
            <w:tcW w:w="1763" w:type="dxa"/>
            <w:noWrap w:val="0"/>
            <w:vAlign w:val="center"/>
          </w:tcPr>
          <w:p w14:paraId="48C13B3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5</w:t>
            </w:r>
            <w:r>
              <w:rPr>
                <w:rFonts w:hint="eastAsia" w:cs="Times New Roman"/>
                <w:color w:val="auto"/>
                <w:sz w:val="21"/>
                <w:szCs w:val="21"/>
                <w:lang w:val="en-US" w:eastAsia="zh-CN"/>
              </w:rPr>
              <w:t>t/a</w:t>
            </w:r>
          </w:p>
        </w:tc>
        <w:tc>
          <w:tcPr>
            <w:tcW w:w="1387" w:type="dxa"/>
            <w:noWrap w:val="0"/>
            <w:vAlign w:val="center"/>
          </w:tcPr>
          <w:p w14:paraId="41488B6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5</w:t>
            </w:r>
            <w:r>
              <w:rPr>
                <w:rFonts w:hint="eastAsia" w:cs="Times New Roman"/>
                <w:color w:val="auto"/>
                <w:sz w:val="21"/>
                <w:szCs w:val="21"/>
                <w:lang w:val="en-US" w:eastAsia="zh-CN"/>
              </w:rPr>
              <w:t>t/a</w:t>
            </w:r>
          </w:p>
        </w:tc>
      </w:tr>
      <w:tr w14:paraId="497F6C58">
        <w:trPr>
          <w:trHeight w:val="340" w:hRule="exact"/>
          <w:jc w:val="center"/>
        </w:trPr>
        <w:tc>
          <w:tcPr>
            <w:tcW w:w="1239" w:type="dxa"/>
            <w:vMerge w:val="continue"/>
            <w:noWrap w:val="0"/>
            <w:vAlign w:val="center"/>
          </w:tcPr>
          <w:p w14:paraId="3813E48F">
            <w:pPr>
              <w:pStyle w:val="36"/>
              <w:spacing w:beforeLines="0" w:afterLines="0" w:line="240" w:lineRule="auto"/>
              <w:rPr>
                <w:rFonts w:ascii="Times New Roman" w:hAnsi="Times New Roman" w:eastAsia="宋体" w:cs="宋体"/>
                <w:snapToGrid w:val="0"/>
                <w:color w:val="auto"/>
                <w:kern w:val="21"/>
                <w:sz w:val="21"/>
                <w:szCs w:val="21"/>
              </w:rPr>
            </w:pPr>
          </w:p>
        </w:tc>
        <w:tc>
          <w:tcPr>
            <w:tcW w:w="2258" w:type="dxa"/>
            <w:gridSpan w:val="2"/>
            <w:noWrap w:val="0"/>
            <w:vAlign w:val="bottom"/>
          </w:tcPr>
          <w:p w14:paraId="2CC76792">
            <w:pPr>
              <w:pStyle w:val="17"/>
              <w:spacing w:line="240" w:lineRule="auto"/>
              <w:ind w:left="0" w:leftChars="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s="Times New Roman"/>
                <w:b w:val="0"/>
                <w:color w:val="auto"/>
                <w:sz w:val="21"/>
                <w:szCs w:val="18"/>
                <w:lang w:val="en-US" w:eastAsia="zh-CN"/>
              </w:rPr>
              <w:t>动植物油</w:t>
            </w:r>
          </w:p>
        </w:tc>
        <w:tc>
          <w:tcPr>
            <w:tcW w:w="1499" w:type="dxa"/>
            <w:noWrap w:val="0"/>
            <w:vAlign w:val="center"/>
          </w:tcPr>
          <w:p w14:paraId="5EF07F30">
            <w:pPr>
              <w:spacing w:beforeLines="0" w:afterLines="0" w:line="200" w:lineRule="exact"/>
              <w:jc w:val="center"/>
              <w:rPr>
                <w:rFonts w:hint="eastAsia" w:ascii="Times New Roman" w:hAnsi="Times New Roman" w:eastAsia="宋体"/>
                <w:snapToGrid w:val="0"/>
                <w:color w:val="auto"/>
                <w:kern w:val="21"/>
                <w:sz w:val="21"/>
                <w:szCs w:val="21"/>
                <w:lang w:val="en-US" w:eastAsia="zh-CN"/>
              </w:rPr>
            </w:pPr>
            <w:r>
              <w:rPr>
                <w:rFonts w:hint="eastAsia" w:ascii="Times New Roman" w:hAnsi="Times New Roman" w:eastAsia="宋体"/>
                <w:snapToGrid w:val="0"/>
                <w:color w:val="auto"/>
                <w:kern w:val="21"/>
                <w:sz w:val="21"/>
                <w:szCs w:val="21"/>
                <w:lang w:val="en-US" w:eastAsia="zh-CN"/>
              </w:rPr>
              <w:t>/</w:t>
            </w:r>
          </w:p>
        </w:tc>
        <w:tc>
          <w:tcPr>
            <w:tcW w:w="1114" w:type="dxa"/>
            <w:noWrap w:val="0"/>
            <w:vAlign w:val="center"/>
          </w:tcPr>
          <w:p w14:paraId="5D749A0B">
            <w:pPr>
              <w:spacing w:beforeLines="0" w:afterLines="0" w:line="200" w:lineRule="exact"/>
              <w:jc w:val="center"/>
              <w:rPr>
                <w:rFonts w:hint="eastAsia" w:ascii="Times New Roman" w:hAnsi="Times New Roman" w:eastAsia="宋体"/>
                <w:snapToGrid w:val="0"/>
                <w:color w:val="auto"/>
                <w:kern w:val="21"/>
                <w:sz w:val="21"/>
                <w:szCs w:val="21"/>
                <w:lang w:val="en-US" w:eastAsia="zh-CN"/>
              </w:rPr>
            </w:pPr>
            <w:r>
              <w:rPr>
                <w:rFonts w:hint="eastAsia" w:ascii="Times New Roman" w:hAnsi="Times New Roman" w:eastAsia="宋体"/>
                <w:snapToGrid w:val="0"/>
                <w:color w:val="auto"/>
                <w:kern w:val="21"/>
                <w:sz w:val="21"/>
                <w:szCs w:val="21"/>
                <w:lang w:val="en-US" w:eastAsia="zh-CN"/>
              </w:rPr>
              <w:t>/</w:t>
            </w:r>
          </w:p>
        </w:tc>
        <w:tc>
          <w:tcPr>
            <w:tcW w:w="1739" w:type="dxa"/>
            <w:noWrap w:val="0"/>
            <w:vAlign w:val="center"/>
          </w:tcPr>
          <w:p w14:paraId="0F80ECD8">
            <w:pPr>
              <w:spacing w:beforeLines="0" w:afterLines="0" w:line="200" w:lineRule="exact"/>
              <w:jc w:val="center"/>
              <w:rPr>
                <w:rFonts w:hint="eastAsia" w:ascii="Times New Roman" w:hAnsi="Times New Roman" w:eastAsia="宋体"/>
                <w:snapToGrid w:val="0"/>
                <w:color w:val="auto"/>
                <w:kern w:val="21"/>
                <w:sz w:val="21"/>
                <w:szCs w:val="21"/>
                <w:lang w:val="en-US" w:eastAsia="zh-CN"/>
              </w:rPr>
            </w:pPr>
            <w:r>
              <w:rPr>
                <w:rFonts w:hint="eastAsia" w:ascii="Times New Roman" w:hAnsi="Times New Roman" w:eastAsia="宋体"/>
                <w:snapToGrid w:val="0"/>
                <w:color w:val="auto"/>
                <w:kern w:val="21"/>
                <w:sz w:val="21"/>
                <w:szCs w:val="21"/>
                <w:lang w:val="en-US" w:eastAsia="zh-CN"/>
              </w:rPr>
              <w:t>/</w:t>
            </w:r>
          </w:p>
        </w:tc>
        <w:tc>
          <w:tcPr>
            <w:tcW w:w="1594" w:type="dxa"/>
            <w:noWrap w:val="0"/>
            <w:vAlign w:val="center"/>
          </w:tcPr>
          <w:p w14:paraId="75B6BA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0.02t/a</w:t>
            </w:r>
          </w:p>
        </w:tc>
        <w:tc>
          <w:tcPr>
            <w:tcW w:w="1802" w:type="dxa"/>
            <w:noWrap w:val="0"/>
            <w:vAlign w:val="center"/>
          </w:tcPr>
          <w:p w14:paraId="55FB9CFC">
            <w:pPr>
              <w:spacing w:beforeLines="0" w:afterLines="0" w:line="200" w:lineRule="exact"/>
              <w:jc w:val="center"/>
              <w:rPr>
                <w:rFonts w:hint="eastAsia" w:ascii="Times New Roman" w:hAnsi="Times New Roman" w:eastAsia="宋体"/>
                <w:snapToGrid w:val="0"/>
                <w:color w:val="auto"/>
                <w:kern w:val="21"/>
                <w:sz w:val="21"/>
                <w:szCs w:val="21"/>
                <w:lang w:val="en-US" w:eastAsia="zh-CN"/>
              </w:rPr>
            </w:pPr>
            <w:r>
              <w:rPr>
                <w:rFonts w:hint="eastAsia" w:ascii="Times New Roman" w:hAnsi="Times New Roman" w:eastAsia="宋体" w:cs="宋体"/>
                <w:snapToGrid w:val="0"/>
                <w:color w:val="auto"/>
                <w:kern w:val="21"/>
                <w:sz w:val="21"/>
                <w:szCs w:val="21"/>
                <w:lang w:val="en-US" w:eastAsia="zh-CN"/>
              </w:rPr>
              <w:t>/</w:t>
            </w:r>
          </w:p>
        </w:tc>
        <w:tc>
          <w:tcPr>
            <w:tcW w:w="1763" w:type="dxa"/>
            <w:noWrap w:val="0"/>
            <w:vAlign w:val="center"/>
          </w:tcPr>
          <w:p w14:paraId="49239EF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0.02t/a</w:t>
            </w:r>
          </w:p>
        </w:tc>
        <w:tc>
          <w:tcPr>
            <w:tcW w:w="1387" w:type="dxa"/>
            <w:noWrap w:val="0"/>
            <w:vAlign w:val="center"/>
          </w:tcPr>
          <w:p w14:paraId="51A1A9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0.02t/a</w:t>
            </w:r>
          </w:p>
        </w:tc>
      </w:tr>
      <w:tr w14:paraId="7863A38E">
        <w:trPr>
          <w:trHeight w:val="340" w:hRule="exact"/>
          <w:jc w:val="center"/>
        </w:trPr>
        <w:tc>
          <w:tcPr>
            <w:tcW w:w="1239" w:type="dxa"/>
            <w:vMerge w:val="restart"/>
            <w:noWrap w:val="0"/>
            <w:vAlign w:val="center"/>
          </w:tcPr>
          <w:p w14:paraId="3FBCE201">
            <w:pPr>
              <w:pStyle w:val="36"/>
              <w:spacing w:beforeLines="0" w:afterLines="0" w:line="240" w:lineRule="auto"/>
              <w:rPr>
                <w:rFonts w:ascii="Times New Roman" w:hAnsi="Times New Roman" w:eastAsia="宋体" w:cs="宋体"/>
                <w:snapToGrid w:val="0"/>
                <w:color w:val="auto"/>
                <w:kern w:val="21"/>
                <w:sz w:val="21"/>
                <w:szCs w:val="21"/>
              </w:rPr>
            </w:pPr>
            <w:r>
              <w:rPr>
                <w:rFonts w:hint="eastAsia" w:ascii="Times New Roman" w:hAnsi="Times New Roman" w:eastAsia="宋体" w:cs="宋体"/>
                <w:snapToGrid w:val="0"/>
                <w:color w:val="auto"/>
                <w:kern w:val="21"/>
                <w:sz w:val="21"/>
                <w:szCs w:val="21"/>
              </w:rPr>
              <w:t>一般工业</w:t>
            </w:r>
          </w:p>
          <w:p w14:paraId="0FF3CF19">
            <w:pPr>
              <w:pStyle w:val="36"/>
              <w:spacing w:beforeLines="0" w:afterLines="0" w:line="240" w:lineRule="auto"/>
              <w:rPr>
                <w:rFonts w:ascii="Times New Roman" w:hAnsi="Times New Roman" w:eastAsia="宋体" w:cs="宋体"/>
                <w:snapToGrid w:val="0"/>
                <w:color w:val="auto"/>
                <w:kern w:val="21"/>
                <w:sz w:val="21"/>
                <w:szCs w:val="21"/>
              </w:rPr>
            </w:pPr>
            <w:r>
              <w:rPr>
                <w:rFonts w:hint="eastAsia" w:ascii="Times New Roman" w:hAnsi="Times New Roman" w:eastAsia="宋体" w:cs="宋体"/>
                <w:snapToGrid w:val="0"/>
                <w:color w:val="auto"/>
                <w:kern w:val="21"/>
                <w:sz w:val="21"/>
                <w:szCs w:val="21"/>
              </w:rPr>
              <w:t>固体废物</w:t>
            </w:r>
          </w:p>
        </w:tc>
        <w:tc>
          <w:tcPr>
            <w:tcW w:w="2258" w:type="dxa"/>
            <w:gridSpan w:val="2"/>
            <w:noWrap w:val="0"/>
            <w:vAlign w:val="center"/>
          </w:tcPr>
          <w:p w14:paraId="4D938797">
            <w:pPr>
              <w:pStyle w:val="17"/>
              <w:spacing w:line="240" w:lineRule="auto"/>
              <w:ind w:left="0" w:leftChars="0" w:firstLine="0" w:firstLineChars="0"/>
              <w:jc w:val="center"/>
              <w:rPr>
                <w:rFonts w:hint="eastAsia" w:ascii="Times New Roman" w:hAnsi="Times New Roman" w:eastAsia="宋体" w:cs="Times New Roman"/>
                <w:b w:val="0"/>
                <w:color w:val="auto"/>
                <w:kern w:val="2"/>
                <w:sz w:val="21"/>
                <w:szCs w:val="18"/>
                <w:lang w:val="en-US" w:eastAsia="zh-CN" w:bidi="ar-SA"/>
              </w:rPr>
            </w:pPr>
            <w:r>
              <w:rPr>
                <w:rFonts w:hint="eastAsia" w:ascii="Times New Roman" w:hAnsi="Times New Roman" w:cs="Times New Roman"/>
                <w:b w:val="0"/>
                <w:color w:val="auto"/>
                <w:sz w:val="21"/>
                <w:szCs w:val="18"/>
                <w:lang w:val="en-US" w:eastAsia="zh-CN"/>
              </w:rPr>
              <w:t>一般包装材料</w:t>
            </w:r>
          </w:p>
        </w:tc>
        <w:tc>
          <w:tcPr>
            <w:tcW w:w="1499" w:type="dxa"/>
            <w:noWrap w:val="0"/>
            <w:vAlign w:val="center"/>
          </w:tcPr>
          <w:p w14:paraId="6FF5FDB9">
            <w:pPr>
              <w:pStyle w:val="36"/>
              <w:spacing w:beforeLines="0" w:afterLines="0" w:line="240" w:lineRule="auto"/>
              <w:jc w:val="center"/>
              <w:rPr>
                <w:rFonts w:hint="eastAsia"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 w:val="21"/>
                <w:szCs w:val="21"/>
                <w:lang w:val="en-US" w:eastAsia="zh-CN"/>
              </w:rPr>
              <w:t>/</w:t>
            </w:r>
          </w:p>
        </w:tc>
        <w:tc>
          <w:tcPr>
            <w:tcW w:w="1114" w:type="dxa"/>
            <w:noWrap w:val="0"/>
            <w:vAlign w:val="center"/>
          </w:tcPr>
          <w:p w14:paraId="4ED34FA1">
            <w:pPr>
              <w:pStyle w:val="36"/>
              <w:spacing w:beforeLines="0" w:afterLines="0" w:line="240" w:lineRule="auto"/>
              <w:jc w:val="center"/>
              <w:rPr>
                <w:rFonts w:hint="eastAsia"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 w:val="21"/>
                <w:szCs w:val="21"/>
                <w:lang w:val="en-US" w:eastAsia="zh-CN"/>
              </w:rPr>
              <w:t>/</w:t>
            </w:r>
          </w:p>
        </w:tc>
        <w:tc>
          <w:tcPr>
            <w:tcW w:w="1739" w:type="dxa"/>
            <w:noWrap w:val="0"/>
            <w:vAlign w:val="center"/>
          </w:tcPr>
          <w:p w14:paraId="03DE074C">
            <w:pPr>
              <w:pStyle w:val="36"/>
              <w:spacing w:beforeLines="0" w:afterLines="0" w:line="240" w:lineRule="auto"/>
              <w:jc w:val="center"/>
              <w:rPr>
                <w:rFonts w:hint="eastAsia"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 w:val="21"/>
                <w:szCs w:val="21"/>
                <w:lang w:val="en-US" w:eastAsia="zh-CN"/>
              </w:rPr>
              <w:t>/</w:t>
            </w:r>
          </w:p>
        </w:tc>
        <w:tc>
          <w:tcPr>
            <w:tcW w:w="1594" w:type="dxa"/>
            <w:noWrap w:val="0"/>
            <w:vAlign w:val="center"/>
          </w:tcPr>
          <w:p w14:paraId="0F61CEFC">
            <w:pPr>
              <w:jc w:val="center"/>
              <w:rPr>
                <w:rFonts w:hint="default" w:ascii="Times New Roman" w:hAnsi="Times New Roman" w:eastAsia="宋体"/>
                <w:color w:val="auto"/>
                <w:sz w:val="21"/>
                <w:szCs w:val="21"/>
                <w:lang w:val="en-US"/>
              </w:rPr>
            </w:pPr>
            <w:r>
              <w:rPr>
                <w:rFonts w:hint="eastAsia"/>
                <w:color w:val="auto"/>
                <w:sz w:val="21"/>
                <w:szCs w:val="21"/>
                <w:lang w:val="en-US" w:eastAsia="zh-CN"/>
              </w:rPr>
              <w:t>20</w:t>
            </w:r>
            <w:r>
              <w:rPr>
                <w:rFonts w:hint="eastAsia" w:cs="Times New Roman"/>
                <w:color w:val="auto"/>
                <w:sz w:val="21"/>
                <w:szCs w:val="21"/>
                <w:lang w:val="en-US" w:eastAsia="zh-CN"/>
              </w:rPr>
              <w:t>t/a</w:t>
            </w:r>
          </w:p>
        </w:tc>
        <w:tc>
          <w:tcPr>
            <w:tcW w:w="1802" w:type="dxa"/>
            <w:noWrap w:val="0"/>
            <w:vAlign w:val="center"/>
          </w:tcPr>
          <w:p w14:paraId="2499760A">
            <w:pPr>
              <w:spacing w:beforeLines="0" w:afterLines="0" w:line="240" w:lineRule="auto"/>
              <w:jc w:val="center"/>
              <w:rPr>
                <w:rFonts w:hint="eastAsia"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 w:val="21"/>
                <w:szCs w:val="21"/>
                <w:lang w:val="en-US" w:eastAsia="zh-CN"/>
              </w:rPr>
              <w:t>/</w:t>
            </w:r>
          </w:p>
        </w:tc>
        <w:tc>
          <w:tcPr>
            <w:tcW w:w="1763" w:type="dxa"/>
            <w:noWrap w:val="0"/>
            <w:vAlign w:val="center"/>
          </w:tcPr>
          <w:p w14:paraId="164EA8EE">
            <w:pPr>
              <w:jc w:val="center"/>
              <w:rPr>
                <w:rFonts w:ascii="Times New Roman" w:hAnsi="Times New Roman" w:eastAsia="宋体"/>
                <w:color w:val="auto"/>
                <w:kern w:val="2"/>
                <w:sz w:val="21"/>
                <w:szCs w:val="21"/>
                <w:lang w:val="en-US" w:eastAsia="zh-CN" w:bidi="ar-SA"/>
              </w:rPr>
            </w:pPr>
            <w:r>
              <w:rPr>
                <w:rFonts w:hint="eastAsia"/>
                <w:color w:val="auto"/>
                <w:sz w:val="21"/>
                <w:szCs w:val="21"/>
                <w:lang w:val="en-US" w:eastAsia="zh-CN"/>
              </w:rPr>
              <w:t>20</w:t>
            </w:r>
            <w:r>
              <w:rPr>
                <w:rFonts w:hint="eastAsia" w:cs="Times New Roman"/>
                <w:color w:val="auto"/>
                <w:sz w:val="21"/>
                <w:szCs w:val="21"/>
                <w:lang w:val="en-US" w:eastAsia="zh-CN"/>
              </w:rPr>
              <w:t>t/a</w:t>
            </w:r>
          </w:p>
        </w:tc>
        <w:tc>
          <w:tcPr>
            <w:tcW w:w="1387" w:type="dxa"/>
            <w:noWrap w:val="0"/>
            <w:vAlign w:val="center"/>
          </w:tcPr>
          <w:p w14:paraId="360C40BE">
            <w:pPr>
              <w:jc w:val="center"/>
              <w:rPr>
                <w:rFonts w:ascii="Times New Roman" w:hAnsi="Times New Roman" w:eastAsia="宋体"/>
                <w:color w:val="auto"/>
                <w:kern w:val="2"/>
                <w:sz w:val="21"/>
                <w:szCs w:val="21"/>
                <w:lang w:val="en-US" w:eastAsia="zh-CN" w:bidi="ar-SA"/>
              </w:rPr>
            </w:pPr>
            <w:r>
              <w:rPr>
                <w:rFonts w:hint="eastAsia"/>
                <w:color w:val="auto"/>
                <w:sz w:val="21"/>
                <w:szCs w:val="21"/>
                <w:lang w:val="en-US" w:eastAsia="zh-CN"/>
              </w:rPr>
              <w:t>20</w:t>
            </w:r>
            <w:r>
              <w:rPr>
                <w:rFonts w:hint="eastAsia" w:cs="Times New Roman"/>
                <w:color w:val="auto"/>
                <w:sz w:val="21"/>
                <w:szCs w:val="21"/>
                <w:lang w:val="en-US" w:eastAsia="zh-CN"/>
              </w:rPr>
              <w:t>t/a</w:t>
            </w:r>
          </w:p>
        </w:tc>
      </w:tr>
      <w:tr w14:paraId="4D23C196">
        <w:trPr>
          <w:trHeight w:val="340" w:hRule="exact"/>
          <w:jc w:val="center"/>
        </w:trPr>
        <w:tc>
          <w:tcPr>
            <w:tcW w:w="1239" w:type="dxa"/>
            <w:vMerge w:val="continue"/>
            <w:noWrap w:val="0"/>
            <w:vAlign w:val="center"/>
          </w:tcPr>
          <w:p w14:paraId="254732E6">
            <w:pPr>
              <w:pStyle w:val="36"/>
              <w:spacing w:beforeLines="0" w:afterLines="0" w:line="240" w:lineRule="auto"/>
              <w:rPr>
                <w:rFonts w:ascii="Times New Roman" w:hAnsi="Times New Roman" w:eastAsia="宋体" w:cs="宋体"/>
                <w:snapToGrid w:val="0"/>
                <w:color w:val="auto"/>
                <w:kern w:val="21"/>
                <w:sz w:val="21"/>
                <w:szCs w:val="21"/>
              </w:rPr>
            </w:pPr>
          </w:p>
        </w:tc>
        <w:tc>
          <w:tcPr>
            <w:tcW w:w="2258" w:type="dxa"/>
            <w:gridSpan w:val="2"/>
            <w:noWrap w:val="0"/>
            <w:vAlign w:val="center"/>
          </w:tcPr>
          <w:p w14:paraId="6CFD7C46">
            <w:pPr>
              <w:pStyle w:val="17"/>
              <w:spacing w:line="240" w:lineRule="auto"/>
              <w:ind w:left="0" w:leftChars="0" w:firstLine="0" w:firstLineChars="0"/>
              <w:jc w:val="center"/>
              <w:rPr>
                <w:rFonts w:hint="eastAsia"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茶叶渣</w:t>
            </w:r>
          </w:p>
        </w:tc>
        <w:tc>
          <w:tcPr>
            <w:tcW w:w="1499" w:type="dxa"/>
            <w:noWrap w:val="0"/>
            <w:vAlign w:val="center"/>
          </w:tcPr>
          <w:p w14:paraId="3354690B">
            <w:pPr>
              <w:pStyle w:val="36"/>
              <w:spacing w:beforeLines="0" w:afterLines="0" w:line="240" w:lineRule="auto"/>
              <w:jc w:val="center"/>
              <w:rPr>
                <w:rFonts w:hint="eastAsia" w:ascii="Times New Roman" w:hAnsi="Times New Roman" w:eastAsia="宋体" w:cs="宋体"/>
                <w:snapToGrid w:val="0"/>
                <w:color w:val="auto"/>
                <w:kern w:val="21"/>
                <w:sz w:val="21"/>
                <w:szCs w:val="21"/>
                <w:lang w:val="en-US" w:eastAsia="zh-CN"/>
              </w:rPr>
            </w:pPr>
            <w:r>
              <w:rPr>
                <w:rFonts w:hint="eastAsia" w:ascii="Times New Roman" w:hAnsi="Times New Roman" w:eastAsia="宋体" w:cs="宋体"/>
                <w:snapToGrid w:val="0"/>
                <w:color w:val="auto"/>
                <w:kern w:val="21"/>
                <w:sz w:val="21"/>
                <w:szCs w:val="21"/>
                <w:lang w:val="en-US" w:eastAsia="zh-CN"/>
              </w:rPr>
              <w:t>/</w:t>
            </w:r>
          </w:p>
        </w:tc>
        <w:tc>
          <w:tcPr>
            <w:tcW w:w="1114" w:type="dxa"/>
            <w:noWrap w:val="0"/>
            <w:vAlign w:val="center"/>
          </w:tcPr>
          <w:p w14:paraId="589BD32C">
            <w:pPr>
              <w:pStyle w:val="36"/>
              <w:spacing w:beforeLines="0" w:afterLines="0" w:line="240" w:lineRule="auto"/>
              <w:jc w:val="center"/>
              <w:rPr>
                <w:rFonts w:hint="eastAsia" w:ascii="Times New Roman" w:hAnsi="Times New Roman" w:eastAsia="宋体" w:cs="宋体"/>
                <w:snapToGrid w:val="0"/>
                <w:color w:val="auto"/>
                <w:kern w:val="21"/>
                <w:sz w:val="21"/>
                <w:szCs w:val="21"/>
                <w:lang w:val="en-US" w:eastAsia="zh-CN"/>
              </w:rPr>
            </w:pPr>
            <w:r>
              <w:rPr>
                <w:rFonts w:hint="eastAsia" w:ascii="Times New Roman" w:hAnsi="Times New Roman" w:eastAsia="宋体" w:cs="宋体"/>
                <w:snapToGrid w:val="0"/>
                <w:color w:val="auto"/>
                <w:kern w:val="21"/>
                <w:sz w:val="21"/>
                <w:szCs w:val="21"/>
                <w:lang w:val="en-US" w:eastAsia="zh-CN"/>
              </w:rPr>
              <w:t>/</w:t>
            </w:r>
          </w:p>
        </w:tc>
        <w:tc>
          <w:tcPr>
            <w:tcW w:w="1739" w:type="dxa"/>
            <w:noWrap w:val="0"/>
            <w:vAlign w:val="center"/>
          </w:tcPr>
          <w:p w14:paraId="0E43A3BE">
            <w:pPr>
              <w:pStyle w:val="36"/>
              <w:spacing w:beforeLines="0" w:afterLines="0" w:line="240" w:lineRule="auto"/>
              <w:jc w:val="center"/>
              <w:rPr>
                <w:rFonts w:hint="eastAsia" w:ascii="Times New Roman" w:hAnsi="Times New Roman" w:eastAsia="宋体" w:cs="宋体"/>
                <w:snapToGrid w:val="0"/>
                <w:color w:val="auto"/>
                <w:kern w:val="21"/>
                <w:sz w:val="21"/>
                <w:szCs w:val="21"/>
                <w:lang w:val="en-US" w:eastAsia="zh-CN"/>
              </w:rPr>
            </w:pPr>
            <w:r>
              <w:rPr>
                <w:rFonts w:hint="eastAsia" w:ascii="Times New Roman" w:hAnsi="Times New Roman" w:eastAsia="宋体" w:cs="宋体"/>
                <w:snapToGrid w:val="0"/>
                <w:color w:val="auto"/>
                <w:kern w:val="21"/>
                <w:sz w:val="21"/>
                <w:szCs w:val="21"/>
                <w:lang w:val="en-US" w:eastAsia="zh-CN"/>
              </w:rPr>
              <w:t>/</w:t>
            </w:r>
          </w:p>
        </w:tc>
        <w:tc>
          <w:tcPr>
            <w:tcW w:w="1594" w:type="dxa"/>
            <w:noWrap w:val="0"/>
            <w:vAlign w:val="center"/>
          </w:tcPr>
          <w:p w14:paraId="59635CB0">
            <w:pPr>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35</w:t>
            </w:r>
            <w:r>
              <w:rPr>
                <w:rFonts w:hint="eastAsia" w:cs="Times New Roman"/>
                <w:color w:val="auto"/>
                <w:sz w:val="21"/>
                <w:szCs w:val="21"/>
                <w:lang w:val="en-US" w:eastAsia="zh-CN"/>
              </w:rPr>
              <w:t>t/a</w:t>
            </w:r>
          </w:p>
        </w:tc>
        <w:tc>
          <w:tcPr>
            <w:tcW w:w="1802" w:type="dxa"/>
            <w:noWrap w:val="0"/>
            <w:vAlign w:val="center"/>
          </w:tcPr>
          <w:p w14:paraId="02CF77BB">
            <w:pPr>
              <w:pStyle w:val="36"/>
              <w:spacing w:beforeLines="0" w:afterLines="0" w:line="240" w:lineRule="auto"/>
              <w:jc w:val="center"/>
              <w:rPr>
                <w:rFonts w:hint="default" w:ascii="Times New Roman" w:hAnsi="Times New Roman" w:eastAsia="宋体" w:cs="宋体"/>
                <w:snapToGrid w:val="0"/>
                <w:color w:val="auto"/>
                <w:kern w:val="21"/>
                <w:sz w:val="21"/>
                <w:szCs w:val="21"/>
                <w:lang w:val="en-US" w:eastAsia="zh-CN"/>
              </w:rPr>
            </w:pPr>
            <w:r>
              <w:rPr>
                <w:rFonts w:hint="eastAsia" w:ascii="Times New Roman" w:cs="宋体"/>
                <w:snapToGrid w:val="0"/>
                <w:color w:val="auto"/>
                <w:kern w:val="21"/>
                <w:sz w:val="21"/>
                <w:szCs w:val="21"/>
                <w:lang w:val="en-US" w:eastAsia="zh-CN"/>
              </w:rPr>
              <w:t>/</w:t>
            </w:r>
          </w:p>
        </w:tc>
        <w:tc>
          <w:tcPr>
            <w:tcW w:w="1763" w:type="dxa"/>
            <w:noWrap w:val="0"/>
            <w:vAlign w:val="center"/>
          </w:tcPr>
          <w:p w14:paraId="0D70DE7A">
            <w:pPr>
              <w:jc w:val="center"/>
              <w:rPr>
                <w:rFonts w:hint="eastAsia" w:ascii="Times New Roman" w:hAnsi="Times New Roman" w:eastAsia="宋体"/>
                <w:color w:val="auto"/>
                <w:sz w:val="21"/>
                <w:szCs w:val="21"/>
                <w:lang w:eastAsia="zh-CN"/>
              </w:rPr>
            </w:pPr>
            <w:r>
              <w:rPr>
                <w:rFonts w:hint="eastAsia"/>
                <w:color w:val="auto"/>
                <w:sz w:val="21"/>
                <w:szCs w:val="21"/>
                <w:lang w:val="en-US" w:eastAsia="zh-CN"/>
              </w:rPr>
              <w:t>35</w:t>
            </w:r>
            <w:r>
              <w:rPr>
                <w:rFonts w:hint="eastAsia" w:cs="Times New Roman"/>
                <w:color w:val="auto"/>
                <w:sz w:val="21"/>
                <w:szCs w:val="21"/>
                <w:lang w:val="en-US" w:eastAsia="zh-CN"/>
              </w:rPr>
              <w:t>t/a</w:t>
            </w:r>
          </w:p>
        </w:tc>
        <w:tc>
          <w:tcPr>
            <w:tcW w:w="1387" w:type="dxa"/>
            <w:noWrap w:val="0"/>
            <w:vAlign w:val="center"/>
          </w:tcPr>
          <w:p w14:paraId="073CA71C">
            <w:pPr>
              <w:jc w:val="center"/>
              <w:rPr>
                <w:rFonts w:hint="eastAsia" w:ascii="Times New Roman" w:hAnsi="Times New Roman" w:eastAsia="宋体"/>
                <w:color w:val="auto"/>
                <w:sz w:val="21"/>
                <w:szCs w:val="21"/>
                <w:lang w:eastAsia="zh-CN"/>
              </w:rPr>
            </w:pPr>
            <w:r>
              <w:rPr>
                <w:rFonts w:hint="eastAsia"/>
                <w:color w:val="auto"/>
                <w:sz w:val="21"/>
                <w:szCs w:val="21"/>
                <w:lang w:val="en-US" w:eastAsia="zh-CN"/>
              </w:rPr>
              <w:t>35</w:t>
            </w:r>
            <w:r>
              <w:rPr>
                <w:rFonts w:hint="eastAsia" w:cs="Times New Roman"/>
                <w:color w:val="auto"/>
                <w:sz w:val="21"/>
                <w:szCs w:val="21"/>
                <w:lang w:val="en-US" w:eastAsia="zh-CN"/>
              </w:rPr>
              <w:t>t/a</w:t>
            </w:r>
          </w:p>
        </w:tc>
      </w:tr>
      <w:tr w14:paraId="768587E4">
        <w:trPr>
          <w:trHeight w:val="340" w:hRule="exact"/>
          <w:jc w:val="center"/>
        </w:trPr>
        <w:tc>
          <w:tcPr>
            <w:tcW w:w="1239" w:type="dxa"/>
            <w:vMerge w:val="continue"/>
            <w:noWrap w:val="0"/>
            <w:vAlign w:val="center"/>
          </w:tcPr>
          <w:p w14:paraId="2552FC43">
            <w:pPr>
              <w:pStyle w:val="36"/>
              <w:spacing w:beforeLines="0" w:afterLines="0" w:line="240" w:lineRule="auto"/>
              <w:rPr>
                <w:rFonts w:ascii="Times New Roman" w:hAnsi="Times New Roman" w:eastAsia="宋体" w:cs="宋体"/>
                <w:snapToGrid w:val="0"/>
                <w:color w:val="auto"/>
                <w:kern w:val="21"/>
                <w:sz w:val="21"/>
                <w:szCs w:val="21"/>
              </w:rPr>
            </w:pPr>
          </w:p>
        </w:tc>
        <w:tc>
          <w:tcPr>
            <w:tcW w:w="2258" w:type="dxa"/>
            <w:gridSpan w:val="2"/>
            <w:noWrap w:val="0"/>
            <w:vAlign w:val="center"/>
          </w:tcPr>
          <w:p w14:paraId="335489D0">
            <w:pPr>
              <w:pStyle w:val="17"/>
              <w:spacing w:line="240" w:lineRule="auto"/>
              <w:ind w:left="0" w:leftChars="0" w:firstLine="0" w:firstLineChars="0"/>
              <w:jc w:val="center"/>
              <w:rPr>
                <w:rFonts w:hint="default"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滤渣</w:t>
            </w:r>
          </w:p>
        </w:tc>
        <w:tc>
          <w:tcPr>
            <w:tcW w:w="1499" w:type="dxa"/>
            <w:noWrap w:val="0"/>
            <w:vAlign w:val="center"/>
          </w:tcPr>
          <w:p w14:paraId="0C6FCA10">
            <w:pPr>
              <w:spacing w:beforeLines="0" w:afterLines="0" w:line="240" w:lineRule="auto"/>
              <w:jc w:val="center"/>
              <w:rPr>
                <w:rFonts w:hint="eastAsia" w:ascii="Times New Roman" w:hAnsi="Times New Roman" w:eastAsia="宋体" w:cs="宋体"/>
                <w:snapToGrid w:val="0"/>
                <w:color w:val="auto"/>
                <w:kern w:val="21"/>
                <w:sz w:val="21"/>
                <w:szCs w:val="21"/>
                <w:lang w:val="en-US" w:eastAsia="zh-CN"/>
              </w:rPr>
            </w:pPr>
            <w:r>
              <w:rPr>
                <w:rFonts w:hint="eastAsia" w:ascii="Times New Roman" w:hAnsi="Times New Roman" w:eastAsia="宋体" w:cs="宋体"/>
                <w:snapToGrid w:val="0"/>
                <w:color w:val="auto"/>
                <w:kern w:val="21"/>
                <w:sz w:val="21"/>
                <w:szCs w:val="21"/>
                <w:lang w:val="en-US" w:eastAsia="zh-CN"/>
              </w:rPr>
              <w:t>/</w:t>
            </w:r>
          </w:p>
        </w:tc>
        <w:tc>
          <w:tcPr>
            <w:tcW w:w="1114" w:type="dxa"/>
            <w:noWrap w:val="0"/>
            <w:vAlign w:val="center"/>
          </w:tcPr>
          <w:p w14:paraId="5C163CF7">
            <w:pPr>
              <w:spacing w:beforeLines="0" w:afterLines="0" w:line="240" w:lineRule="auto"/>
              <w:jc w:val="center"/>
              <w:rPr>
                <w:rFonts w:hint="eastAsia" w:ascii="Times New Roman" w:hAnsi="Times New Roman" w:eastAsia="宋体" w:cs="宋体"/>
                <w:snapToGrid w:val="0"/>
                <w:color w:val="auto"/>
                <w:kern w:val="21"/>
                <w:sz w:val="21"/>
                <w:szCs w:val="21"/>
                <w:lang w:val="en-US" w:eastAsia="zh-CN"/>
              </w:rPr>
            </w:pPr>
            <w:r>
              <w:rPr>
                <w:rFonts w:hint="eastAsia" w:ascii="Times New Roman" w:hAnsi="Times New Roman" w:eastAsia="宋体" w:cs="宋体"/>
                <w:snapToGrid w:val="0"/>
                <w:color w:val="auto"/>
                <w:kern w:val="21"/>
                <w:sz w:val="21"/>
                <w:szCs w:val="21"/>
                <w:lang w:val="en-US" w:eastAsia="zh-CN"/>
              </w:rPr>
              <w:t>/</w:t>
            </w:r>
          </w:p>
        </w:tc>
        <w:tc>
          <w:tcPr>
            <w:tcW w:w="1739" w:type="dxa"/>
            <w:noWrap w:val="0"/>
            <w:vAlign w:val="center"/>
          </w:tcPr>
          <w:p w14:paraId="4A918CA6">
            <w:pPr>
              <w:spacing w:beforeLines="0" w:afterLines="0" w:line="240" w:lineRule="auto"/>
              <w:jc w:val="center"/>
              <w:rPr>
                <w:rFonts w:hint="eastAsia" w:ascii="Times New Roman" w:hAnsi="Times New Roman" w:eastAsia="宋体" w:cs="宋体"/>
                <w:snapToGrid w:val="0"/>
                <w:color w:val="auto"/>
                <w:kern w:val="21"/>
                <w:sz w:val="21"/>
                <w:szCs w:val="21"/>
                <w:lang w:val="en-US" w:eastAsia="zh-CN"/>
              </w:rPr>
            </w:pPr>
            <w:r>
              <w:rPr>
                <w:rFonts w:hint="eastAsia" w:ascii="Times New Roman" w:hAnsi="Times New Roman" w:eastAsia="宋体" w:cs="宋体"/>
                <w:snapToGrid w:val="0"/>
                <w:color w:val="auto"/>
                <w:kern w:val="21"/>
                <w:sz w:val="21"/>
                <w:szCs w:val="21"/>
                <w:lang w:val="en-US" w:eastAsia="zh-CN"/>
              </w:rPr>
              <w:t>/</w:t>
            </w:r>
          </w:p>
        </w:tc>
        <w:tc>
          <w:tcPr>
            <w:tcW w:w="1594" w:type="dxa"/>
            <w:noWrap w:val="0"/>
            <w:vAlign w:val="center"/>
          </w:tcPr>
          <w:p w14:paraId="30AA6F55">
            <w:pPr>
              <w:jc w:val="center"/>
              <w:rPr>
                <w:rFonts w:hint="default"/>
                <w:color w:val="auto"/>
                <w:sz w:val="21"/>
                <w:szCs w:val="21"/>
                <w:lang w:val="en-US" w:eastAsia="zh-CN"/>
              </w:rPr>
            </w:pPr>
            <w:r>
              <w:rPr>
                <w:rFonts w:hint="eastAsia"/>
                <w:color w:val="auto"/>
                <w:sz w:val="21"/>
                <w:szCs w:val="21"/>
                <w:lang w:val="en-US" w:eastAsia="zh-CN"/>
              </w:rPr>
              <w:t>2</w:t>
            </w:r>
            <w:r>
              <w:rPr>
                <w:rFonts w:hint="eastAsia" w:cs="Times New Roman"/>
                <w:color w:val="auto"/>
                <w:sz w:val="21"/>
                <w:szCs w:val="21"/>
                <w:lang w:val="en-US" w:eastAsia="zh-CN"/>
              </w:rPr>
              <w:t>t/a</w:t>
            </w:r>
          </w:p>
        </w:tc>
        <w:tc>
          <w:tcPr>
            <w:tcW w:w="1802" w:type="dxa"/>
            <w:noWrap w:val="0"/>
            <w:vAlign w:val="center"/>
          </w:tcPr>
          <w:p w14:paraId="39F1030C">
            <w:pPr>
              <w:spacing w:beforeLines="0" w:afterLines="0" w:line="240" w:lineRule="auto"/>
              <w:jc w:val="center"/>
              <w:rPr>
                <w:rFonts w:hint="eastAsia" w:ascii="Times New Roman" w:cs="宋体"/>
                <w:snapToGrid w:val="0"/>
                <w:color w:val="auto"/>
                <w:kern w:val="21"/>
                <w:sz w:val="21"/>
                <w:szCs w:val="21"/>
                <w:lang w:val="en-US" w:eastAsia="zh-CN"/>
              </w:rPr>
            </w:pPr>
            <w:r>
              <w:rPr>
                <w:rFonts w:hint="eastAsia" w:ascii="Times New Roman" w:hAnsi="Times New Roman" w:eastAsia="宋体" w:cs="宋体"/>
                <w:snapToGrid w:val="0"/>
                <w:color w:val="auto"/>
                <w:kern w:val="21"/>
                <w:sz w:val="21"/>
                <w:szCs w:val="21"/>
                <w:lang w:val="en-US" w:eastAsia="zh-CN"/>
              </w:rPr>
              <w:t>/</w:t>
            </w:r>
          </w:p>
        </w:tc>
        <w:tc>
          <w:tcPr>
            <w:tcW w:w="1763" w:type="dxa"/>
            <w:noWrap w:val="0"/>
            <w:vAlign w:val="center"/>
          </w:tcPr>
          <w:p w14:paraId="625C98F8">
            <w:pPr>
              <w:jc w:val="center"/>
              <w:rPr>
                <w:rFonts w:hint="eastAsia"/>
                <w:color w:val="auto"/>
                <w:sz w:val="21"/>
                <w:szCs w:val="21"/>
                <w:lang w:val="en-US" w:eastAsia="zh-CN"/>
              </w:rPr>
            </w:pPr>
            <w:r>
              <w:rPr>
                <w:rFonts w:hint="eastAsia"/>
                <w:color w:val="auto"/>
                <w:sz w:val="21"/>
                <w:szCs w:val="21"/>
                <w:lang w:val="en-US" w:eastAsia="zh-CN"/>
              </w:rPr>
              <w:t>2</w:t>
            </w:r>
            <w:r>
              <w:rPr>
                <w:rFonts w:hint="eastAsia" w:cs="Times New Roman"/>
                <w:color w:val="auto"/>
                <w:sz w:val="21"/>
                <w:szCs w:val="21"/>
                <w:lang w:val="en-US" w:eastAsia="zh-CN"/>
              </w:rPr>
              <w:t>t/a</w:t>
            </w:r>
          </w:p>
        </w:tc>
        <w:tc>
          <w:tcPr>
            <w:tcW w:w="1387" w:type="dxa"/>
            <w:noWrap w:val="0"/>
            <w:vAlign w:val="center"/>
          </w:tcPr>
          <w:p w14:paraId="5D00C0A9">
            <w:pPr>
              <w:jc w:val="center"/>
              <w:rPr>
                <w:rFonts w:hint="eastAsia"/>
                <w:color w:val="auto"/>
                <w:sz w:val="21"/>
                <w:szCs w:val="21"/>
                <w:lang w:val="en-US" w:eastAsia="zh-CN"/>
              </w:rPr>
            </w:pPr>
            <w:r>
              <w:rPr>
                <w:rFonts w:hint="eastAsia"/>
                <w:color w:val="auto"/>
                <w:sz w:val="21"/>
                <w:szCs w:val="21"/>
                <w:lang w:val="en-US" w:eastAsia="zh-CN"/>
              </w:rPr>
              <w:t>2</w:t>
            </w:r>
            <w:r>
              <w:rPr>
                <w:rFonts w:hint="eastAsia" w:cs="Times New Roman"/>
                <w:color w:val="auto"/>
                <w:sz w:val="21"/>
                <w:szCs w:val="21"/>
                <w:lang w:val="en-US" w:eastAsia="zh-CN"/>
              </w:rPr>
              <w:t>t/a</w:t>
            </w:r>
          </w:p>
        </w:tc>
      </w:tr>
      <w:tr w14:paraId="7EC0C931">
        <w:trPr>
          <w:trHeight w:val="550" w:hRule="exact"/>
          <w:jc w:val="center"/>
        </w:trPr>
        <w:tc>
          <w:tcPr>
            <w:tcW w:w="1239" w:type="dxa"/>
            <w:vMerge w:val="continue"/>
            <w:noWrap w:val="0"/>
            <w:vAlign w:val="center"/>
          </w:tcPr>
          <w:p w14:paraId="620050D9">
            <w:pPr>
              <w:pStyle w:val="36"/>
              <w:spacing w:beforeLines="0" w:afterLines="0" w:line="240" w:lineRule="auto"/>
              <w:rPr>
                <w:rFonts w:ascii="Times New Roman" w:hAnsi="Times New Roman" w:eastAsia="宋体" w:cs="宋体"/>
                <w:snapToGrid w:val="0"/>
                <w:color w:val="auto"/>
                <w:kern w:val="21"/>
                <w:sz w:val="21"/>
                <w:szCs w:val="21"/>
              </w:rPr>
            </w:pPr>
          </w:p>
        </w:tc>
        <w:tc>
          <w:tcPr>
            <w:tcW w:w="2258" w:type="dxa"/>
            <w:gridSpan w:val="2"/>
            <w:noWrap w:val="0"/>
            <w:vAlign w:val="center"/>
          </w:tcPr>
          <w:p w14:paraId="2DA0C54F">
            <w:pPr>
              <w:pStyle w:val="17"/>
              <w:spacing w:line="240" w:lineRule="auto"/>
              <w:ind w:left="0" w:leftChars="0" w:firstLine="0" w:firstLineChars="0"/>
              <w:jc w:val="center"/>
              <w:rPr>
                <w:rFonts w:hint="default"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废石英砂、活性炭和滤膜</w:t>
            </w:r>
          </w:p>
        </w:tc>
        <w:tc>
          <w:tcPr>
            <w:tcW w:w="1499" w:type="dxa"/>
            <w:noWrap w:val="0"/>
            <w:vAlign w:val="center"/>
          </w:tcPr>
          <w:p w14:paraId="745CBA0E">
            <w:pPr>
              <w:spacing w:beforeLines="0" w:afterLines="0" w:line="240" w:lineRule="auto"/>
              <w:jc w:val="center"/>
              <w:rPr>
                <w:rFonts w:hint="eastAsia" w:ascii="Times New Roman" w:hAnsi="Times New Roman" w:eastAsia="宋体" w:cs="宋体"/>
                <w:snapToGrid w:val="0"/>
                <w:color w:val="auto"/>
                <w:kern w:val="21"/>
                <w:sz w:val="21"/>
                <w:szCs w:val="21"/>
                <w:lang w:val="en-US" w:eastAsia="zh-CN"/>
              </w:rPr>
            </w:pPr>
            <w:r>
              <w:rPr>
                <w:rFonts w:hint="eastAsia" w:ascii="Times New Roman" w:hAnsi="Times New Roman" w:eastAsia="宋体" w:cs="宋体"/>
                <w:snapToGrid w:val="0"/>
                <w:color w:val="auto"/>
                <w:kern w:val="21"/>
                <w:sz w:val="21"/>
                <w:szCs w:val="21"/>
                <w:lang w:val="en-US" w:eastAsia="zh-CN"/>
              </w:rPr>
              <w:t>/</w:t>
            </w:r>
          </w:p>
        </w:tc>
        <w:tc>
          <w:tcPr>
            <w:tcW w:w="1114" w:type="dxa"/>
            <w:noWrap w:val="0"/>
            <w:vAlign w:val="center"/>
          </w:tcPr>
          <w:p w14:paraId="5A4167F5">
            <w:pPr>
              <w:spacing w:beforeLines="0" w:afterLines="0" w:line="240" w:lineRule="auto"/>
              <w:jc w:val="center"/>
              <w:rPr>
                <w:rFonts w:hint="eastAsia" w:ascii="Times New Roman" w:hAnsi="Times New Roman" w:eastAsia="宋体" w:cs="宋体"/>
                <w:snapToGrid w:val="0"/>
                <w:color w:val="auto"/>
                <w:kern w:val="21"/>
                <w:sz w:val="21"/>
                <w:szCs w:val="21"/>
                <w:lang w:val="en-US" w:eastAsia="zh-CN"/>
              </w:rPr>
            </w:pPr>
            <w:r>
              <w:rPr>
                <w:rFonts w:hint="eastAsia" w:ascii="Times New Roman" w:hAnsi="Times New Roman" w:eastAsia="宋体" w:cs="宋体"/>
                <w:snapToGrid w:val="0"/>
                <w:color w:val="auto"/>
                <w:kern w:val="21"/>
                <w:sz w:val="21"/>
                <w:szCs w:val="21"/>
                <w:lang w:val="en-US" w:eastAsia="zh-CN"/>
              </w:rPr>
              <w:t>/</w:t>
            </w:r>
          </w:p>
        </w:tc>
        <w:tc>
          <w:tcPr>
            <w:tcW w:w="1739" w:type="dxa"/>
            <w:noWrap w:val="0"/>
            <w:vAlign w:val="center"/>
          </w:tcPr>
          <w:p w14:paraId="1FF725C0">
            <w:pPr>
              <w:spacing w:beforeLines="0" w:afterLines="0" w:line="240" w:lineRule="auto"/>
              <w:jc w:val="center"/>
              <w:rPr>
                <w:rFonts w:hint="eastAsia" w:ascii="Times New Roman" w:hAnsi="Times New Roman" w:eastAsia="宋体" w:cs="宋体"/>
                <w:snapToGrid w:val="0"/>
                <w:color w:val="auto"/>
                <w:kern w:val="21"/>
                <w:sz w:val="21"/>
                <w:szCs w:val="21"/>
                <w:lang w:val="en-US" w:eastAsia="zh-CN"/>
              </w:rPr>
            </w:pPr>
            <w:r>
              <w:rPr>
                <w:rFonts w:hint="eastAsia" w:ascii="Times New Roman" w:hAnsi="Times New Roman" w:eastAsia="宋体" w:cs="宋体"/>
                <w:snapToGrid w:val="0"/>
                <w:color w:val="auto"/>
                <w:kern w:val="21"/>
                <w:sz w:val="21"/>
                <w:szCs w:val="21"/>
                <w:lang w:val="en-US" w:eastAsia="zh-CN"/>
              </w:rPr>
              <w:t>/</w:t>
            </w:r>
          </w:p>
        </w:tc>
        <w:tc>
          <w:tcPr>
            <w:tcW w:w="1594" w:type="dxa"/>
            <w:noWrap w:val="0"/>
            <w:vAlign w:val="center"/>
          </w:tcPr>
          <w:p w14:paraId="6C077D6A">
            <w:pPr>
              <w:jc w:val="center"/>
              <w:rPr>
                <w:rFonts w:hint="default"/>
                <w:color w:val="auto"/>
                <w:sz w:val="21"/>
                <w:szCs w:val="21"/>
                <w:lang w:val="en-US" w:eastAsia="zh-CN"/>
              </w:rPr>
            </w:pPr>
            <w:r>
              <w:rPr>
                <w:rFonts w:hint="eastAsia"/>
                <w:color w:val="auto"/>
                <w:sz w:val="21"/>
                <w:szCs w:val="21"/>
                <w:lang w:val="en-US" w:eastAsia="zh-CN"/>
              </w:rPr>
              <w:t>1</w:t>
            </w:r>
            <w:r>
              <w:rPr>
                <w:rFonts w:hint="eastAsia" w:cs="Times New Roman"/>
                <w:color w:val="auto"/>
                <w:sz w:val="21"/>
                <w:szCs w:val="21"/>
                <w:lang w:val="en-US" w:eastAsia="zh-CN"/>
              </w:rPr>
              <w:t>t/a</w:t>
            </w:r>
          </w:p>
        </w:tc>
        <w:tc>
          <w:tcPr>
            <w:tcW w:w="1802" w:type="dxa"/>
            <w:noWrap w:val="0"/>
            <w:vAlign w:val="center"/>
          </w:tcPr>
          <w:p w14:paraId="41161565">
            <w:pPr>
              <w:spacing w:beforeLines="0" w:afterLines="0" w:line="240" w:lineRule="auto"/>
              <w:jc w:val="center"/>
              <w:rPr>
                <w:rFonts w:hint="eastAsia" w:ascii="Times New Roman" w:cs="宋体"/>
                <w:snapToGrid w:val="0"/>
                <w:color w:val="auto"/>
                <w:kern w:val="21"/>
                <w:sz w:val="21"/>
                <w:szCs w:val="21"/>
                <w:lang w:val="en-US" w:eastAsia="zh-CN"/>
              </w:rPr>
            </w:pPr>
            <w:r>
              <w:rPr>
                <w:rFonts w:hint="eastAsia" w:ascii="Times New Roman" w:hAnsi="Times New Roman" w:eastAsia="宋体" w:cs="宋体"/>
                <w:snapToGrid w:val="0"/>
                <w:color w:val="auto"/>
                <w:kern w:val="21"/>
                <w:sz w:val="21"/>
                <w:szCs w:val="21"/>
                <w:lang w:val="en-US" w:eastAsia="zh-CN"/>
              </w:rPr>
              <w:t>/</w:t>
            </w:r>
          </w:p>
        </w:tc>
        <w:tc>
          <w:tcPr>
            <w:tcW w:w="1763" w:type="dxa"/>
            <w:noWrap w:val="0"/>
            <w:vAlign w:val="center"/>
          </w:tcPr>
          <w:p w14:paraId="5A56074D">
            <w:pPr>
              <w:jc w:val="center"/>
              <w:rPr>
                <w:rFonts w:hint="eastAsia"/>
                <w:color w:val="auto"/>
                <w:sz w:val="21"/>
                <w:szCs w:val="21"/>
                <w:lang w:val="en-US" w:eastAsia="zh-CN"/>
              </w:rPr>
            </w:pPr>
            <w:r>
              <w:rPr>
                <w:rFonts w:hint="eastAsia"/>
                <w:color w:val="auto"/>
                <w:sz w:val="21"/>
                <w:szCs w:val="21"/>
                <w:lang w:val="en-US" w:eastAsia="zh-CN"/>
              </w:rPr>
              <w:t>1</w:t>
            </w:r>
            <w:r>
              <w:rPr>
                <w:rFonts w:hint="eastAsia" w:cs="Times New Roman"/>
                <w:color w:val="auto"/>
                <w:sz w:val="21"/>
                <w:szCs w:val="21"/>
                <w:lang w:val="en-US" w:eastAsia="zh-CN"/>
              </w:rPr>
              <w:t>t/a</w:t>
            </w:r>
          </w:p>
        </w:tc>
        <w:tc>
          <w:tcPr>
            <w:tcW w:w="1387" w:type="dxa"/>
            <w:noWrap w:val="0"/>
            <w:vAlign w:val="center"/>
          </w:tcPr>
          <w:p w14:paraId="35FFDCFE">
            <w:pPr>
              <w:jc w:val="center"/>
              <w:rPr>
                <w:rFonts w:hint="eastAsia"/>
                <w:color w:val="auto"/>
                <w:sz w:val="21"/>
                <w:szCs w:val="21"/>
                <w:lang w:val="en-US" w:eastAsia="zh-CN"/>
              </w:rPr>
            </w:pPr>
            <w:r>
              <w:rPr>
                <w:rFonts w:hint="eastAsia"/>
                <w:color w:val="auto"/>
                <w:sz w:val="21"/>
                <w:szCs w:val="21"/>
                <w:lang w:val="en-US" w:eastAsia="zh-CN"/>
              </w:rPr>
              <w:t>1</w:t>
            </w:r>
            <w:r>
              <w:rPr>
                <w:rFonts w:hint="eastAsia" w:cs="Times New Roman"/>
                <w:color w:val="auto"/>
                <w:sz w:val="21"/>
                <w:szCs w:val="21"/>
                <w:lang w:val="en-US" w:eastAsia="zh-CN"/>
              </w:rPr>
              <w:t>t/a</w:t>
            </w:r>
          </w:p>
        </w:tc>
      </w:tr>
      <w:tr w14:paraId="5B31F48C">
        <w:trPr>
          <w:trHeight w:val="340" w:hRule="exact"/>
          <w:jc w:val="center"/>
        </w:trPr>
        <w:tc>
          <w:tcPr>
            <w:tcW w:w="1239" w:type="dxa"/>
            <w:vMerge w:val="continue"/>
            <w:noWrap w:val="0"/>
            <w:vAlign w:val="center"/>
          </w:tcPr>
          <w:p w14:paraId="68CEE455">
            <w:pPr>
              <w:pStyle w:val="36"/>
              <w:spacing w:beforeLines="0" w:afterLines="0" w:line="240" w:lineRule="auto"/>
              <w:rPr>
                <w:rFonts w:ascii="Times New Roman" w:hAnsi="Times New Roman" w:eastAsia="宋体" w:cs="宋体"/>
                <w:snapToGrid w:val="0"/>
                <w:color w:val="auto"/>
                <w:kern w:val="21"/>
                <w:sz w:val="21"/>
                <w:szCs w:val="21"/>
              </w:rPr>
            </w:pPr>
          </w:p>
        </w:tc>
        <w:tc>
          <w:tcPr>
            <w:tcW w:w="2258" w:type="dxa"/>
            <w:gridSpan w:val="2"/>
            <w:noWrap w:val="0"/>
            <w:vAlign w:val="center"/>
          </w:tcPr>
          <w:p w14:paraId="24DB732B">
            <w:pPr>
              <w:pStyle w:val="17"/>
              <w:spacing w:line="240" w:lineRule="auto"/>
              <w:ind w:left="0" w:leftChars="0" w:firstLine="0" w:firstLineChars="0"/>
              <w:jc w:val="center"/>
              <w:rPr>
                <w:rFonts w:hint="eastAsia" w:ascii="Times New Roman" w:hAnsi="Times New Roman" w:eastAsia="宋体" w:cs="Times New Roman"/>
                <w:b w:val="0"/>
                <w:color w:val="auto"/>
                <w:kern w:val="2"/>
                <w:sz w:val="21"/>
                <w:szCs w:val="18"/>
                <w:lang w:val="en-US" w:eastAsia="zh-CN" w:bidi="ar-SA"/>
              </w:rPr>
            </w:pPr>
            <w:r>
              <w:rPr>
                <w:rFonts w:hint="eastAsia" w:ascii="Times New Roman" w:hAnsi="Times New Roman" w:cs="Times New Roman"/>
                <w:b w:val="0"/>
                <w:color w:val="auto"/>
                <w:sz w:val="21"/>
                <w:szCs w:val="18"/>
                <w:lang w:val="en-US" w:eastAsia="zh-CN"/>
              </w:rPr>
              <w:t>污水处理污泥</w:t>
            </w:r>
          </w:p>
        </w:tc>
        <w:tc>
          <w:tcPr>
            <w:tcW w:w="1499" w:type="dxa"/>
            <w:noWrap w:val="0"/>
            <w:vAlign w:val="center"/>
          </w:tcPr>
          <w:p w14:paraId="1C4D2C71">
            <w:pPr>
              <w:pStyle w:val="36"/>
              <w:spacing w:beforeLines="0" w:afterLines="0" w:line="240" w:lineRule="auto"/>
              <w:jc w:val="center"/>
              <w:rPr>
                <w:rFonts w:hint="eastAsia"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 w:val="21"/>
                <w:szCs w:val="21"/>
                <w:lang w:val="en-US" w:eastAsia="zh-CN"/>
              </w:rPr>
              <w:t>/</w:t>
            </w:r>
          </w:p>
        </w:tc>
        <w:tc>
          <w:tcPr>
            <w:tcW w:w="1114" w:type="dxa"/>
            <w:noWrap w:val="0"/>
            <w:vAlign w:val="center"/>
          </w:tcPr>
          <w:p w14:paraId="1FDC0393">
            <w:pPr>
              <w:pStyle w:val="36"/>
              <w:spacing w:beforeLines="0" w:afterLines="0" w:line="240" w:lineRule="auto"/>
              <w:jc w:val="center"/>
              <w:rPr>
                <w:rFonts w:hint="eastAsia"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 w:val="21"/>
                <w:szCs w:val="21"/>
                <w:lang w:val="en-US" w:eastAsia="zh-CN"/>
              </w:rPr>
              <w:t>/</w:t>
            </w:r>
          </w:p>
        </w:tc>
        <w:tc>
          <w:tcPr>
            <w:tcW w:w="1739" w:type="dxa"/>
            <w:noWrap w:val="0"/>
            <w:vAlign w:val="center"/>
          </w:tcPr>
          <w:p w14:paraId="2F61FE9C">
            <w:pPr>
              <w:pStyle w:val="36"/>
              <w:spacing w:beforeLines="0" w:afterLines="0" w:line="240" w:lineRule="auto"/>
              <w:jc w:val="center"/>
              <w:rPr>
                <w:rFonts w:hint="eastAsia"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 w:val="21"/>
                <w:szCs w:val="21"/>
                <w:lang w:val="en-US" w:eastAsia="zh-CN"/>
              </w:rPr>
              <w:t>/</w:t>
            </w:r>
          </w:p>
        </w:tc>
        <w:tc>
          <w:tcPr>
            <w:tcW w:w="1594" w:type="dxa"/>
            <w:noWrap w:val="0"/>
            <w:vAlign w:val="center"/>
          </w:tcPr>
          <w:p w14:paraId="1FFD8EC6">
            <w:pPr>
              <w:jc w:val="center"/>
              <w:rPr>
                <w:rFonts w:ascii="Times New Roman" w:hAnsi="Times New Roman" w:eastAsia="宋体"/>
                <w:color w:val="auto"/>
                <w:kern w:val="30"/>
                <w:sz w:val="21"/>
                <w:szCs w:val="21"/>
              </w:rPr>
            </w:pPr>
            <w:r>
              <w:rPr>
                <w:rFonts w:hint="eastAsia"/>
                <w:color w:val="auto"/>
                <w:sz w:val="21"/>
                <w:szCs w:val="21"/>
                <w:lang w:val="en-US" w:eastAsia="zh-CN"/>
              </w:rPr>
              <w:t>10.83</w:t>
            </w:r>
            <w:r>
              <w:rPr>
                <w:rFonts w:hint="eastAsia" w:cs="Times New Roman"/>
                <w:color w:val="auto"/>
                <w:sz w:val="21"/>
                <w:szCs w:val="21"/>
                <w:lang w:val="en-US" w:eastAsia="zh-CN"/>
              </w:rPr>
              <w:t>t/a</w:t>
            </w:r>
          </w:p>
        </w:tc>
        <w:tc>
          <w:tcPr>
            <w:tcW w:w="1802" w:type="dxa"/>
            <w:noWrap w:val="0"/>
            <w:vAlign w:val="center"/>
          </w:tcPr>
          <w:p w14:paraId="7C32607F">
            <w:pPr>
              <w:pStyle w:val="36"/>
              <w:spacing w:beforeLines="0" w:afterLines="0" w:line="240" w:lineRule="auto"/>
              <w:jc w:val="center"/>
              <w:rPr>
                <w:rFonts w:hint="eastAsia"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 w:val="21"/>
                <w:szCs w:val="21"/>
                <w:lang w:val="en-US" w:eastAsia="zh-CN"/>
              </w:rPr>
              <w:t>/</w:t>
            </w:r>
          </w:p>
        </w:tc>
        <w:tc>
          <w:tcPr>
            <w:tcW w:w="1763" w:type="dxa"/>
            <w:noWrap w:val="0"/>
            <w:vAlign w:val="center"/>
          </w:tcPr>
          <w:p w14:paraId="3822C6E7">
            <w:pPr>
              <w:jc w:val="center"/>
              <w:rPr>
                <w:rFonts w:ascii="Times New Roman" w:hAnsi="Times New Roman" w:eastAsia="宋体"/>
                <w:color w:val="auto"/>
                <w:kern w:val="30"/>
                <w:sz w:val="21"/>
                <w:szCs w:val="21"/>
                <w:lang w:val="en-US" w:eastAsia="zh-CN" w:bidi="ar-SA"/>
              </w:rPr>
            </w:pPr>
            <w:r>
              <w:rPr>
                <w:rFonts w:hint="eastAsia"/>
                <w:color w:val="auto"/>
                <w:sz w:val="21"/>
                <w:szCs w:val="21"/>
                <w:lang w:val="en-US" w:eastAsia="zh-CN"/>
              </w:rPr>
              <w:t>10.83</w:t>
            </w:r>
            <w:r>
              <w:rPr>
                <w:rFonts w:hint="eastAsia" w:cs="Times New Roman"/>
                <w:color w:val="auto"/>
                <w:sz w:val="21"/>
                <w:szCs w:val="21"/>
                <w:lang w:val="en-US" w:eastAsia="zh-CN"/>
              </w:rPr>
              <w:t>t/a</w:t>
            </w:r>
          </w:p>
        </w:tc>
        <w:tc>
          <w:tcPr>
            <w:tcW w:w="1387" w:type="dxa"/>
            <w:noWrap w:val="0"/>
            <w:vAlign w:val="center"/>
          </w:tcPr>
          <w:p w14:paraId="5A935F62">
            <w:pPr>
              <w:jc w:val="center"/>
              <w:rPr>
                <w:rFonts w:ascii="Times New Roman" w:hAnsi="Times New Roman" w:eastAsia="宋体"/>
                <w:color w:val="auto"/>
                <w:kern w:val="30"/>
                <w:sz w:val="21"/>
                <w:szCs w:val="21"/>
                <w:lang w:val="en-US" w:eastAsia="zh-CN" w:bidi="ar-SA"/>
              </w:rPr>
            </w:pPr>
            <w:r>
              <w:rPr>
                <w:rFonts w:hint="eastAsia"/>
                <w:color w:val="auto"/>
                <w:sz w:val="21"/>
                <w:szCs w:val="21"/>
                <w:lang w:val="en-US" w:eastAsia="zh-CN"/>
              </w:rPr>
              <w:t>10.83</w:t>
            </w:r>
            <w:r>
              <w:rPr>
                <w:rFonts w:hint="eastAsia" w:cs="Times New Roman"/>
                <w:color w:val="auto"/>
                <w:sz w:val="21"/>
                <w:szCs w:val="21"/>
                <w:lang w:val="en-US" w:eastAsia="zh-CN"/>
              </w:rPr>
              <w:t>t/a</w:t>
            </w:r>
          </w:p>
        </w:tc>
      </w:tr>
      <w:tr w14:paraId="7A570D51">
        <w:trPr>
          <w:trHeight w:val="340" w:hRule="exact"/>
          <w:jc w:val="center"/>
        </w:trPr>
        <w:tc>
          <w:tcPr>
            <w:tcW w:w="1239" w:type="dxa"/>
            <w:vMerge w:val="restart"/>
            <w:noWrap w:val="0"/>
            <w:vAlign w:val="center"/>
          </w:tcPr>
          <w:p w14:paraId="27F4E975">
            <w:pPr>
              <w:pStyle w:val="36"/>
              <w:spacing w:beforeLines="0" w:afterLines="0" w:line="240" w:lineRule="auto"/>
              <w:rPr>
                <w:rFonts w:ascii="Times New Roman" w:hAnsi="Times New Roman" w:eastAsia="宋体" w:cs="宋体"/>
                <w:snapToGrid w:val="0"/>
                <w:color w:val="auto"/>
                <w:kern w:val="21"/>
                <w:sz w:val="21"/>
                <w:szCs w:val="21"/>
              </w:rPr>
            </w:pPr>
            <w:r>
              <w:rPr>
                <w:rFonts w:hint="eastAsia" w:ascii="Times New Roman" w:hAnsi="Times New Roman" w:eastAsia="宋体" w:cs="宋体"/>
                <w:snapToGrid w:val="0"/>
                <w:color w:val="auto"/>
                <w:kern w:val="21"/>
                <w:sz w:val="21"/>
                <w:szCs w:val="21"/>
              </w:rPr>
              <w:t>危险废物</w:t>
            </w:r>
          </w:p>
        </w:tc>
        <w:tc>
          <w:tcPr>
            <w:tcW w:w="2258" w:type="dxa"/>
            <w:gridSpan w:val="2"/>
            <w:noWrap w:val="0"/>
            <w:vAlign w:val="center"/>
          </w:tcPr>
          <w:p w14:paraId="300F0B06">
            <w:pPr>
              <w:pStyle w:val="17"/>
              <w:spacing w:line="240" w:lineRule="auto"/>
              <w:ind w:left="0" w:leftChars="0" w:firstLine="0" w:firstLineChars="0"/>
              <w:jc w:val="center"/>
              <w:rPr>
                <w:rFonts w:ascii="Times New Roman" w:hAnsi="Times New Roman" w:eastAsia="宋体" w:cs="Times New Roman"/>
                <w:b w:val="0"/>
                <w:color w:val="auto"/>
                <w:kern w:val="2"/>
                <w:sz w:val="21"/>
                <w:szCs w:val="18"/>
                <w:lang w:val="en-US" w:eastAsia="zh-CN" w:bidi="ar-SA"/>
              </w:rPr>
            </w:pPr>
            <w:r>
              <w:rPr>
                <w:rFonts w:hint="eastAsia" w:ascii="Times New Roman" w:hAnsi="Times New Roman" w:eastAsia="宋体" w:cs="Times New Roman"/>
                <w:b w:val="0"/>
                <w:color w:val="auto"/>
                <w:sz w:val="21"/>
                <w:szCs w:val="18"/>
              </w:rPr>
              <w:t>废活性炭</w:t>
            </w:r>
          </w:p>
        </w:tc>
        <w:tc>
          <w:tcPr>
            <w:tcW w:w="1499" w:type="dxa"/>
            <w:noWrap w:val="0"/>
            <w:vAlign w:val="center"/>
          </w:tcPr>
          <w:p w14:paraId="34838E87">
            <w:pPr>
              <w:pStyle w:val="36"/>
              <w:spacing w:beforeLines="0" w:afterLines="0" w:line="240" w:lineRule="auto"/>
              <w:jc w:val="center"/>
              <w:rPr>
                <w:rFonts w:hint="eastAsia"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 w:val="21"/>
                <w:szCs w:val="21"/>
                <w:lang w:val="en-US" w:eastAsia="zh-CN"/>
              </w:rPr>
              <w:t>/</w:t>
            </w:r>
          </w:p>
        </w:tc>
        <w:tc>
          <w:tcPr>
            <w:tcW w:w="1114" w:type="dxa"/>
            <w:noWrap w:val="0"/>
            <w:vAlign w:val="center"/>
          </w:tcPr>
          <w:p w14:paraId="7758C2EA">
            <w:pPr>
              <w:pStyle w:val="36"/>
              <w:spacing w:beforeLines="0" w:afterLines="0" w:line="240" w:lineRule="auto"/>
              <w:jc w:val="center"/>
              <w:rPr>
                <w:rFonts w:hint="eastAsia"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 w:val="21"/>
                <w:szCs w:val="21"/>
                <w:lang w:val="en-US" w:eastAsia="zh-CN"/>
              </w:rPr>
              <w:t>/</w:t>
            </w:r>
          </w:p>
        </w:tc>
        <w:tc>
          <w:tcPr>
            <w:tcW w:w="1739" w:type="dxa"/>
            <w:noWrap w:val="0"/>
            <w:vAlign w:val="center"/>
          </w:tcPr>
          <w:p w14:paraId="49F67C30">
            <w:pPr>
              <w:pStyle w:val="36"/>
              <w:spacing w:beforeLines="0" w:afterLines="0" w:line="240" w:lineRule="auto"/>
              <w:jc w:val="center"/>
              <w:rPr>
                <w:rFonts w:hint="eastAsia"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 w:val="21"/>
                <w:szCs w:val="21"/>
                <w:lang w:val="en-US" w:eastAsia="zh-CN"/>
              </w:rPr>
              <w:t>/</w:t>
            </w:r>
          </w:p>
        </w:tc>
        <w:tc>
          <w:tcPr>
            <w:tcW w:w="1594" w:type="dxa"/>
            <w:noWrap w:val="0"/>
            <w:vAlign w:val="center"/>
          </w:tcPr>
          <w:p w14:paraId="2386F79A">
            <w:pPr>
              <w:jc w:val="center"/>
              <w:rPr>
                <w:rFonts w:hint="default" w:ascii="Times New Roman" w:hAnsi="Times New Roman" w:eastAsia="宋体"/>
                <w:color w:val="auto"/>
                <w:sz w:val="21"/>
                <w:szCs w:val="21"/>
                <w:lang w:val="en-US"/>
              </w:rPr>
            </w:pPr>
            <w:r>
              <w:rPr>
                <w:rFonts w:hint="eastAsia"/>
                <w:color w:val="auto"/>
                <w:sz w:val="21"/>
                <w:szCs w:val="21"/>
                <w:lang w:val="en-US" w:eastAsia="zh-CN"/>
              </w:rPr>
              <w:t>7.155</w:t>
            </w:r>
            <w:r>
              <w:rPr>
                <w:rFonts w:hint="eastAsia" w:cs="Times New Roman"/>
                <w:color w:val="auto"/>
                <w:sz w:val="21"/>
                <w:szCs w:val="21"/>
                <w:lang w:val="en-US" w:eastAsia="zh-CN"/>
              </w:rPr>
              <w:t>t/a</w:t>
            </w:r>
          </w:p>
        </w:tc>
        <w:tc>
          <w:tcPr>
            <w:tcW w:w="1802" w:type="dxa"/>
            <w:noWrap w:val="0"/>
            <w:vAlign w:val="center"/>
          </w:tcPr>
          <w:p w14:paraId="1C2A5417">
            <w:pPr>
              <w:pStyle w:val="36"/>
              <w:spacing w:beforeLines="0" w:afterLines="0" w:line="240" w:lineRule="auto"/>
              <w:jc w:val="center"/>
              <w:rPr>
                <w:rFonts w:hint="eastAsia"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 w:val="21"/>
                <w:szCs w:val="21"/>
                <w:lang w:val="en-US" w:eastAsia="zh-CN"/>
              </w:rPr>
              <w:t>/</w:t>
            </w:r>
          </w:p>
        </w:tc>
        <w:tc>
          <w:tcPr>
            <w:tcW w:w="1763" w:type="dxa"/>
            <w:noWrap w:val="0"/>
            <w:vAlign w:val="center"/>
          </w:tcPr>
          <w:p w14:paraId="6B19BC0B">
            <w:pPr>
              <w:jc w:val="center"/>
              <w:rPr>
                <w:rFonts w:ascii="Times New Roman" w:hAnsi="Times New Roman" w:eastAsia="宋体"/>
                <w:color w:val="auto"/>
                <w:kern w:val="2"/>
                <w:sz w:val="21"/>
                <w:szCs w:val="21"/>
                <w:lang w:val="en-US" w:eastAsia="zh-CN" w:bidi="ar-SA"/>
              </w:rPr>
            </w:pPr>
            <w:r>
              <w:rPr>
                <w:rFonts w:hint="eastAsia"/>
                <w:color w:val="auto"/>
                <w:sz w:val="21"/>
                <w:szCs w:val="21"/>
                <w:lang w:val="en-US" w:eastAsia="zh-CN"/>
              </w:rPr>
              <w:t>7.155</w:t>
            </w:r>
            <w:r>
              <w:rPr>
                <w:rFonts w:hint="eastAsia" w:cs="Times New Roman"/>
                <w:color w:val="auto"/>
                <w:sz w:val="21"/>
                <w:szCs w:val="21"/>
                <w:lang w:val="en-US" w:eastAsia="zh-CN"/>
              </w:rPr>
              <w:t>t/a</w:t>
            </w:r>
          </w:p>
        </w:tc>
        <w:tc>
          <w:tcPr>
            <w:tcW w:w="1387" w:type="dxa"/>
            <w:noWrap w:val="0"/>
            <w:vAlign w:val="center"/>
          </w:tcPr>
          <w:p w14:paraId="717047ED">
            <w:pPr>
              <w:jc w:val="center"/>
              <w:rPr>
                <w:rFonts w:ascii="Times New Roman" w:hAnsi="Times New Roman" w:eastAsia="宋体"/>
                <w:color w:val="auto"/>
                <w:kern w:val="2"/>
                <w:sz w:val="21"/>
                <w:szCs w:val="21"/>
                <w:lang w:val="en-US" w:eastAsia="zh-CN" w:bidi="ar-SA"/>
              </w:rPr>
            </w:pPr>
            <w:r>
              <w:rPr>
                <w:rFonts w:hint="eastAsia"/>
                <w:color w:val="auto"/>
                <w:sz w:val="21"/>
                <w:szCs w:val="21"/>
                <w:lang w:val="en-US" w:eastAsia="zh-CN"/>
              </w:rPr>
              <w:t>7.155</w:t>
            </w:r>
            <w:r>
              <w:rPr>
                <w:rFonts w:hint="eastAsia" w:cs="Times New Roman"/>
                <w:color w:val="auto"/>
                <w:sz w:val="21"/>
                <w:szCs w:val="21"/>
                <w:lang w:val="en-US" w:eastAsia="zh-CN"/>
              </w:rPr>
              <w:t>t/a</w:t>
            </w:r>
          </w:p>
        </w:tc>
      </w:tr>
      <w:tr w14:paraId="542828FE">
        <w:trPr>
          <w:trHeight w:val="340" w:hRule="exact"/>
          <w:jc w:val="center"/>
        </w:trPr>
        <w:tc>
          <w:tcPr>
            <w:tcW w:w="1239" w:type="dxa"/>
            <w:vMerge w:val="continue"/>
            <w:noWrap w:val="0"/>
            <w:vAlign w:val="center"/>
          </w:tcPr>
          <w:p w14:paraId="5483205A">
            <w:pPr>
              <w:pStyle w:val="36"/>
              <w:spacing w:beforeLines="0" w:afterLines="0" w:line="240" w:lineRule="auto"/>
              <w:rPr>
                <w:rFonts w:hint="eastAsia" w:ascii="Times New Roman" w:hAnsi="Times New Roman" w:eastAsia="宋体" w:cs="宋体"/>
                <w:snapToGrid w:val="0"/>
                <w:color w:val="auto"/>
                <w:kern w:val="21"/>
                <w:sz w:val="21"/>
                <w:szCs w:val="21"/>
              </w:rPr>
            </w:pPr>
          </w:p>
        </w:tc>
        <w:tc>
          <w:tcPr>
            <w:tcW w:w="2258" w:type="dxa"/>
            <w:gridSpan w:val="2"/>
            <w:noWrap w:val="0"/>
            <w:vAlign w:val="center"/>
          </w:tcPr>
          <w:p w14:paraId="162B5C0E">
            <w:pPr>
              <w:pStyle w:val="17"/>
              <w:spacing w:line="240" w:lineRule="auto"/>
              <w:ind w:left="0" w:leftChars="0" w:firstLine="0" w:firstLineChars="0"/>
              <w:jc w:val="center"/>
              <w:rPr>
                <w:rFonts w:hint="eastAsia" w:ascii="Times New Roman" w:hAnsi="Times New Roman" w:eastAsia="宋体" w:cs="Times New Roman"/>
                <w:b w:val="0"/>
                <w:color w:val="auto"/>
                <w:kern w:val="2"/>
                <w:sz w:val="21"/>
                <w:szCs w:val="18"/>
                <w:lang w:val="en-US" w:eastAsia="zh-CN" w:bidi="ar-SA"/>
              </w:rPr>
            </w:pPr>
            <w:r>
              <w:rPr>
                <w:rFonts w:hint="eastAsia" w:ascii="Times New Roman" w:hAnsi="Times New Roman" w:cs="Times New Roman"/>
                <w:b w:val="0"/>
                <w:color w:val="auto"/>
                <w:sz w:val="21"/>
                <w:szCs w:val="18"/>
                <w:lang w:val="en-US" w:eastAsia="zh-CN"/>
              </w:rPr>
              <w:t>废包装桶</w:t>
            </w:r>
          </w:p>
        </w:tc>
        <w:tc>
          <w:tcPr>
            <w:tcW w:w="1499" w:type="dxa"/>
            <w:noWrap w:val="0"/>
            <w:vAlign w:val="center"/>
          </w:tcPr>
          <w:p w14:paraId="47FAB855">
            <w:pPr>
              <w:pStyle w:val="36"/>
              <w:spacing w:beforeLines="0" w:afterLines="0" w:line="240" w:lineRule="auto"/>
              <w:jc w:val="center"/>
              <w:rPr>
                <w:rFonts w:hint="eastAsia"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 w:val="21"/>
                <w:szCs w:val="21"/>
                <w:lang w:val="en-US" w:eastAsia="zh-CN"/>
              </w:rPr>
              <w:t>/</w:t>
            </w:r>
          </w:p>
        </w:tc>
        <w:tc>
          <w:tcPr>
            <w:tcW w:w="1114" w:type="dxa"/>
            <w:noWrap w:val="0"/>
            <w:vAlign w:val="center"/>
          </w:tcPr>
          <w:p w14:paraId="1D0E0329">
            <w:pPr>
              <w:pStyle w:val="36"/>
              <w:spacing w:beforeLines="0" w:afterLines="0" w:line="240" w:lineRule="auto"/>
              <w:jc w:val="center"/>
              <w:rPr>
                <w:rFonts w:hint="eastAsia"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 w:val="21"/>
                <w:szCs w:val="21"/>
                <w:lang w:val="en-US" w:eastAsia="zh-CN"/>
              </w:rPr>
              <w:t>/</w:t>
            </w:r>
          </w:p>
        </w:tc>
        <w:tc>
          <w:tcPr>
            <w:tcW w:w="1739" w:type="dxa"/>
            <w:noWrap w:val="0"/>
            <w:vAlign w:val="center"/>
          </w:tcPr>
          <w:p w14:paraId="6EE680AD">
            <w:pPr>
              <w:pStyle w:val="36"/>
              <w:spacing w:beforeLines="0" w:afterLines="0" w:line="240" w:lineRule="auto"/>
              <w:jc w:val="center"/>
              <w:rPr>
                <w:rFonts w:hint="eastAsia"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 w:val="21"/>
                <w:szCs w:val="21"/>
                <w:lang w:val="en-US" w:eastAsia="zh-CN"/>
              </w:rPr>
              <w:t>/</w:t>
            </w:r>
          </w:p>
        </w:tc>
        <w:tc>
          <w:tcPr>
            <w:tcW w:w="1594" w:type="dxa"/>
            <w:noWrap w:val="0"/>
            <w:vAlign w:val="center"/>
          </w:tcPr>
          <w:p w14:paraId="091EC644">
            <w:pPr>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0.02</w:t>
            </w:r>
            <w:r>
              <w:rPr>
                <w:rFonts w:hint="eastAsia" w:cs="Times New Roman"/>
                <w:color w:val="auto"/>
                <w:sz w:val="21"/>
                <w:szCs w:val="21"/>
                <w:lang w:val="en-US" w:eastAsia="zh-CN"/>
              </w:rPr>
              <w:t>t/a</w:t>
            </w:r>
          </w:p>
        </w:tc>
        <w:tc>
          <w:tcPr>
            <w:tcW w:w="1802" w:type="dxa"/>
            <w:noWrap w:val="0"/>
            <w:vAlign w:val="center"/>
          </w:tcPr>
          <w:p w14:paraId="767885D1">
            <w:pPr>
              <w:pStyle w:val="36"/>
              <w:spacing w:beforeLines="0" w:afterLines="0" w:line="240" w:lineRule="auto"/>
              <w:jc w:val="center"/>
              <w:rPr>
                <w:rFonts w:hint="eastAsia"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 w:val="21"/>
                <w:szCs w:val="21"/>
                <w:lang w:val="en-US" w:eastAsia="zh-CN"/>
              </w:rPr>
              <w:t>/</w:t>
            </w:r>
          </w:p>
        </w:tc>
        <w:tc>
          <w:tcPr>
            <w:tcW w:w="1763" w:type="dxa"/>
            <w:noWrap w:val="0"/>
            <w:vAlign w:val="center"/>
          </w:tcPr>
          <w:p w14:paraId="3FA26F4F">
            <w:pPr>
              <w:jc w:val="center"/>
              <w:rPr>
                <w:rFonts w:hint="eastAsia" w:ascii="Times New Roman" w:hAnsi="Times New Roman" w:eastAsia="宋体"/>
                <w:color w:val="auto"/>
                <w:kern w:val="2"/>
                <w:sz w:val="21"/>
                <w:szCs w:val="21"/>
                <w:lang w:val="en-US" w:eastAsia="zh-CN" w:bidi="ar-SA"/>
              </w:rPr>
            </w:pPr>
            <w:r>
              <w:rPr>
                <w:rFonts w:hint="eastAsia" w:ascii="Times New Roman" w:hAnsi="Times New Roman" w:eastAsia="宋体"/>
                <w:color w:val="auto"/>
                <w:sz w:val="21"/>
                <w:szCs w:val="21"/>
                <w:lang w:val="en-US" w:eastAsia="zh-CN"/>
              </w:rPr>
              <w:t>0.02</w:t>
            </w:r>
            <w:r>
              <w:rPr>
                <w:rFonts w:hint="eastAsia" w:cs="Times New Roman"/>
                <w:color w:val="auto"/>
                <w:sz w:val="21"/>
                <w:szCs w:val="21"/>
                <w:lang w:val="en-US" w:eastAsia="zh-CN"/>
              </w:rPr>
              <w:t>t/a</w:t>
            </w:r>
          </w:p>
        </w:tc>
        <w:tc>
          <w:tcPr>
            <w:tcW w:w="1387" w:type="dxa"/>
            <w:noWrap w:val="0"/>
            <w:vAlign w:val="center"/>
          </w:tcPr>
          <w:p w14:paraId="5A8F3C40">
            <w:pPr>
              <w:jc w:val="center"/>
              <w:rPr>
                <w:rFonts w:hint="eastAsia" w:ascii="Times New Roman" w:hAnsi="Times New Roman" w:eastAsia="宋体"/>
                <w:color w:val="auto"/>
                <w:kern w:val="2"/>
                <w:sz w:val="21"/>
                <w:szCs w:val="21"/>
                <w:lang w:val="en-US" w:eastAsia="zh-CN" w:bidi="ar-SA"/>
              </w:rPr>
            </w:pPr>
            <w:r>
              <w:rPr>
                <w:rFonts w:hint="eastAsia" w:ascii="Times New Roman" w:hAnsi="Times New Roman" w:eastAsia="宋体"/>
                <w:color w:val="auto"/>
                <w:sz w:val="21"/>
                <w:szCs w:val="21"/>
                <w:lang w:val="en-US" w:eastAsia="zh-CN"/>
              </w:rPr>
              <w:t>0.02</w:t>
            </w:r>
            <w:r>
              <w:rPr>
                <w:rFonts w:hint="eastAsia" w:cs="Times New Roman"/>
                <w:color w:val="auto"/>
                <w:sz w:val="21"/>
                <w:szCs w:val="21"/>
                <w:lang w:val="en-US" w:eastAsia="zh-CN"/>
              </w:rPr>
              <w:t>t/a</w:t>
            </w:r>
          </w:p>
        </w:tc>
      </w:tr>
      <w:tr w14:paraId="07CA18CF">
        <w:trPr>
          <w:trHeight w:val="340" w:hRule="exact"/>
          <w:jc w:val="center"/>
        </w:trPr>
        <w:tc>
          <w:tcPr>
            <w:tcW w:w="1239" w:type="dxa"/>
            <w:vMerge w:val="continue"/>
            <w:noWrap w:val="0"/>
            <w:vAlign w:val="center"/>
          </w:tcPr>
          <w:p w14:paraId="3AA9ED1B">
            <w:pPr>
              <w:pStyle w:val="36"/>
              <w:spacing w:beforeLines="0" w:afterLines="0" w:line="240" w:lineRule="auto"/>
              <w:rPr>
                <w:rFonts w:hint="eastAsia" w:ascii="Times New Roman" w:hAnsi="Times New Roman" w:eastAsia="宋体" w:cs="宋体"/>
                <w:snapToGrid w:val="0"/>
                <w:color w:val="auto"/>
                <w:kern w:val="21"/>
                <w:sz w:val="21"/>
                <w:szCs w:val="21"/>
              </w:rPr>
            </w:pPr>
          </w:p>
        </w:tc>
        <w:tc>
          <w:tcPr>
            <w:tcW w:w="2258" w:type="dxa"/>
            <w:gridSpan w:val="2"/>
            <w:noWrap w:val="0"/>
            <w:vAlign w:val="center"/>
          </w:tcPr>
          <w:p w14:paraId="142F10C1">
            <w:pPr>
              <w:pStyle w:val="1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color w:val="auto"/>
                <w:kern w:val="2"/>
                <w:sz w:val="21"/>
                <w:szCs w:val="18"/>
                <w:lang w:val="en-US" w:eastAsia="zh-CN" w:bidi="ar-SA"/>
              </w:rPr>
            </w:pPr>
            <w:r>
              <w:rPr>
                <w:rFonts w:hint="eastAsia" w:ascii="Times New Roman" w:hAnsi="Times New Roman" w:cs="Times New Roman"/>
                <w:b w:val="0"/>
                <w:color w:val="auto"/>
                <w:sz w:val="21"/>
                <w:szCs w:val="18"/>
                <w:lang w:val="en-US" w:eastAsia="zh-CN"/>
              </w:rPr>
              <w:t>废润滑油</w:t>
            </w:r>
          </w:p>
        </w:tc>
        <w:tc>
          <w:tcPr>
            <w:tcW w:w="1499" w:type="dxa"/>
            <w:noWrap w:val="0"/>
            <w:vAlign w:val="center"/>
          </w:tcPr>
          <w:p w14:paraId="28D6364F">
            <w:pPr>
              <w:pStyle w:val="36"/>
              <w:spacing w:beforeLines="0" w:afterLines="0" w:line="240" w:lineRule="auto"/>
              <w:jc w:val="center"/>
              <w:rPr>
                <w:rFonts w:hint="eastAsia"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 w:val="21"/>
                <w:szCs w:val="21"/>
                <w:lang w:val="en-US" w:eastAsia="zh-CN"/>
              </w:rPr>
              <w:t>/</w:t>
            </w:r>
          </w:p>
        </w:tc>
        <w:tc>
          <w:tcPr>
            <w:tcW w:w="1114" w:type="dxa"/>
            <w:noWrap w:val="0"/>
            <w:vAlign w:val="center"/>
          </w:tcPr>
          <w:p w14:paraId="6402CEAF">
            <w:pPr>
              <w:pStyle w:val="36"/>
              <w:spacing w:beforeLines="0" w:afterLines="0" w:line="240" w:lineRule="auto"/>
              <w:jc w:val="center"/>
              <w:rPr>
                <w:rFonts w:hint="eastAsia"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 w:val="21"/>
                <w:szCs w:val="21"/>
                <w:lang w:val="en-US" w:eastAsia="zh-CN"/>
              </w:rPr>
              <w:t>/</w:t>
            </w:r>
          </w:p>
        </w:tc>
        <w:tc>
          <w:tcPr>
            <w:tcW w:w="1739" w:type="dxa"/>
            <w:noWrap w:val="0"/>
            <w:vAlign w:val="center"/>
          </w:tcPr>
          <w:p w14:paraId="734A2670">
            <w:pPr>
              <w:pStyle w:val="36"/>
              <w:spacing w:beforeLines="0" w:afterLines="0" w:line="240" w:lineRule="auto"/>
              <w:jc w:val="center"/>
              <w:rPr>
                <w:rFonts w:hint="eastAsia"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 w:val="21"/>
                <w:szCs w:val="21"/>
                <w:lang w:val="en-US" w:eastAsia="zh-CN"/>
              </w:rPr>
              <w:t>/</w:t>
            </w:r>
          </w:p>
        </w:tc>
        <w:tc>
          <w:tcPr>
            <w:tcW w:w="1594" w:type="dxa"/>
            <w:noWrap w:val="0"/>
            <w:vAlign w:val="center"/>
          </w:tcPr>
          <w:p w14:paraId="054284DB">
            <w:pPr>
              <w:keepNext w:val="0"/>
              <w:keepLines w:val="0"/>
              <w:suppressLineNumbers w:val="0"/>
              <w:adjustRightInd w:val="0"/>
              <w:snapToGrid w:val="0"/>
              <w:spacing w:before="0" w:beforeAutospacing="0" w:after="0" w:afterAutospacing="0"/>
              <w:ind w:left="0" w:leftChars="0" w:right="0" w:rightChars="0"/>
              <w:jc w:val="center"/>
              <w:rPr>
                <w:rFonts w:hint="eastAsia" w:eastAsia="宋体"/>
                <w:color w:val="auto"/>
                <w:kern w:val="2"/>
                <w:sz w:val="21"/>
                <w:szCs w:val="18"/>
                <w:lang w:val="en-US" w:eastAsia="zh-CN" w:bidi="ar-SA"/>
              </w:rPr>
            </w:pPr>
            <w:r>
              <w:rPr>
                <w:rFonts w:hint="eastAsia"/>
                <w:color w:val="auto"/>
                <w:szCs w:val="18"/>
                <w:lang w:val="en-US" w:eastAsia="zh-CN"/>
              </w:rPr>
              <w:t>0.425</w:t>
            </w:r>
            <w:r>
              <w:rPr>
                <w:rFonts w:hint="eastAsia" w:cs="Times New Roman"/>
                <w:color w:val="auto"/>
                <w:sz w:val="21"/>
                <w:szCs w:val="21"/>
                <w:lang w:val="en-US" w:eastAsia="zh-CN"/>
              </w:rPr>
              <w:t>t/a</w:t>
            </w:r>
          </w:p>
        </w:tc>
        <w:tc>
          <w:tcPr>
            <w:tcW w:w="1802" w:type="dxa"/>
            <w:noWrap w:val="0"/>
            <w:vAlign w:val="center"/>
          </w:tcPr>
          <w:p w14:paraId="2ED4ABE5">
            <w:pPr>
              <w:widowControl/>
              <w:jc w:val="center"/>
              <w:rPr>
                <w:rFonts w:hint="eastAsia"/>
                <w:color w:val="auto"/>
                <w:kern w:val="2"/>
                <w:sz w:val="21"/>
                <w:szCs w:val="21"/>
                <w:lang w:val="en-US" w:eastAsia="zh-CN" w:bidi="ar-SA"/>
              </w:rPr>
            </w:pPr>
            <w:r>
              <w:rPr>
                <w:rFonts w:hint="eastAsia" w:ascii="Times New Roman" w:hAnsi="Times New Roman" w:eastAsia="宋体" w:cs="宋体"/>
                <w:snapToGrid w:val="0"/>
                <w:color w:val="auto"/>
                <w:kern w:val="21"/>
                <w:sz w:val="21"/>
                <w:szCs w:val="21"/>
                <w:lang w:val="en-US" w:eastAsia="zh-CN"/>
              </w:rPr>
              <w:t>/</w:t>
            </w:r>
          </w:p>
        </w:tc>
        <w:tc>
          <w:tcPr>
            <w:tcW w:w="1763" w:type="dxa"/>
            <w:noWrap w:val="0"/>
            <w:vAlign w:val="center"/>
          </w:tcPr>
          <w:p w14:paraId="5A9CFA64">
            <w:pPr>
              <w:keepNext w:val="0"/>
              <w:keepLines w:val="0"/>
              <w:suppressLineNumbers w:val="0"/>
              <w:adjustRightInd w:val="0"/>
              <w:snapToGrid w:val="0"/>
              <w:spacing w:before="0" w:beforeAutospacing="0" w:after="0" w:afterAutospacing="0"/>
              <w:ind w:left="0" w:leftChars="0" w:right="0" w:rightChars="0"/>
              <w:jc w:val="center"/>
              <w:rPr>
                <w:rFonts w:hint="eastAsia" w:eastAsia="宋体"/>
                <w:color w:val="auto"/>
                <w:kern w:val="2"/>
                <w:sz w:val="21"/>
                <w:szCs w:val="18"/>
                <w:lang w:val="en-US" w:eastAsia="zh-CN" w:bidi="ar-SA"/>
              </w:rPr>
            </w:pPr>
            <w:r>
              <w:rPr>
                <w:rFonts w:hint="eastAsia"/>
                <w:color w:val="auto"/>
                <w:szCs w:val="18"/>
                <w:lang w:val="en-US" w:eastAsia="zh-CN"/>
              </w:rPr>
              <w:t>0.425</w:t>
            </w:r>
            <w:r>
              <w:rPr>
                <w:rFonts w:hint="eastAsia" w:cs="Times New Roman"/>
                <w:color w:val="auto"/>
                <w:sz w:val="21"/>
                <w:szCs w:val="21"/>
                <w:lang w:val="en-US" w:eastAsia="zh-CN"/>
              </w:rPr>
              <w:t>t/a</w:t>
            </w:r>
          </w:p>
        </w:tc>
        <w:tc>
          <w:tcPr>
            <w:tcW w:w="1387" w:type="dxa"/>
            <w:noWrap w:val="0"/>
            <w:vAlign w:val="center"/>
          </w:tcPr>
          <w:p w14:paraId="48C9AC30">
            <w:pPr>
              <w:keepNext w:val="0"/>
              <w:keepLines w:val="0"/>
              <w:suppressLineNumbers w:val="0"/>
              <w:adjustRightInd w:val="0"/>
              <w:snapToGrid w:val="0"/>
              <w:spacing w:before="0" w:beforeAutospacing="0" w:after="0" w:afterAutospacing="0"/>
              <w:ind w:left="0" w:leftChars="0" w:right="0" w:rightChars="0"/>
              <w:jc w:val="center"/>
              <w:rPr>
                <w:rFonts w:hint="eastAsia" w:eastAsia="宋体"/>
                <w:color w:val="auto"/>
                <w:kern w:val="2"/>
                <w:sz w:val="21"/>
                <w:szCs w:val="18"/>
                <w:lang w:val="en-US" w:eastAsia="zh-CN" w:bidi="ar-SA"/>
              </w:rPr>
            </w:pPr>
            <w:r>
              <w:rPr>
                <w:rFonts w:hint="eastAsia"/>
                <w:color w:val="auto"/>
                <w:szCs w:val="18"/>
                <w:lang w:val="en-US" w:eastAsia="zh-CN"/>
              </w:rPr>
              <w:t>0.425</w:t>
            </w:r>
            <w:r>
              <w:rPr>
                <w:rFonts w:hint="eastAsia" w:cs="Times New Roman"/>
                <w:color w:val="auto"/>
                <w:sz w:val="21"/>
                <w:szCs w:val="21"/>
                <w:lang w:val="en-US" w:eastAsia="zh-CN"/>
              </w:rPr>
              <w:t>t/a</w:t>
            </w:r>
          </w:p>
        </w:tc>
      </w:tr>
      <w:tr w14:paraId="43A96423">
        <w:trPr>
          <w:trHeight w:val="340" w:hRule="exact"/>
          <w:jc w:val="center"/>
        </w:trPr>
        <w:tc>
          <w:tcPr>
            <w:tcW w:w="1239" w:type="dxa"/>
            <w:vMerge w:val="continue"/>
            <w:noWrap w:val="0"/>
            <w:vAlign w:val="center"/>
          </w:tcPr>
          <w:p w14:paraId="076B431B">
            <w:pPr>
              <w:pStyle w:val="36"/>
              <w:spacing w:beforeLines="0" w:afterLines="0" w:line="240" w:lineRule="auto"/>
              <w:rPr>
                <w:rFonts w:hint="eastAsia" w:ascii="Times New Roman" w:hAnsi="Times New Roman" w:eastAsia="宋体" w:cs="宋体"/>
                <w:snapToGrid w:val="0"/>
                <w:color w:val="auto"/>
                <w:kern w:val="21"/>
                <w:sz w:val="21"/>
                <w:szCs w:val="21"/>
              </w:rPr>
            </w:pPr>
          </w:p>
        </w:tc>
        <w:tc>
          <w:tcPr>
            <w:tcW w:w="2258" w:type="dxa"/>
            <w:gridSpan w:val="2"/>
            <w:noWrap w:val="0"/>
            <w:vAlign w:val="center"/>
          </w:tcPr>
          <w:p w14:paraId="08A72195">
            <w:pPr>
              <w:pStyle w:val="17"/>
              <w:spacing w:line="240" w:lineRule="auto"/>
              <w:ind w:left="0" w:leftChars="0" w:firstLine="0" w:firstLineChars="0"/>
              <w:jc w:val="center"/>
              <w:rPr>
                <w:rFonts w:hint="default" w:ascii="Times New Roman" w:hAnsi="Times New Roman" w:eastAsia="宋体" w:cs="Times New Roman"/>
                <w:b w:val="0"/>
                <w:color w:val="auto"/>
                <w:kern w:val="2"/>
                <w:sz w:val="21"/>
                <w:szCs w:val="18"/>
                <w:lang w:val="en-US" w:eastAsia="zh-CN" w:bidi="ar-SA"/>
              </w:rPr>
            </w:pPr>
            <w:r>
              <w:rPr>
                <w:rFonts w:hint="eastAsia" w:ascii="Times New Roman" w:hAnsi="Times New Roman" w:cs="Times New Roman"/>
                <w:b w:val="0"/>
                <w:color w:val="auto"/>
                <w:sz w:val="21"/>
                <w:szCs w:val="18"/>
                <w:lang w:val="en-US" w:eastAsia="zh-CN"/>
              </w:rPr>
              <w:t>废劳保用品</w:t>
            </w:r>
          </w:p>
        </w:tc>
        <w:tc>
          <w:tcPr>
            <w:tcW w:w="1499" w:type="dxa"/>
            <w:noWrap w:val="0"/>
            <w:vAlign w:val="center"/>
          </w:tcPr>
          <w:p w14:paraId="7BA2226E">
            <w:pPr>
              <w:pStyle w:val="36"/>
              <w:spacing w:beforeLines="0" w:afterLines="0" w:line="240" w:lineRule="auto"/>
              <w:jc w:val="center"/>
              <w:rPr>
                <w:rFonts w:hint="eastAsia"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 w:val="21"/>
                <w:szCs w:val="21"/>
                <w:lang w:val="en-US" w:eastAsia="zh-CN"/>
              </w:rPr>
              <w:t>/</w:t>
            </w:r>
          </w:p>
        </w:tc>
        <w:tc>
          <w:tcPr>
            <w:tcW w:w="1114" w:type="dxa"/>
            <w:noWrap w:val="0"/>
            <w:vAlign w:val="center"/>
          </w:tcPr>
          <w:p w14:paraId="78EF24EF">
            <w:pPr>
              <w:pStyle w:val="36"/>
              <w:spacing w:beforeLines="0" w:afterLines="0" w:line="240" w:lineRule="auto"/>
              <w:jc w:val="center"/>
              <w:rPr>
                <w:rFonts w:hint="eastAsia"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 w:val="21"/>
                <w:szCs w:val="21"/>
                <w:lang w:val="en-US" w:eastAsia="zh-CN"/>
              </w:rPr>
              <w:t>/</w:t>
            </w:r>
          </w:p>
        </w:tc>
        <w:tc>
          <w:tcPr>
            <w:tcW w:w="1739" w:type="dxa"/>
            <w:noWrap w:val="0"/>
            <w:vAlign w:val="center"/>
          </w:tcPr>
          <w:p w14:paraId="47111BA0">
            <w:pPr>
              <w:pStyle w:val="36"/>
              <w:spacing w:beforeLines="0" w:afterLines="0" w:line="240" w:lineRule="auto"/>
              <w:jc w:val="center"/>
              <w:rPr>
                <w:rFonts w:hint="eastAsia"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 w:val="21"/>
                <w:szCs w:val="21"/>
                <w:lang w:val="en-US" w:eastAsia="zh-CN"/>
              </w:rPr>
              <w:t>/</w:t>
            </w:r>
          </w:p>
        </w:tc>
        <w:tc>
          <w:tcPr>
            <w:tcW w:w="1594" w:type="dxa"/>
            <w:noWrap w:val="0"/>
            <w:vAlign w:val="center"/>
          </w:tcPr>
          <w:p w14:paraId="6544D103">
            <w:pPr>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0.1</w:t>
            </w:r>
            <w:r>
              <w:rPr>
                <w:rFonts w:hint="eastAsia" w:cs="Times New Roman"/>
                <w:color w:val="auto"/>
                <w:sz w:val="21"/>
                <w:szCs w:val="21"/>
                <w:lang w:val="en-US" w:eastAsia="zh-CN"/>
              </w:rPr>
              <w:t>t/a</w:t>
            </w:r>
          </w:p>
        </w:tc>
        <w:tc>
          <w:tcPr>
            <w:tcW w:w="1802" w:type="dxa"/>
            <w:noWrap w:val="0"/>
            <w:vAlign w:val="center"/>
          </w:tcPr>
          <w:p w14:paraId="68BE0F59">
            <w:pPr>
              <w:pStyle w:val="36"/>
              <w:spacing w:beforeLines="0" w:afterLines="0" w:line="240" w:lineRule="auto"/>
              <w:jc w:val="center"/>
              <w:rPr>
                <w:rFonts w:hint="eastAsia"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 w:val="21"/>
                <w:szCs w:val="21"/>
                <w:lang w:val="en-US" w:eastAsia="zh-CN"/>
              </w:rPr>
              <w:t>/</w:t>
            </w:r>
          </w:p>
        </w:tc>
        <w:tc>
          <w:tcPr>
            <w:tcW w:w="1763" w:type="dxa"/>
            <w:noWrap w:val="0"/>
            <w:vAlign w:val="center"/>
          </w:tcPr>
          <w:p w14:paraId="5C739090">
            <w:pPr>
              <w:jc w:val="center"/>
              <w:rPr>
                <w:rFonts w:hint="eastAsia" w:ascii="Times New Roman" w:hAnsi="Times New Roman" w:eastAsia="宋体"/>
                <w:color w:val="auto"/>
                <w:kern w:val="2"/>
                <w:sz w:val="21"/>
                <w:szCs w:val="21"/>
                <w:lang w:val="en-US" w:eastAsia="zh-CN" w:bidi="ar-SA"/>
              </w:rPr>
            </w:pPr>
            <w:r>
              <w:rPr>
                <w:rFonts w:hint="eastAsia" w:ascii="Times New Roman" w:hAnsi="Times New Roman" w:eastAsia="宋体"/>
                <w:color w:val="auto"/>
                <w:sz w:val="21"/>
                <w:szCs w:val="21"/>
                <w:lang w:val="en-US" w:eastAsia="zh-CN"/>
              </w:rPr>
              <w:t>0.1</w:t>
            </w:r>
            <w:r>
              <w:rPr>
                <w:rFonts w:hint="eastAsia" w:cs="Times New Roman"/>
                <w:color w:val="auto"/>
                <w:sz w:val="21"/>
                <w:szCs w:val="21"/>
                <w:lang w:val="en-US" w:eastAsia="zh-CN"/>
              </w:rPr>
              <w:t>t/a</w:t>
            </w:r>
          </w:p>
        </w:tc>
        <w:tc>
          <w:tcPr>
            <w:tcW w:w="1387" w:type="dxa"/>
            <w:noWrap w:val="0"/>
            <w:vAlign w:val="center"/>
          </w:tcPr>
          <w:p w14:paraId="49A9B1F8">
            <w:pPr>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sz w:val="21"/>
                <w:szCs w:val="21"/>
                <w:lang w:val="en-US" w:eastAsia="zh-CN"/>
              </w:rPr>
              <w:t>0.1</w:t>
            </w:r>
            <w:r>
              <w:rPr>
                <w:rFonts w:hint="eastAsia" w:cs="Times New Roman"/>
                <w:color w:val="auto"/>
                <w:sz w:val="21"/>
                <w:szCs w:val="21"/>
                <w:lang w:val="en-US" w:eastAsia="zh-CN"/>
              </w:rPr>
              <w:t>t/a</w:t>
            </w:r>
          </w:p>
        </w:tc>
      </w:tr>
      <w:tr w14:paraId="1E6BC6B9">
        <w:trPr>
          <w:trHeight w:val="340" w:hRule="exact"/>
          <w:jc w:val="center"/>
        </w:trPr>
        <w:tc>
          <w:tcPr>
            <w:tcW w:w="1239" w:type="dxa"/>
            <w:vMerge w:val="continue"/>
            <w:noWrap w:val="0"/>
            <w:vAlign w:val="center"/>
          </w:tcPr>
          <w:p w14:paraId="5FF0353A">
            <w:pPr>
              <w:pStyle w:val="36"/>
              <w:spacing w:beforeLines="0" w:afterLines="0" w:line="240" w:lineRule="auto"/>
              <w:rPr>
                <w:rFonts w:hint="eastAsia" w:ascii="Times New Roman" w:hAnsi="Times New Roman" w:eastAsia="宋体" w:cs="宋体"/>
                <w:snapToGrid w:val="0"/>
                <w:color w:val="auto"/>
                <w:kern w:val="21"/>
                <w:sz w:val="21"/>
                <w:szCs w:val="21"/>
              </w:rPr>
            </w:pPr>
          </w:p>
        </w:tc>
        <w:tc>
          <w:tcPr>
            <w:tcW w:w="2258" w:type="dxa"/>
            <w:gridSpan w:val="2"/>
            <w:noWrap w:val="0"/>
            <w:vAlign w:val="center"/>
          </w:tcPr>
          <w:p w14:paraId="0D2E9987">
            <w:pPr>
              <w:pStyle w:val="17"/>
              <w:spacing w:line="240" w:lineRule="auto"/>
              <w:ind w:left="0" w:leftChars="0" w:firstLine="0" w:firstLineChars="0"/>
              <w:jc w:val="center"/>
              <w:rPr>
                <w:rFonts w:hint="default"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化学品包装材料</w:t>
            </w:r>
          </w:p>
        </w:tc>
        <w:tc>
          <w:tcPr>
            <w:tcW w:w="1499" w:type="dxa"/>
            <w:noWrap w:val="0"/>
            <w:vAlign w:val="center"/>
          </w:tcPr>
          <w:p w14:paraId="3EBB059E">
            <w:pPr>
              <w:spacing w:beforeLines="0" w:afterLines="0" w:line="240" w:lineRule="auto"/>
              <w:jc w:val="center"/>
              <w:rPr>
                <w:rFonts w:hint="eastAsia" w:ascii="Times New Roman" w:hAnsi="Times New Roman" w:eastAsia="宋体" w:cs="宋体"/>
                <w:snapToGrid w:val="0"/>
                <w:color w:val="auto"/>
                <w:kern w:val="21"/>
                <w:sz w:val="21"/>
                <w:szCs w:val="21"/>
                <w:lang w:val="en-US" w:eastAsia="zh-CN"/>
              </w:rPr>
            </w:pPr>
            <w:r>
              <w:rPr>
                <w:rFonts w:hint="eastAsia" w:ascii="Times New Roman" w:hAnsi="Times New Roman" w:eastAsia="宋体" w:cs="宋体"/>
                <w:snapToGrid w:val="0"/>
                <w:color w:val="auto"/>
                <w:kern w:val="21"/>
                <w:sz w:val="21"/>
                <w:szCs w:val="21"/>
                <w:lang w:val="en-US" w:eastAsia="zh-CN"/>
              </w:rPr>
              <w:t>/</w:t>
            </w:r>
          </w:p>
        </w:tc>
        <w:tc>
          <w:tcPr>
            <w:tcW w:w="1114" w:type="dxa"/>
            <w:noWrap w:val="0"/>
            <w:vAlign w:val="center"/>
          </w:tcPr>
          <w:p w14:paraId="55C723D9">
            <w:pPr>
              <w:spacing w:beforeLines="0" w:afterLines="0" w:line="240" w:lineRule="auto"/>
              <w:jc w:val="center"/>
              <w:rPr>
                <w:rFonts w:hint="eastAsia" w:ascii="Times New Roman" w:hAnsi="Times New Roman" w:eastAsia="宋体" w:cs="宋体"/>
                <w:snapToGrid w:val="0"/>
                <w:color w:val="auto"/>
                <w:kern w:val="21"/>
                <w:sz w:val="21"/>
                <w:szCs w:val="21"/>
                <w:lang w:val="en-US" w:eastAsia="zh-CN"/>
              </w:rPr>
            </w:pPr>
            <w:r>
              <w:rPr>
                <w:rFonts w:hint="eastAsia" w:ascii="Times New Roman" w:hAnsi="Times New Roman" w:eastAsia="宋体" w:cs="宋体"/>
                <w:snapToGrid w:val="0"/>
                <w:color w:val="auto"/>
                <w:kern w:val="21"/>
                <w:sz w:val="21"/>
                <w:szCs w:val="21"/>
                <w:lang w:val="en-US" w:eastAsia="zh-CN"/>
              </w:rPr>
              <w:t>/</w:t>
            </w:r>
          </w:p>
        </w:tc>
        <w:tc>
          <w:tcPr>
            <w:tcW w:w="1739" w:type="dxa"/>
            <w:noWrap w:val="0"/>
            <w:vAlign w:val="center"/>
          </w:tcPr>
          <w:p w14:paraId="7AB4574C">
            <w:pPr>
              <w:spacing w:beforeLines="0" w:afterLines="0" w:line="240" w:lineRule="auto"/>
              <w:jc w:val="center"/>
              <w:rPr>
                <w:rFonts w:hint="eastAsia" w:ascii="Times New Roman" w:hAnsi="Times New Roman" w:eastAsia="宋体" w:cs="宋体"/>
                <w:snapToGrid w:val="0"/>
                <w:color w:val="auto"/>
                <w:kern w:val="21"/>
                <w:sz w:val="21"/>
                <w:szCs w:val="21"/>
                <w:lang w:val="en-US" w:eastAsia="zh-CN"/>
              </w:rPr>
            </w:pPr>
            <w:r>
              <w:rPr>
                <w:rFonts w:hint="eastAsia" w:ascii="Times New Roman" w:hAnsi="Times New Roman" w:eastAsia="宋体" w:cs="宋体"/>
                <w:snapToGrid w:val="0"/>
                <w:color w:val="auto"/>
                <w:kern w:val="21"/>
                <w:sz w:val="21"/>
                <w:szCs w:val="21"/>
                <w:lang w:val="en-US" w:eastAsia="zh-CN"/>
              </w:rPr>
              <w:t>/</w:t>
            </w:r>
          </w:p>
        </w:tc>
        <w:tc>
          <w:tcPr>
            <w:tcW w:w="1594" w:type="dxa"/>
            <w:noWrap w:val="0"/>
            <w:vAlign w:val="center"/>
          </w:tcPr>
          <w:p w14:paraId="6AF5CAA2">
            <w:pPr>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0.2</w:t>
            </w:r>
            <w:r>
              <w:rPr>
                <w:rFonts w:hint="eastAsia" w:cs="Times New Roman"/>
                <w:color w:val="auto"/>
                <w:sz w:val="21"/>
                <w:szCs w:val="21"/>
                <w:lang w:val="en-US" w:eastAsia="zh-CN"/>
              </w:rPr>
              <w:t>t/a</w:t>
            </w:r>
          </w:p>
        </w:tc>
        <w:tc>
          <w:tcPr>
            <w:tcW w:w="1802" w:type="dxa"/>
            <w:noWrap w:val="0"/>
            <w:vAlign w:val="center"/>
          </w:tcPr>
          <w:p w14:paraId="2F851C52">
            <w:pPr>
              <w:pStyle w:val="36"/>
              <w:spacing w:beforeLines="0" w:afterLines="0" w:line="240" w:lineRule="auto"/>
              <w:jc w:val="center"/>
              <w:rPr>
                <w:rFonts w:hint="eastAsia" w:ascii="Times New Roman" w:hAnsi="Times New Roman" w:eastAsia="宋体" w:cs="宋体"/>
                <w:snapToGrid w:val="0"/>
                <w:color w:val="auto"/>
                <w:kern w:val="21"/>
                <w:sz w:val="21"/>
                <w:szCs w:val="21"/>
                <w:lang w:val="en-US" w:eastAsia="zh-CN"/>
              </w:rPr>
            </w:pPr>
            <w:r>
              <w:rPr>
                <w:rFonts w:hint="eastAsia" w:ascii="Times New Roman" w:hAnsi="Times New Roman" w:eastAsia="宋体" w:cs="宋体"/>
                <w:snapToGrid w:val="0"/>
                <w:color w:val="auto"/>
                <w:kern w:val="21"/>
                <w:sz w:val="21"/>
                <w:szCs w:val="21"/>
                <w:lang w:val="en-US" w:eastAsia="zh-CN"/>
              </w:rPr>
              <w:t>/</w:t>
            </w:r>
          </w:p>
        </w:tc>
        <w:tc>
          <w:tcPr>
            <w:tcW w:w="1763" w:type="dxa"/>
            <w:noWrap w:val="0"/>
            <w:vAlign w:val="center"/>
          </w:tcPr>
          <w:p w14:paraId="1D326A07">
            <w:pPr>
              <w:jc w:val="center"/>
              <w:rPr>
                <w:rFonts w:hint="eastAsia" w:ascii="Times New Roman" w:hAnsi="Times New Roman" w:eastAsia="宋体"/>
                <w:color w:val="auto"/>
                <w:sz w:val="21"/>
                <w:szCs w:val="21"/>
                <w:lang w:val="en-US" w:eastAsia="zh-CN"/>
              </w:rPr>
            </w:pPr>
            <w:r>
              <w:rPr>
                <w:rFonts w:hint="eastAsia"/>
                <w:color w:val="auto"/>
                <w:sz w:val="21"/>
                <w:szCs w:val="21"/>
                <w:lang w:val="en-US" w:eastAsia="zh-CN"/>
              </w:rPr>
              <w:t>0.2</w:t>
            </w:r>
            <w:r>
              <w:rPr>
                <w:rFonts w:hint="eastAsia" w:cs="Times New Roman"/>
                <w:color w:val="auto"/>
                <w:sz w:val="21"/>
                <w:szCs w:val="21"/>
                <w:lang w:val="en-US" w:eastAsia="zh-CN"/>
              </w:rPr>
              <w:t>t/a</w:t>
            </w:r>
          </w:p>
        </w:tc>
        <w:tc>
          <w:tcPr>
            <w:tcW w:w="1387" w:type="dxa"/>
            <w:noWrap w:val="0"/>
            <w:vAlign w:val="center"/>
          </w:tcPr>
          <w:p w14:paraId="64B27F74">
            <w:pPr>
              <w:jc w:val="center"/>
              <w:rPr>
                <w:rFonts w:hint="eastAsia" w:ascii="Times New Roman" w:hAnsi="Times New Roman" w:eastAsia="宋体"/>
                <w:color w:val="auto"/>
                <w:sz w:val="21"/>
                <w:szCs w:val="21"/>
                <w:lang w:val="en-US" w:eastAsia="zh-CN"/>
              </w:rPr>
            </w:pPr>
            <w:r>
              <w:rPr>
                <w:rFonts w:hint="eastAsia"/>
                <w:color w:val="auto"/>
                <w:sz w:val="21"/>
                <w:szCs w:val="21"/>
                <w:lang w:val="en-US" w:eastAsia="zh-CN"/>
              </w:rPr>
              <w:t>0.2</w:t>
            </w:r>
            <w:r>
              <w:rPr>
                <w:rFonts w:hint="eastAsia" w:cs="Times New Roman"/>
                <w:color w:val="auto"/>
                <w:sz w:val="21"/>
                <w:szCs w:val="21"/>
                <w:lang w:val="en-US" w:eastAsia="zh-CN"/>
              </w:rPr>
              <w:t>t/a</w:t>
            </w:r>
          </w:p>
        </w:tc>
      </w:tr>
      <w:tr w14:paraId="6BE06228">
        <w:trPr>
          <w:trHeight w:val="340" w:hRule="exact"/>
          <w:jc w:val="center"/>
        </w:trPr>
        <w:tc>
          <w:tcPr>
            <w:tcW w:w="1239" w:type="dxa"/>
            <w:noWrap w:val="0"/>
            <w:vAlign w:val="center"/>
          </w:tcPr>
          <w:p w14:paraId="6AC622E8">
            <w:pPr>
              <w:pStyle w:val="36"/>
              <w:spacing w:beforeLines="0" w:afterLines="0" w:line="240" w:lineRule="auto"/>
              <w:rPr>
                <w:rFonts w:hint="eastAsia" w:ascii="Times New Roman" w:hAnsi="Times New Roman" w:eastAsia="宋体" w:cs="宋体"/>
                <w:snapToGrid w:val="0"/>
                <w:color w:val="auto"/>
                <w:kern w:val="21"/>
                <w:sz w:val="21"/>
                <w:szCs w:val="21"/>
                <w:lang w:val="en-US" w:eastAsia="zh-CN"/>
              </w:rPr>
            </w:pPr>
            <w:r>
              <w:rPr>
                <w:rFonts w:hint="eastAsia" w:ascii="Times New Roman" w:hAnsi="Times New Roman" w:eastAsia="宋体" w:cs="宋体"/>
                <w:snapToGrid w:val="0"/>
                <w:color w:val="auto"/>
                <w:kern w:val="21"/>
                <w:sz w:val="21"/>
                <w:szCs w:val="21"/>
                <w:lang w:val="en-US" w:eastAsia="zh-CN"/>
              </w:rPr>
              <w:t>生活固废</w:t>
            </w:r>
          </w:p>
        </w:tc>
        <w:tc>
          <w:tcPr>
            <w:tcW w:w="2258" w:type="dxa"/>
            <w:gridSpan w:val="2"/>
            <w:noWrap w:val="0"/>
            <w:vAlign w:val="center"/>
          </w:tcPr>
          <w:p w14:paraId="3A3DB275">
            <w:pPr>
              <w:pStyle w:val="17"/>
              <w:spacing w:line="240" w:lineRule="auto"/>
              <w:ind w:left="0" w:leftChars="0" w:firstLine="0" w:firstLineChars="0"/>
              <w:jc w:val="center"/>
              <w:rPr>
                <w:rFonts w:ascii="Times New Roman" w:hAnsi="Times New Roman" w:eastAsia="宋体" w:cs="Times New Roman"/>
                <w:b w:val="0"/>
                <w:color w:val="auto"/>
                <w:kern w:val="2"/>
                <w:sz w:val="21"/>
                <w:szCs w:val="18"/>
                <w:lang w:val="en-US" w:eastAsia="zh-CN" w:bidi="ar-SA"/>
              </w:rPr>
            </w:pPr>
            <w:r>
              <w:rPr>
                <w:rFonts w:hint="eastAsia" w:ascii="Times New Roman" w:hAnsi="Times New Roman" w:eastAsia="宋体" w:cs="Times New Roman"/>
                <w:b w:val="0"/>
                <w:color w:val="auto"/>
                <w:sz w:val="21"/>
                <w:szCs w:val="18"/>
              </w:rPr>
              <w:t>生活垃圾</w:t>
            </w:r>
          </w:p>
        </w:tc>
        <w:tc>
          <w:tcPr>
            <w:tcW w:w="1499" w:type="dxa"/>
            <w:noWrap w:val="0"/>
            <w:vAlign w:val="center"/>
          </w:tcPr>
          <w:p w14:paraId="731E9B36">
            <w:pPr>
              <w:pStyle w:val="36"/>
              <w:spacing w:beforeLines="0" w:afterLines="0" w:line="240" w:lineRule="auto"/>
              <w:jc w:val="center"/>
              <w:rPr>
                <w:rFonts w:hint="eastAsia"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 w:val="21"/>
                <w:szCs w:val="21"/>
                <w:lang w:val="en-US" w:eastAsia="zh-CN"/>
              </w:rPr>
              <w:t>/</w:t>
            </w:r>
          </w:p>
        </w:tc>
        <w:tc>
          <w:tcPr>
            <w:tcW w:w="1114" w:type="dxa"/>
            <w:noWrap w:val="0"/>
            <w:vAlign w:val="center"/>
          </w:tcPr>
          <w:p w14:paraId="1D979275">
            <w:pPr>
              <w:pStyle w:val="36"/>
              <w:spacing w:beforeLines="0" w:afterLines="0" w:line="240" w:lineRule="auto"/>
              <w:jc w:val="center"/>
              <w:rPr>
                <w:rFonts w:hint="eastAsia"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 w:val="21"/>
                <w:szCs w:val="21"/>
                <w:lang w:val="en-US" w:eastAsia="zh-CN"/>
              </w:rPr>
              <w:t>/</w:t>
            </w:r>
          </w:p>
        </w:tc>
        <w:tc>
          <w:tcPr>
            <w:tcW w:w="1739" w:type="dxa"/>
            <w:noWrap w:val="0"/>
            <w:vAlign w:val="center"/>
          </w:tcPr>
          <w:p w14:paraId="208D9590">
            <w:pPr>
              <w:pStyle w:val="36"/>
              <w:spacing w:beforeLines="0" w:afterLines="0" w:line="240" w:lineRule="auto"/>
              <w:jc w:val="center"/>
              <w:rPr>
                <w:rFonts w:hint="eastAsia"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 w:val="21"/>
                <w:szCs w:val="21"/>
                <w:lang w:val="en-US" w:eastAsia="zh-CN"/>
              </w:rPr>
              <w:t>/</w:t>
            </w:r>
          </w:p>
        </w:tc>
        <w:tc>
          <w:tcPr>
            <w:tcW w:w="1594" w:type="dxa"/>
            <w:noWrap w:val="0"/>
            <w:vAlign w:val="center"/>
          </w:tcPr>
          <w:p w14:paraId="19F20D3F">
            <w:pPr>
              <w:jc w:val="center"/>
              <w:rPr>
                <w:rFonts w:ascii="Times New Roman" w:hAnsi="Times New Roman" w:eastAsia="宋体"/>
                <w:color w:val="auto"/>
                <w:sz w:val="21"/>
                <w:szCs w:val="21"/>
              </w:rPr>
            </w:pPr>
            <w:r>
              <w:rPr>
                <w:rFonts w:hint="eastAsia"/>
                <w:color w:val="auto"/>
                <w:sz w:val="21"/>
                <w:szCs w:val="21"/>
                <w:lang w:val="en-US" w:eastAsia="zh-CN"/>
              </w:rPr>
              <w:t>8.25</w:t>
            </w:r>
            <w:r>
              <w:rPr>
                <w:rFonts w:hint="eastAsia" w:cs="Times New Roman"/>
                <w:color w:val="auto"/>
                <w:sz w:val="21"/>
                <w:szCs w:val="21"/>
                <w:lang w:val="en-US" w:eastAsia="zh-CN"/>
              </w:rPr>
              <w:t>t/a</w:t>
            </w:r>
          </w:p>
        </w:tc>
        <w:tc>
          <w:tcPr>
            <w:tcW w:w="1802" w:type="dxa"/>
            <w:noWrap w:val="0"/>
            <w:vAlign w:val="center"/>
          </w:tcPr>
          <w:p w14:paraId="212BB68C">
            <w:pPr>
              <w:pStyle w:val="36"/>
              <w:spacing w:beforeLines="0" w:afterLines="0" w:line="240" w:lineRule="auto"/>
              <w:jc w:val="center"/>
              <w:rPr>
                <w:rFonts w:hint="eastAsia"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 w:val="21"/>
                <w:szCs w:val="21"/>
                <w:lang w:val="en-US" w:eastAsia="zh-CN"/>
              </w:rPr>
              <w:t>/</w:t>
            </w:r>
          </w:p>
        </w:tc>
        <w:tc>
          <w:tcPr>
            <w:tcW w:w="1763" w:type="dxa"/>
            <w:noWrap w:val="0"/>
            <w:vAlign w:val="center"/>
          </w:tcPr>
          <w:p w14:paraId="0F638C39">
            <w:pPr>
              <w:jc w:val="center"/>
              <w:rPr>
                <w:rFonts w:ascii="Times New Roman" w:hAnsi="Times New Roman" w:eastAsia="宋体"/>
                <w:color w:val="auto"/>
                <w:kern w:val="2"/>
                <w:sz w:val="21"/>
                <w:szCs w:val="21"/>
                <w:lang w:val="en-US" w:eastAsia="zh-CN" w:bidi="ar-SA"/>
              </w:rPr>
            </w:pPr>
            <w:r>
              <w:rPr>
                <w:rFonts w:hint="eastAsia"/>
                <w:color w:val="auto"/>
                <w:sz w:val="21"/>
                <w:szCs w:val="21"/>
                <w:lang w:val="en-US" w:eastAsia="zh-CN"/>
              </w:rPr>
              <w:t>8.25</w:t>
            </w:r>
            <w:r>
              <w:rPr>
                <w:rFonts w:hint="eastAsia" w:cs="Times New Roman"/>
                <w:color w:val="auto"/>
                <w:sz w:val="21"/>
                <w:szCs w:val="21"/>
                <w:lang w:val="en-US" w:eastAsia="zh-CN"/>
              </w:rPr>
              <w:t>t/a</w:t>
            </w:r>
          </w:p>
        </w:tc>
        <w:tc>
          <w:tcPr>
            <w:tcW w:w="1387" w:type="dxa"/>
            <w:noWrap w:val="0"/>
            <w:vAlign w:val="center"/>
          </w:tcPr>
          <w:p w14:paraId="23E83892">
            <w:pPr>
              <w:jc w:val="center"/>
              <w:rPr>
                <w:rFonts w:ascii="Times New Roman" w:hAnsi="Times New Roman" w:eastAsia="宋体"/>
                <w:color w:val="auto"/>
                <w:kern w:val="2"/>
                <w:sz w:val="21"/>
                <w:szCs w:val="21"/>
                <w:lang w:val="en-US" w:eastAsia="zh-CN" w:bidi="ar-SA"/>
              </w:rPr>
            </w:pPr>
            <w:r>
              <w:rPr>
                <w:rFonts w:hint="eastAsia"/>
                <w:color w:val="auto"/>
                <w:sz w:val="21"/>
                <w:szCs w:val="21"/>
                <w:lang w:val="en-US" w:eastAsia="zh-CN"/>
              </w:rPr>
              <w:t>8.25</w:t>
            </w:r>
            <w:r>
              <w:rPr>
                <w:rFonts w:hint="eastAsia" w:cs="Times New Roman"/>
                <w:color w:val="auto"/>
                <w:sz w:val="21"/>
                <w:szCs w:val="21"/>
                <w:lang w:val="en-US" w:eastAsia="zh-CN"/>
              </w:rPr>
              <w:t>t/a</w:t>
            </w:r>
          </w:p>
        </w:tc>
      </w:tr>
    </w:tbl>
    <w:p w14:paraId="39E59692">
      <w:pPr>
        <w:pStyle w:val="36"/>
        <w:spacing w:before="192" w:beforeLines="80" w:after="24"/>
        <w:jc w:val="left"/>
        <w:rPr>
          <w:rFonts w:hAnsi="宋体" w:eastAsia="黑体"/>
          <w:color w:val="auto"/>
        </w:rPr>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p>
    <w:sectPr>
      <w:pgSz w:w="16838" w:h="11905" w:orient="landscape"/>
      <w:pgMar w:top="1304" w:right="1701" w:bottom="1304" w:left="2126" w:header="851" w:footer="850" w:gutter="0"/>
      <w:pgBorders>
        <w:top w:val="none" w:sz="0" w:space="0"/>
        <w:left w:val="none" w:sz="0" w:space="0"/>
        <w:bottom w:val="none" w:sz="0" w:space="0"/>
        <w:right w:val="none" w:sz="0" w:space="0"/>
      </w:pgBorders>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A74570D-15F8-4872-91DD-DE5E8ACE01D1}"/>
  </w:font>
  <w:font w:name="黑体">
    <w:panose1 w:val="02010609060101010101"/>
    <w:charset w:val="86"/>
    <w:family w:val="auto"/>
    <w:pitch w:val="default"/>
    <w:sig w:usb0="800002BF" w:usb1="38CF7CFA" w:usb2="00000016" w:usb3="00000000" w:csb0="00040001" w:csb1="00000000"/>
    <w:embedRegular r:id="rId2" w:fontKey="{9702C514-8EF1-4BD6-8008-C075F3AC2EB5}"/>
  </w:font>
  <w:font w:name="Courier New">
    <w:panose1 w:val="02070309020205020404"/>
    <w:charset w:val="01"/>
    <w:family w:val="modern"/>
    <w:pitch w:val="default"/>
    <w:sig w:usb0="E0002EFF" w:usb1="C0007843" w:usb2="00000009" w:usb3="00000000" w:csb0="400001FF" w:csb1="FFFF0000"/>
    <w:embedRegular r:id="rId3" w:fontKey="{B28AA8DA-AE1A-4325-870E-154AC5D95BF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4" w:fontKey="{351B631E-57AB-4634-AD19-5FC92BFAC4A9}"/>
  </w:font>
  <w:font w:name="楷体_GB2312">
    <w:panose1 w:val="02010609030101010101"/>
    <w:charset w:val="86"/>
    <w:family w:val="modern"/>
    <w:pitch w:val="default"/>
    <w:sig w:usb0="00000001" w:usb1="080E0000" w:usb2="00000000" w:usb3="00000000" w:csb0="00040000" w:csb1="00000000"/>
    <w:embedRegular r:id="rId5" w:fontKey="{08C94AD7-BDBD-4133-97D6-886DB42EB53D}"/>
  </w:font>
  <w:font w:name="仿宋">
    <w:panose1 w:val="02010609060101010101"/>
    <w:charset w:val="86"/>
    <w:family w:val="modern"/>
    <w:pitch w:val="default"/>
    <w:sig w:usb0="800002BF" w:usb1="38CF7CFA" w:usb2="00000016" w:usb3="00000000" w:csb0="00040001" w:csb1="00000000"/>
    <w:embedRegular r:id="rId6" w:fontKey="{85473DBB-89B8-440B-879D-DDB66C229C15}"/>
  </w:font>
  <w:font w:name="方正小标宋_GBK">
    <w:panose1 w:val="02000000000000000000"/>
    <w:charset w:val="86"/>
    <w:family w:val="script"/>
    <w:pitch w:val="default"/>
    <w:sig w:usb0="A00002BF" w:usb1="38CF7CFA" w:usb2="00082016" w:usb3="00000000" w:csb0="00040001" w:csb1="00000000"/>
    <w:embedRegular r:id="rId7" w:fontKey="{22B90F94-C618-45B8-8249-5BAAD0B52EFD}"/>
  </w:font>
  <w:font w:name="华文仿宋">
    <w:panose1 w:val="02010600040101010101"/>
    <w:charset w:val="86"/>
    <w:family w:val="auto"/>
    <w:pitch w:val="default"/>
    <w:sig w:usb0="00000287" w:usb1="080F0000" w:usb2="00000000" w:usb3="00000000" w:csb0="0004009F" w:csb1="DFD70000"/>
    <w:embedRegular r:id="rId8" w:fontKey="{CFBE5676-E3E5-4868-B4A5-497AF746393A}"/>
  </w:font>
  <w:font w:name="Wingdings 2">
    <w:panose1 w:val="05020102010507070707"/>
    <w:charset w:val="02"/>
    <w:family w:val="roman"/>
    <w:pitch w:val="default"/>
    <w:sig w:usb0="00000000" w:usb1="00000000" w:usb2="00000000" w:usb3="00000000" w:csb0="80000000" w:csb1="00000000"/>
    <w:embedRegular r:id="rId9" w:fontKey="{D22072C5-FF1E-4194-BDAC-DB6A6A196E0B}"/>
  </w:font>
  <w:font w:name="WPSEMBED21">
    <w:panose1 w:val="02010609030101010101"/>
    <w:charset w:val="86"/>
    <w:family w:val="auto"/>
    <w:pitch w:val="default"/>
    <w:sig w:usb0="00000001" w:usb1="080E0000" w:usb2="00000000" w:usb3="00000000" w:csb0="00040000" w:csb1="00000000"/>
  </w:font>
  <w:font w:name="WPSEMBED2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B66E8C">
    <w:pPr>
      <w:pStyle w:val="1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1E6BC">
    <w:pPr>
      <w:pStyle w:val="12"/>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0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5AD4DE8">
                          <w:pPr>
                            <w:pStyle w:val="12"/>
                          </w:pPr>
                          <w:r>
                            <w:fldChar w:fldCharType="begin"/>
                          </w:r>
                          <w:r>
                            <w:instrText xml:space="preserve"> PAGE  \* MERGEFORMAT </w:instrText>
                          </w:r>
                          <w:r>
                            <w:fldChar w:fldCharType="separate"/>
                          </w:r>
                          <w:r>
                            <w:t>70</w:t>
                          </w:r>
                          <w:r>
                            <w:fldChar w:fldCharType="end"/>
                          </w:r>
                        </w:p>
                      </w:txbxContent>
                    </wps:txbx>
                    <wps:bodyPr wrap="none" lIns="0" tIns="0" rIns="0" bIns="0" upright="0">
                      <a:spAutoFit/>
                    </wps:bodyPr>
                  </wps:wsp>
                </a:graphicData>
              </a:graphic>
            </wp:anchor>
          </w:drawing>
        </mc:Choice>
        <mc:Fallback>
          <w:pict>
            <v:shape id="文本框 205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K9VNkc0BAACdAwAADgAAAAAAAAABACAAAAAeAQAAZHJzL2Uy&#10;b0RvYy54bWxQSwUGAAAAAAYABgBZAQAAXQUAAAAA&#10;">
              <v:fill on="f" focussize="0,0"/>
              <v:stroke on="f"/>
              <v:imagedata o:title=""/>
              <o:lock v:ext="edit" aspectratio="f"/>
              <v:textbox inset="0mm,0mm,0mm,0mm" style="mso-fit-shape-to-text:t;">
                <w:txbxContent>
                  <w:p w14:paraId="45AD4DE8">
                    <w:pPr>
                      <w:pStyle w:val="12"/>
                    </w:pPr>
                    <w:r>
                      <w:fldChar w:fldCharType="begin"/>
                    </w:r>
                    <w:r>
                      <w:instrText xml:space="preserve"> PAGE  \* MERGEFORMAT </w:instrText>
                    </w:r>
                    <w:r>
                      <w:fldChar w:fldCharType="separate"/>
                    </w:r>
                    <w:r>
                      <w:t>70</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9B8274"/>
    <w:multiLevelType w:val="singleLevel"/>
    <w:tmpl w:val="859B8274"/>
    <w:lvl w:ilvl="0" w:tentative="0">
      <w:start w:val="1"/>
      <w:numFmt w:val="decimal"/>
      <w:suff w:val="nothing"/>
      <w:lvlText w:val="%1"/>
      <w:lvlJc w:val="center"/>
      <w:pPr>
        <w:tabs>
          <w:tab w:val="left" w:pos="0"/>
        </w:tabs>
      </w:pPr>
      <w:rPr>
        <w:rFonts w:hint="default"/>
      </w:rPr>
    </w:lvl>
  </w:abstractNum>
  <w:abstractNum w:abstractNumId="1">
    <w:nsid w:val="9A7173DC"/>
    <w:multiLevelType w:val="singleLevel"/>
    <w:tmpl w:val="9A7173DC"/>
    <w:lvl w:ilvl="0" w:tentative="0">
      <w:start w:val="1"/>
      <w:numFmt w:val="decimal"/>
      <w:suff w:val="nothing"/>
      <w:lvlText w:val="%1"/>
      <w:lvlJc w:val="center"/>
      <w:pPr>
        <w:tabs>
          <w:tab w:val="left" w:pos="0"/>
        </w:tabs>
      </w:pPr>
      <w:rPr>
        <w:rFonts w:hint="default"/>
      </w:rPr>
    </w:lvl>
  </w:abstractNum>
  <w:abstractNum w:abstractNumId="2">
    <w:nsid w:val="9BF2DA57"/>
    <w:multiLevelType w:val="singleLevel"/>
    <w:tmpl w:val="9BF2DA57"/>
    <w:lvl w:ilvl="0" w:tentative="0">
      <w:start w:val="1"/>
      <w:numFmt w:val="decimal"/>
      <w:suff w:val="nothing"/>
      <w:lvlText w:val="%1"/>
      <w:lvlJc w:val="center"/>
      <w:pPr>
        <w:tabs>
          <w:tab w:val="left" w:pos="0"/>
        </w:tabs>
      </w:pPr>
      <w:rPr>
        <w:rFonts w:hint="default"/>
      </w:rPr>
    </w:lvl>
  </w:abstractNum>
  <w:abstractNum w:abstractNumId="3">
    <w:nsid w:val="B0D71A50"/>
    <w:multiLevelType w:val="singleLevel"/>
    <w:tmpl w:val="B0D71A50"/>
    <w:lvl w:ilvl="0" w:tentative="0">
      <w:start w:val="1"/>
      <w:numFmt w:val="decimal"/>
      <w:suff w:val="nothing"/>
      <w:lvlText w:val="%1"/>
      <w:lvlJc w:val="center"/>
      <w:pPr>
        <w:tabs>
          <w:tab w:val="left" w:pos="0"/>
        </w:tabs>
      </w:pPr>
      <w:rPr>
        <w:rFonts w:hint="default"/>
      </w:rPr>
    </w:lvl>
  </w:abstractNum>
  <w:abstractNum w:abstractNumId="4">
    <w:nsid w:val="B1F24B7D"/>
    <w:multiLevelType w:val="singleLevel"/>
    <w:tmpl w:val="B1F24B7D"/>
    <w:lvl w:ilvl="0" w:tentative="0">
      <w:start w:val="1"/>
      <w:numFmt w:val="chineseCounting"/>
      <w:suff w:val="nothing"/>
      <w:lvlText w:val="%1、"/>
      <w:lvlJc w:val="left"/>
      <w:rPr>
        <w:rFonts w:hint="eastAsia"/>
      </w:rPr>
    </w:lvl>
  </w:abstractNum>
  <w:abstractNum w:abstractNumId="5">
    <w:nsid w:val="C36F6380"/>
    <w:multiLevelType w:val="singleLevel"/>
    <w:tmpl w:val="C36F6380"/>
    <w:lvl w:ilvl="0" w:tentative="0">
      <w:start w:val="2"/>
      <w:numFmt w:val="decimal"/>
      <w:suff w:val="nothing"/>
      <w:lvlText w:val="（%1）"/>
      <w:lvlJc w:val="left"/>
    </w:lvl>
  </w:abstractNum>
  <w:abstractNum w:abstractNumId="6">
    <w:nsid w:val="D201A49D"/>
    <w:multiLevelType w:val="singleLevel"/>
    <w:tmpl w:val="D201A49D"/>
    <w:lvl w:ilvl="0" w:tentative="0">
      <w:start w:val="1"/>
      <w:numFmt w:val="bullet"/>
      <w:pStyle w:val="6"/>
      <w:lvlText w:val=""/>
      <w:lvlJc w:val="left"/>
      <w:pPr>
        <w:tabs>
          <w:tab w:val="left" w:pos="2040"/>
        </w:tabs>
        <w:ind w:left="2040" w:hanging="360"/>
      </w:pPr>
      <w:rPr>
        <w:rFonts w:hint="default" w:ascii="Wingdings" w:hAnsi="Wingdings"/>
      </w:rPr>
    </w:lvl>
  </w:abstractNum>
  <w:abstractNum w:abstractNumId="7">
    <w:nsid w:val="D44A8ED6"/>
    <w:multiLevelType w:val="singleLevel"/>
    <w:tmpl w:val="D44A8ED6"/>
    <w:lvl w:ilvl="0" w:tentative="0">
      <w:start w:val="1"/>
      <w:numFmt w:val="decimal"/>
      <w:suff w:val="nothing"/>
      <w:lvlText w:val="%1"/>
      <w:lvlJc w:val="center"/>
      <w:pPr>
        <w:tabs>
          <w:tab w:val="left" w:pos="0"/>
        </w:tabs>
      </w:pPr>
      <w:rPr>
        <w:rFonts w:hint="default"/>
      </w:rPr>
    </w:lvl>
  </w:abstractNum>
  <w:abstractNum w:abstractNumId="8">
    <w:nsid w:val="D77F6349"/>
    <w:multiLevelType w:val="singleLevel"/>
    <w:tmpl w:val="D77F6349"/>
    <w:lvl w:ilvl="0" w:tentative="0">
      <w:start w:val="1"/>
      <w:numFmt w:val="decimal"/>
      <w:suff w:val="nothing"/>
      <w:lvlText w:val="%1"/>
      <w:lvlJc w:val="center"/>
      <w:pPr>
        <w:tabs>
          <w:tab w:val="left" w:pos="0"/>
        </w:tabs>
      </w:pPr>
      <w:rPr>
        <w:rFonts w:hint="default"/>
      </w:rPr>
    </w:lvl>
  </w:abstractNum>
  <w:abstractNum w:abstractNumId="9">
    <w:nsid w:val="D9AA39CC"/>
    <w:multiLevelType w:val="singleLevel"/>
    <w:tmpl w:val="D9AA39CC"/>
    <w:lvl w:ilvl="0" w:tentative="0">
      <w:start w:val="1"/>
      <w:numFmt w:val="decimal"/>
      <w:suff w:val="nothing"/>
      <w:lvlText w:val="%1"/>
      <w:lvlJc w:val="center"/>
      <w:pPr>
        <w:tabs>
          <w:tab w:val="left" w:pos="0"/>
        </w:tabs>
      </w:pPr>
      <w:rPr>
        <w:rFonts w:hint="default"/>
      </w:rPr>
    </w:lvl>
  </w:abstractNum>
  <w:abstractNum w:abstractNumId="10">
    <w:nsid w:val="E1065C34"/>
    <w:multiLevelType w:val="singleLevel"/>
    <w:tmpl w:val="E1065C34"/>
    <w:lvl w:ilvl="0" w:tentative="0">
      <w:start w:val="1"/>
      <w:numFmt w:val="decimal"/>
      <w:suff w:val="nothing"/>
      <w:lvlText w:val="%1"/>
      <w:lvlJc w:val="center"/>
      <w:pPr>
        <w:tabs>
          <w:tab w:val="left" w:pos="0"/>
        </w:tabs>
      </w:pPr>
      <w:rPr>
        <w:rFonts w:hint="default"/>
      </w:rPr>
    </w:lvl>
  </w:abstractNum>
  <w:abstractNum w:abstractNumId="11">
    <w:nsid w:val="E8C92D35"/>
    <w:multiLevelType w:val="singleLevel"/>
    <w:tmpl w:val="E8C92D35"/>
    <w:lvl w:ilvl="0" w:tentative="0">
      <w:start w:val="1"/>
      <w:numFmt w:val="decimal"/>
      <w:suff w:val="nothing"/>
      <w:lvlText w:val="%1"/>
      <w:lvlJc w:val="center"/>
      <w:pPr>
        <w:tabs>
          <w:tab w:val="left" w:pos="0"/>
        </w:tabs>
      </w:pPr>
      <w:rPr>
        <w:rFonts w:hint="default"/>
      </w:rPr>
    </w:lvl>
  </w:abstractNum>
  <w:abstractNum w:abstractNumId="12">
    <w:nsid w:val="EF97310B"/>
    <w:multiLevelType w:val="singleLevel"/>
    <w:tmpl w:val="EF97310B"/>
    <w:lvl w:ilvl="0" w:tentative="0">
      <w:start w:val="1"/>
      <w:numFmt w:val="decimal"/>
      <w:suff w:val="nothing"/>
      <w:lvlText w:val="%1"/>
      <w:lvlJc w:val="center"/>
      <w:pPr>
        <w:tabs>
          <w:tab w:val="left" w:pos="0"/>
        </w:tabs>
      </w:pPr>
      <w:rPr>
        <w:rFonts w:hint="default"/>
      </w:rPr>
    </w:lvl>
  </w:abstractNum>
  <w:abstractNum w:abstractNumId="13">
    <w:nsid w:val="F1A07000"/>
    <w:multiLevelType w:val="singleLevel"/>
    <w:tmpl w:val="F1A07000"/>
    <w:lvl w:ilvl="0" w:tentative="0">
      <w:start w:val="1"/>
      <w:numFmt w:val="decimal"/>
      <w:suff w:val="nothing"/>
      <w:lvlText w:val="%1"/>
      <w:lvlJc w:val="center"/>
      <w:pPr>
        <w:tabs>
          <w:tab w:val="left" w:pos="0"/>
        </w:tabs>
      </w:pPr>
      <w:rPr>
        <w:rFonts w:hint="default"/>
      </w:rPr>
    </w:lvl>
  </w:abstractNum>
  <w:abstractNum w:abstractNumId="14">
    <w:nsid w:val="FECE211A"/>
    <w:multiLevelType w:val="singleLevel"/>
    <w:tmpl w:val="FECE211A"/>
    <w:lvl w:ilvl="0" w:tentative="0">
      <w:start w:val="1"/>
      <w:numFmt w:val="decimal"/>
      <w:suff w:val="nothing"/>
      <w:lvlText w:val="%1"/>
      <w:lvlJc w:val="center"/>
      <w:pPr>
        <w:tabs>
          <w:tab w:val="left" w:pos="0"/>
        </w:tabs>
      </w:pPr>
      <w:rPr>
        <w:rFonts w:hint="default"/>
      </w:rPr>
    </w:lvl>
  </w:abstractNum>
  <w:abstractNum w:abstractNumId="15">
    <w:nsid w:val="0111B1C0"/>
    <w:multiLevelType w:val="singleLevel"/>
    <w:tmpl w:val="0111B1C0"/>
    <w:lvl w:ilvl="0" w:tentative="0">
      <w:start w:val="1"/>
      <w:numFmt w:val="decimal"/>
      <w:suff w:val="nothing"/>
      <w:lvlText w:val="%1"/>
      <w:lvlJc w:val="center"/>
      <w:pPr>
        <w:tabs>
          <w:tab w:val="left" w:pos="0"/>
        </w:tabs>
      </w:pPr>
      <w:rPr>
        <w:rFonts w:hint="default"/>
      </w:rPr>
    </w:lvl>
  </w:abstractNum>
  <w:abstractNum w:abstractNumId="16">
    <w:nsid w:val="02FBEE28"/>
    <w:multiLevelType w:val="singleLevel"/>
    <w:tmpl w:val="02FBEE28"/>
    <w:lvl w:ilvl="0" w:tentative="0">
      <w:start w:val="1"/>
      <w:numFmt w:val="decimal"/>
      <w:suff w:val="nothing"/>
      <w:lvlText w:val="%1"/>
      <w:lvlJc w:val="center"/>
      <w:pPr>
        <w:tabs>
          <w:tab w:val="left" w:pos="0"/>
        </w:tabs>
      </w:pPr>
      <w:rPr>
        <w:rFonts w:hint="default"/>
      </w:rPr>
    </w:lvl>
  </w:abstractNum>
  <w:abstractNum w:abstractNumId="17">
    <w:nsid w:val="1E43628C"/>
    <w:multiLevelType w:val="singleLevel"/>
    <w:tmpl w:val="1E43628C"/>
    <w:lvl w:ilvl="0" w:tentative="0">
      <w:start w:val="1"/>
      <w:numFmt w:val="decimal"/>
      <w:suff w:val="nothing"/>
      <w:lvlText w:val="%1"/>
      <w:lvlJc w:val="center"/>
      <w:pPr>
        <w:tabs>
          <w:tab w:val="left" w:pos="0"/>
        </w:tabs>
      </w:pPr>
      <w:rPr>
        <w:rFonts w:hint="default"/>
      </w:rPr>
    </w:lvl>
  </w:abstractNum>
  <w:abstractNum w:abstractNumId="18">
    <w:nsid w:val="2150C741"/>
    <w:multiLevelType w:val="singleLevel"/>
    <w:tmpl w:val="2150C741"/>
    <w:lvl w:ilvl="0" w:tentative="0">
      <w:start w:val="1"/>
      <w:numFmt w:val="decimal"/>
      <w:suff w:val="nothing"/>
      <w:lvlText w:val="%1"/>
      <w:lvlJc w:val="center"/>
      <w:pPr>
        <w:tabs>
          <w:tab w:val="left" w:pos="0"/>
        </w:tabs>
      </w:pPr>
      <w:rPr>
        <w:rFonts w:hint="default"/>
      </w:rPr>
    </w:lvl>
  </w:abstractNum>
  <w:abstractNum w:abstractNumId="19">
    <w:nsid w:val="21DA77B0"/>
    <w:multiLevelType w:val="singleLevel"/>
    <w:tmpl w:val="21DA77B0"/>
    <w:lvl w:ilvl="0" w:tentative="0">
      <w:start w:val="2"/>
      <w:numFmt w:val="decimal"/>
      <w:suff w:val="nothing"/>
      <w:lvlText w:val="%1）"/>
      <w:lvlJc w:val="left"/>
    </w:lvl>
  </w:abstractNum>
  <w:abstractNum w:abstractNumId="20">
    <w:nsid w:val="2FF17AD5"/>
    <w:multiLevelType w:val="singleLevel"/>
    <w:tmpl w:val="2FF17AD5"/>
    <w:lvl w:ilvl="0" w:tentative="0">
      <w:start w:val="1"/>
      <w:numFmt w:val="decimal"/>
      <w:suff w:val="nothing"/>
      <w:lvlText w:val="%1"/>
      <w:lvlJc w:val="center"/>
      <w:pPr>
        <w:tabs>
          <w:tab w:val="left" w:pos="0"/>
        </w:tabs>
      </w:pPr>
      <w:rPr>
        <w:rFonts w:hint="default"/>
      </w:rPr>
    </w:lvl>
  </w:abstractNum>
  <w:abstractNum w:abstractNumId="21">
    <w:nsid w:val="42523AAD"/>
    <w:multiLevelType w:val="singleLevel"/>
    <w:tmpl w:val="42523AAD"/>
    <w:lvl w:ilvl="0" w:tentative="0">
      <w:start w:val="1"/>
      <w:numFmt w:val="decimal"/>
      <w:suff w:val="nothing"/>
      <w:lvlText w:val="%1"/>
      <w:lvlJc w:val="center"/>
      <w:pPr>
        <w:tabs>
          <w:tab w:val="left" w:pos="0"/>
        </w:tabs>
      </w:pPr>
      <w:rPr>
        <w:rFonts w:hint="default"/>
      </w:rPr>
    </w:lvl>
  </w:abstractNum>
  <w:abstractNum w:abstractNumId="22">
    <w:nsid w:val="4B55355D"/>
    <w:multiLevelType w:val="singleLevel"/>
    <w:tmpl w:val="4B55355D"/>
    <w:lvl w:ilvl="0" w:tentative="0">
      <w:start w:val="1"/>
      <w:numFmt w:val="decimal"/>
      <w:suff w:val="nothing"/>
      <w:lvlText w:val="%1"/>
      <w:lvlJc w:val="center"/>
      <w:pPr>
        <w:tabs>
          <w:tab w:val="left" w:pos="0"/>
        </w:tabs>
      </w:pPr>
      <w:rPr>
        <w:rFonts w:hint="default"/>
      </w:rPr>
    </w:lvl>
  </w:abstractNum>
  <w:abstractNum w:abstractNumId="23">
    <w:nsid w:val="4C49BE4C"/>
    <w:multiLevelType w:val="singleLevel"/>
    <w:tmpl w:val="4C49BE4C"/>
    <w:lvl w:ilvl="0" w:tentative="0">
      <w:start w:val="1"/>
      <w:numFmt w:val="decimal"/>
      <w:suff w:val="nothing"/>
      <w:lvlText w:val="%1、"/>
      <w:lvlJc w:val="left"/>
    </w:lvl>
  </w:abstractNum>
  <w:abstractNum w:abstractNumId="24">
    <w:nsid w:val="54D68D31"/>
    <w:multiLevelType w:val="singleLevel"/>
    <w:tmpl w:val="54D68D31"/>
    <w:lvl w:ilvl="0" w:tentative="0">
      <w:start w:val="1"/>
      <w:numFmt w:val="decimal"/>
      <w:suff w:val="nothing"/>
      <w:lvlText w:val="%1"/>
      <w:lvlJc w:val="center"/>
      <w:pPr>
        <w:tabs>
          <w:tab w:val="left" w:pos="0"/>
        </w:tabs>
      </w:pPr>
      <w:rPr>
        <w:rFonts w:hint="default"/>
      </w:rPr>
    </w:lvl>
  </w:abstractNum>
  <w:abstractNum w:abstractNumId="25">
    <w:nsid w:val="6A7F704D"/>
    <w:multiLevelType w:val="singleLevel"/>
    <w:tmpl w:val="6A7F704D"/>
    <w:lvl w:ilvl="0" w:tentative="0">
      <w:start w:val="1"/>
      <w:numFmt w:val="decimal"/>
      <w:suff w:val="nothing"/>
      <w:lvlText w:val="%1、"/>
      <w:lvlJc w:val="left"/>
    </w:lvl>
  </w:abstractNum>
  <w:abstractNum w:abstractNumId="26">
    <w:nsid w:val="6BA45C15"/>
    <w:multiLevelType w:val="singleLevel"/>
    <w:tmpl w:val="6BA45C15"/>
    <w:lvl w:ilvl="0" w:tentative="0">
      <w:start w:val="12"/>
      <w:numFmt w:val="chineseCounting"/>
      <w:suff w:val="nothing"/>
      <w:lvlText w:val="%1、"/>
      <w:lvlJc w:val="left"/>
      <w:rPr>
        <w:rFonts w:hint="eastAsia"/>
      </w:rPr>
    </w:lvl>
  </w:abstractNum>
  <w:abstractNum w:abstractNumId="27">
    <w:nsid w:val="6FFD9082"/>
    <w:multiLevelType w:val="singleLevel"/>
    <w:tmpl w:val="6FFD9082"/>
    <w:lvl w:ilvl="0" w:tentative="0">
      <w:start w:val="1"/>
      <w:numFmt w:val="upperLetter"/>
      <w:suff w:val="nothing"/>
      <w:lvlText w:val="%1、"/>
      <w:lvlJc w:val="left"/>
      <w:pPr>
        <w:ind w:left="1176" w:firstLine="0"/>
      </w:pPr>
    </w:lvl>
  </w:abstractNum>
  <w:num w:numId="1">
    <w:abstractNumId w:val="6"/>
  </w:num>
  <w:num w:numId="2">
    <w:abstractNumId w:val="25"/>
  </w:num>
  <w:num w:numId="3">
    <w:abstractNumId w:val="7"/>
  </w:num>
  <w:num w:numId="4">
    <w:abstractNumId w:val="4"/>
  </w:num>
  <w:num w:numId="5">
    <w:abstractNumId w:val="26"/>
  </w:num>
  <w:num w:numId="6">
    <w:abstractNumId w:val="22"/>
  </w:num>
  <w:num w:numId="7">
    <w:abstractNumId w:val="12"/>
  </w:num>
  <w:num w:numId="8">
    <w:abstractNumId w:val="18"/>
  </w:num>
  <w:num w:numId="9">
    <w:abstractNumId w:val="13"/>
  </w:num>
  <w:num w:numId="10">
    <w:abstractNumId w:val="16"/>
  </w:num>
  <w:num w:numId="11">
    <w:abstractNumId w:val="11"/>
  </w:num>
  <w:num w:numId="12">
    <w:abstractNumId w:val="10"/>
  </w:num>
  <w:num w:numId="13">
    <w:abstractNumId w:val="17"/>
  </w:num>
  <w:num w:numId="14">
    <w:abstractNumId w:val="1"/>
  </w:num>
  <w:num w:numId="15">
    <w:abstractNumId w:val="21"/>
  </w:num>
  <w:num w:numId="16">
    <w:abstractNumId w:val="24"/>
  </w:num>
  <w:num w:numId="17">
    <w:abstractNumId w:val="2"/>
  </w:num>
  <w:num w:numId="18">
    <w:abstractNumId w:val="0"/>
  </w:num>
  <w:num w:numId="19">
    <w:abstractNumId w:val="23"/>
  </w:num>
  <w:num w:numId="20">
    <w:abstractNumId w:val="8"/>
  </w:num>
  <w:num w:numId="21">
    <w:abstractNumId w:val="27"/>
  </w:num>
  <w:num w:numId="22">
    <w:abstractNumId w:val="9"/>
  </w:num>
  <w:num w:numId="23">
    <w:abstractNumId w:val="5"/>
  </w:num>
  <w:num w:numId="24">
    <w:abstractNumId w:val="14"/>
  </w:num>
  <w:num w:numId="25">
    <w:abstractNumId w:val="20"/>
  </w:num>
  <w:num w:numId="26">
    <w:abstractNumId w:val="3"/>
  </w:num>
  <w:num w:numId="27">
    <w:abstractNumId w:val="15"/>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HorizontalSpacing w:val="210"/>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RjMmQwM2YwOTU3Mjk2NjNmZTRiOWRiODIwNGRhZGMifQ=="/>
    <w:docVar w:name="KSO_WPS_MARK_KEY" w:val="000af41e-a259-4c88-959a-12989e0faa47"/>
  </w:docVars>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67D3"/>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85BB1"/>
    <w:rsid w:val="00291773"/>
    <w:rsid w:val="002A168C"/>
    <w:rsid w:val="002A3DC7"/>
    <w:rsid w:val="002B49E2"/>
    <w:rsid w:val="002B6FFD"/>
    <w:rsid w:val="002B7B00"/>
    <w:rsid w:val="002B7C44"/>
    <w:rsid w:val="002C2B17"/>
    <w:rsid w:val="002D3DD0"/>
    <w:rsid w:val="002E1F3A"/>
    <w:rsid w:val="002E1F6F"/>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B7A02"/>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5F481F"/>
    <w:rsid w:val="00611588"/>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B6D1F"/>
    <w:rsid w:val="006C0592"/>
    <w:rsid w:val="006C272E"/>
    <w:rsid w:val="006C5479"/>
    <w:rsid w:val="006D13B5"/>
    <w:rsid w:val="006E12FF"/>
    <w:rsid w:val="006E607E"/>
    <w:rsid w:val="006F7014"/>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05CA"/>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32BD"/>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0B73"/>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66CD3"/>
    <w:rsid w:val="00C704E9"/>
    <w:rsid w:val="00C763C9"/>
    <w:rsid w:val="00C80057"/>
    <w:rsid w:val="00C82232"/>
    <w:rsid w:val="00C82913"/>
    <w:rsid w:val="00C972B1"/>
    <w:rsid w:val="00CA2CCE"/>
    <w:rsid w:val="00CA43FD"/>
    <w:rsid w:val="00CA7EF8"/>
    <w:rsid w:val="00CB67CC"/>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0432"/>
    <w:rsid w:val="00F027DB"/>
    <w:rsid w:val="00F14A7A"/>
    <w:rsid w:val="00F22985"/>
    <w:rsid w:val="00F3383E"/>
    <w:rsid w:val="00F465A7"/>
    <w:rsid w:val="00F50B7C"/>
    <w:rsid w:val="00F550E6"/>
    <w:rsid w:val="00F5545E"/>
    <w:rsid w:val="00F74345"/>
    <w:rsid w:val="00F80A0A"/>
    <w:rsid w:val="00F82B19"/>
    <w:rsid w:val="00F9212D"/>
    <w:rsid w:val="00F965DA"/>
    <w:rsid w:val="00FA406A"/>
    <w:rsid w:val="00FB503A"/>
    <w:rsid w:val="00FB516C"/>
    <w:rsid w:val="00FB73A5"/>
    <w:rsid w:val="00FD0236"/>
    <w:rsid w:val="00FD18F4"/>
    <w:rsid w:val="00FD54DB"/>
    <w:rsid w:val="00FD619F"/>
    <w:rsid w:val="011A2DBD"/>
    <w:rsid w:val="01290F7E"/>
    <w:rsid w:val="013730A5"/>
    <w:rsid w:val="01475100"/>
    <w:rsid w:val="01501FE2"/>
    <w:rsid w:val="015D1E09"/>
    <w:rsid w:val="016E6AD1"/>
    <w:rsid w:val="01C241E6"/>
    <w:rsid w:val="01C9589B"/>
    <w:rsid w:val="01E96B90"/>
    <w:rsid w:val="01FC4CD9"/>
    <w:rsid w:val="01FE4B99"/>
    <w:rsid w:val="02021905"/>
    <w:rsid w:val="020769F8"/>
    <w:rsid w:val="020E02EF"/>
    <w:rsid w:val="021335B8"/>
    <w:rsid w:val="02133D00"/>
    <w:rsid w:val="021E42F5"/>
    <w:rsid w:val="021F3C86"/>
    <w:rsid w:val="02697903"/>
    <w:rsid w:val="026C6655"/>
    <w:rsid w:val="028E2EB6"/>
    <w:rsid w:val="029F7154"/>
    <w:rsid w:val="02A86B17"/>
    <w:rsid w:val="02B82ACB"/>
    <w:rsid w:val="02C1356F"/>
    <w:rsid w:val="02C805C4"/>
    <w:rsid w:val="02D101F8"/>
    <w:rsid w:val="02E5087A"/>
    <w:rsid w:val="02F518FF"/>
    <w:rsid w:val="02F6171F"/>
    <w:rsid w:val="02F96569"/>
    <w:rsid w:val="02FC171F"/>
    <w:rsid w:val="03096330"/>
    <w:rsid w:val="030F42DA"/>
    <w:rsid w:val="03275E8E"/>
    <w:rsid w:val="033721CE"/>
    <w:rsid w:val="034F46D6"/>
    <w:rsid w:val="03510799"/>
    <w:rsid w:val="03724869"/>
    <w:rsid w:val="038231ED"/>
    <w:rsid w:val="03AF2714"/>
    <w:rsid w:val="03BA492B"/>
    <w:rsid w:val="03C4697E"/>
    <w:rsid w:val="03E72B61"/>
    <w:rsid w:val="03EA7B21"/>
    <w:rsid w:val="03EB7101"/>
    <w:rsid w:val="03FD2384"/>
    <w:rsid w:val="041E339D"/>
    <w:rsid w:val="042725FF"/>
    <w:rsid w:val="04581CB1"/>
    <w:rsid w:val="04851B71"/>
    <w:rsid w:val="0488401D"/>
    <w:rsid w:val="048E6541"/>
    <w:rsid w:val="048F0668"/>
    <w:rsid w:val="04B61232"/>
    <w:rsid w:val="04B9598A"/>
    <w:rsid w:val="04D45ED7"/>
    <w:rsid w:val="04DD3213"/>
    <w:rsid w:val="04EF32D6"/>
    <w:rsid w:val="04FC088E"/>
    <w:rsid w:val="05060621"/>
    <w:rsid w:val="051361B0"/>
    <w:rsid w:val="05524952"/>
    <w:rsid w:val="05524E37"/>
    <w:rsid w:val="056C251A"/>
    <w:rsid w:val="05A04AD8"/>
    <w:rsid w:val="05B72A07"/>
    <w:rsid w:val="05B822E4"/>
    <w:rsid w:val="05BB46BB"/>
    <w:rsid w:val="05CE09B5"/>
    <w:rsid w:val="05D579CE"/>
    <w:rsid w:val="05F83EAE"/>
    <w:rsid w:val="06021ED4"/>
    <w:rsid w:val="06145C04"/>
    <w:rsid w:val="06314567"/>
    <w:rsid w:val="06326DDF"/>
    <w:rsid w:val="063335DF"/>
    <w:rsid w:val="0636619C"/>
    <w:rsid w:val="063E7D85"/>
    <w:rsid w:val="06581AF4"/>
    <w:rsid w:val="0679737C"/>
    <w:rsid w:val="0680104B"/>
    <w:rsid w:val="0680729D"/>
    <w:rsid w:val="069B7C33"/>
    <w:rsid w:val="06A143CB"/>
    <w:rsid w:val="06B12FE3"/>
    <w:rsid w:val="06CC431E"/>
    <w:rsid w:val="07072324"/>
    <w:rsid w:val="07177C01"/>
    <w:rsid w:val="071C2101"/>
    <w:rsid w:val="072145DC"/>
    <w:rsid w:val="07293586"/>
    <w:rsid w:val="07295285"/>
    <w:rsid w:val="07307AF4"/>
    <w:rsid w:val="07377AE1"/>
    <w:rsid w:val="07442251"/>
    <w:rsid w:val="07443D47"/>
    <w:rsid w:val="074D717F"/>
    <w:rsid w:val="07636392"/>
    <w:rsid w:val="076D3DEF"/>
    <w:rsid w:val="07747C1B"/>
    <w:rsid w:val="07770C56"/>
    <w:rsid w:val="078C6C2E"/>
    <w:rsid w:val="07A03867"/>
    <w:rsid w:val="07AD643D"/>
    <w:rsid w:val="07B216D8"/>
    <w:rsid w:val="07C1173B"/>
    <w:rsid w:val="07C20F75"/>
    <w:rsid w:val="07D854FD"/>
    <w:rsid w:val="07E01DA1"/>
    <w:rsid w:val="07E5325E"/>
    <w:rsid w:val="08071A24"/>
    <w:rsid w:val="08103936"/>
    <w:rsid w:val="081C0105"/>
    <w:rsid w:val="08253C58"/>
    <w:rsid w:val="0869623A"/>
    <w:rsid w:val="087B1539"/>
    <w:rsid w:val="08920E77"/>
    <w:rsid w:val="08966833"/>
    <w:rsid w:val="08B102B8"/>
    <w:rsid w:val="08D17B86"/>
    <w:rsid w:val="08D76FAE"/>
    <w:rsid w:val="08DD2784"/>
    <w:rsid w:val="08E04390"/>
    <w:rsid w:val="08EA18FB"/>
    <w:rsid w:val="09182109"/>
    <w:rsid w:val="092217DD"/>
    <w:rsid w:val="092A704E"/>
    <w:rsid w:val="092B20EA"/>
    <w:rsid w:val="09394C52"/>
    <w:rsid w:val="093A7294"/>
    <w:rsid w:val="094C15C1"/>
    <w:rsid w:val="095A281B"/>
    <w:rsid w:val="09684419"/>
    <w:rsid w:val="096B733C"/>
    <w:rsid w:val="097370B2"/>
    <w:rsid w:val="097F1F25"/>
    <w:rsid w:val="09837083"/>
    <w:rsid w:val="09952584"/>
    <w:rsid w:val="099836F7"/>
    <w:rsid w:val="09A51AB9"/>
    <w:rsid w:val="09E03EDA"/>
    <w:rsid w:val="09FD435E"/>
    <w:rsid w:val="0A0E5982"/>
    <w:rsid w:val="0A1B74BC"/>
    <w:rsid w:val="0A263993"/>
    <w:rsid w:val="0A2C297E"/>
    <w:rsid w:val="0A2D3AC2"/>
    <w:rsid w:val="0A3A180D"/>
    <w:rsid w:val="0A5275E8"/>
    <w:rsid w:val="0A73514E"/>
    <w:rsid w:val="0AA755DF"/>
    <w:rsid w:val="0ABF7996"/>
    <w:rsid w:val="0AC17553"/>
    <w:rsid w:val="0ACA788F"/>
    <w:rsid w:val="0ACB74E3"/>
    <w:rsid w:val="0ACF403A"/>
    <w:rsid w:val="0ADD4147"/>
    <w:rsid w:val="0B120D44"/>
    <w:rsid w:val="0B1C4CAF"/>
    <w:rsid w:val="0B275F39"/>
    <w:rsid w:val="0B2F0B85"/>
    <w:rsid w:val="0B521572"/>
    <w:rsid w:val="0B550F3F"/>
    <w:rsid w:val="0B603CBA"/>
    <w:rsid w:val="0B603E17"/>
    <w:rsid w:val="0B6947A3"/>
    <w:rsid w:val="0B963EB3"/>
    <w:rsid w:val="0B972B91"/>
    <w:rsid w:val="0BC1638D"/>
    <w:rsid w:val="0BC206E3"/>
    <w:rsid w:val="0BC27BA7"/>
    <w:rsid w:val="0BCD746E"/>
    <w:rsid w:val="0BD27BF6"/>
    <w:rsid w:val="0BD70BD0"/>
    <w:rsid w:val="0BD821CA"/>
    <w:rsid w:val="0BFC6399"/>
    <w:rsid w:val="0C112E71"/>
    <w:rsid w:val="0C1B5B69"/>
    <w:rsid w:val="0C230DF6"/>
    <w:rsid w:val="0C2A23F1"/>
    <w:rsid w:val="0C3B3C7D"/>
    <w:rsid w:val="0C4317DD"/>
    <w:rsid w:val="0C4A1EDF"/>
    <w:rsid w:val="0C5B3233"/>
    <w:rsid w:val="0C7C55D5"/>
    <w:rsid w:val="0C7D402B"/>
    <w:rsid w:val="0C8C55A1"/>
    <w:rsid w:val="0C99751F"/>
    <w:rsid w:val="0CAB2EAE"/>
    <w:rsid w:val="0CC71A4A"/>
    <w:rsid w:val="0CC82817"/>
    <w:rsid w:val="0CE521EC"/>
    <w:rsid w:val="0CF6407C"/>
    <w:rsid w:val="0CFE535E"/>
    <w:rsid w:val="0CFF743A"/>
    <w:rsid w:val="0D0C188A"/>
    <w:rsid w:val="0D15073F"/>
    <w:rsid w:val="0D2D78BE"/>
    <w:rsid w:val="0D543C03"/>
    <w:rsid w:val="0D556C4D"/>
    <w:rsid w:val="0D5A486E"/>
    <w:rsid w:val="0D621C7D"/>
    <w:rsid w:val="0D7D205B"/>
    <w:rsid w:val="0DE250A4"/>
    <w:rsid w:val="0DE91A86"/>
    <w:rsid w:val="0E0032ED"/>
    <w:rsid w:val="0E0F696D"/>
    <w:rsid w:val="0E26323A"/>
    <w:rsid w:val="0E43308A"/>
    <w:rsid w:val="0E55106D"/>
    <w:rsid w:val="0E6010CF"/>
    <w:rsid w:val="0E73034D"/>
    <w:rsid w:val="0EA011F5"/>
    <w:rsid w:val="0EA23597"/>
    <w:rsid w:val="0EDC5AD6"/>
    <w:rsid w:val="0EFA628E"/>
    <w:rsid w:val="0F0961EA"/>
    <w:rsid w:val="0F13775A"/>
    <w:rsid w:val="0F2509E1"/>
    <w:rsid w:val="0F3C57CB"/>
    <w:rsid w:val="0F3F7424"/>
    <w:rsid w:val="0F5325C5"/>
    <w:rsid w:val="0F5F45FE"/>
    <w:rsid w:val="0F637A50"/>
    <w:rsid w:val="0F6F26D0"/>
    <w:rsid w:val="0F982E62"/>
    <w:rsid w:val="0F9A112B"/>
    <w:rsid w:val="0F9F0072"/>
    <w:rsid w:val="0FD61F21"/>
    <w:rsid w:val="0FDC4070"/>
    <w:rsid w:val="0FF22DD8"/>
    <w:rsid w:val="100F62C6"/>
    <w:rsid w:val="102173FB"/>
    <w:rsid w:val="10246EEB"/>
    <w:rsid w:val="103C4234"/>
    <w:rsid w:val="103E1D5B"/>
    <w:rsid w:val="10625C40"/>
    <w:rsid w:val="10637A13"/>
    <w:rsid w:val="106C3F75"/>
    <w:rsid w:val="106D2F64"/>
    <w:rsid w:val="1084730F"/>
    <w:rsid w:val="108F30A1"/>
    <w:rsid w:val="109B2004"/>
    <w:rsid w:val="10A66D3E"/>
    <w:rsid w:val="10B63710"/>
    <w:rsid w:val="10B637FF"/>
    <w:rsid w:val="10D65381"/>
    <w:rsid w:val="10E03D1A"/>
    <w:rsid w:val="10F10820"/>
    <w:rsid w:val="110C60E7"/>
    <w:rsid w:val="111C2F7A"/>
    <w:rsid w:val="115B5E44"/>
    <w:rsid w:val="11665CA1"/>
    <w:rsid w:val="11AB5777"/>
    <w:rsid w:val="11C269BB"/>
    <w:rsid w:val="11FA2B3A"/>
    <w:rsid w:val="121D69D9"/>
    <w:rsid w:val="12330F25"/>
    <w:rsid w:val="1238019B"/>
    <w:rsid w:val="124D097B"/>
    <w:rsid w:val="12CF7B44"/>
    <w:rsid w:val="12D43FC3"/>
    <w:rsid w:val="12DC496C"/>
    <w:rsid w:val="12ED1816"/>
    <w:rsid w:val="12FB370A"/>
    <w:rsid w:val="13274896"/>
    <w:rsid w:val="1334401F"/>
    <w:rsid w:val="135C00CD"/>
    <w:rsid w:val="136418A2"/>
    <w:rsid w:val="13697C3D"/>
    <w:rsid w:val="13951726"/>
    <w:rsid w:val="139E30E9"/>
    <w:rsid w:val="13B23BB4"/>
    <w:rsid w:val="13B80076"/>
    <w:rsid w:val="13E005F7"/>
    <w:rsid w:val="13EA178A"/>
    <w:rsid w:val="14033ECF"/>
    <w:rsid w:val="14396509"/>
    <w:rsid w:val="1442368C"/>
    <w:rsid w:val="1443654C"/>
    <w:rsid w:val="146E7CA8"/>
    <w:rsid w:val="14B22B6E"/>
    <w:rsid w:val="14D3735D"/>
    <w:rsid w:val="14DD2C3C"/>
    <w:rsid w:val="14F67130"/>
    <w:rsid w:val="15136EC3"/>
    <w:rsid w:val="152D239E"/>
    <w:rsid w:val="153E65F9"/>
    <w:rsid w:val="15786FC5"/>
    <w:rsid w:val="15CE063D"/>
    <w:rsid w:val="15D91311"/>
    <w:rsid w:val="15DA64B5"/>
    <w:rsid w:val="15E46666"/>
    <w:rsid w:val="16003C7D"/>
    <w:rsid w:val="160378D7"/>
    <w:rsid w:val="16087E1D"/>
    <w:rsid w:val="16210154"/>
    <w:rsid w:val="16336340"/>
    <w:rsid w:val="16557E32"/>
    <w:rsid w:val="165D5133"/>
    <w:rsid w:val="169326D4"/>
    <w:rsid w:val="16AF3087"/>
    <w:rsid w:val="16D01B7A"/>
    <w:rsid w:val="16E8428B"/>
    <w:rsid w:val="16FA1A4D"/>
    <w:rsid w:val="170014D8"/>
    <w:rsid w:val="17061543"/>
    <w:rsid w:val="17356A4A"/>
    <w:rsid w:val="1743234C"/>
    <w:rsid w:val="1746420E"/>
    <w:rsid w:val="175D087C"/>
    <w:rsid w:val="17701D14"/>
    <w:rsid w:val="17735226"/>
    <w:rsid w:val="17912CF9"/>
    <w:rsid w:val="179425F8"/>
    <w:rsid w:val="179D1A5D"/>
    <w:rsid w:val="17C75E10"/>
    <w:rsid w:val="17DB3380"/>
    <w:rsid w:val="17E60711"/>
    <w:rsid w:val="17ED08D5"/>
    <w:rsid w:val="18150ACC"/>
    <w:rsid w:val="182C08B7"/>
    <w:rsid w:val="18414ADE"/>
    <w:rsid w:val="18502F73"/>
    <w:rsid w:val="18611617"/>
    <w:rsid w:val="18714C97"/>
    <w:rsid w:val="188F6EFF"/>
    <w:rsid w:val="18931006"/>
    <w:rsid w:val="189F624C"/>
    <w:rsid w:val="18AB5987"/>
    <w:rsid w:val="18B82CA7"/>
    <w:rsid w:val="18BE6C4E"/>
    <w:rsid w:val="18CC478F"/>
    <w:rsid w:val="18F25DD8"/>
    <w:rsid w:val="19630A84"/>
    <w:rsid w:val="19841C91"/>
    <w:rsid w:val="19843555"/>
    <w:rsid w:val="1987067B"/>
    <w:rsid w:val="198804EA"/>
    <w:rsid w:val="199A44AE"/>
    <w:rsid w:val="19A74E14"/>
    <w:rsid w:val="19B73B0E"/>
    <w:rsid w:val="19C452DD"/>
    <w:rsid w:val="1A1276D4"/>
    <w:rsid w:val="1A1C66C0"/>
    <w:rsid w:val="1A1E128A"/>
    <w:rsid w:val="1A42393B"/>
    <w:rsid w:val="1A4679FD"/>
    <w:rsid w:val="1A56335D"/>
    <w:rsid w:val="1A6E7911"/>
    <w:rsid w:val="1A953F27"/>
    <w:rsid w:val="1A9910E0"/>
    <w:rsid w:val="1A9B5BA3"/>
    <w:rsid w:val="1AAB00B1"/>
    <w:rsid w:val="1AAD45DE"/>
    <w:rsid w:val="1AD676A1"/>
    <w:rsid w:val="1B046F80"/>
    <w:rsid w:val="1B1D7C99"/>
    <w:rsid w:val="1B2B69B3"/>
    <w:rsid w:val="1B3267B5"/>
    <w:rsid w:val="1B40161D"/>
    <w:rsid w:val="1B441859"/>
    <w:rsid w:val="1B46240B"/>
    <w:rsid w:val="1B4E2119"/>
    <w:rsid w:val="1B527F1C"/>
    <w:rsid w:val="1B533F8B"/>
    <w:rsid w:val="1B6606B1"/>
    <w:rsid w:val="1B9F0845"/>
    <w:rsid w:val="1BA07391"/>
    <w:rsid w:val="1BAF12A6"/>
    <w:rsid w:val="1BB1131B"/>
    <w:rsid w:val="1BB9690C"/>
    <w:rsid w:val="1BDF6CAC"/>
    <w:rsid w:val="1BF27E9D"/>
    <w:rsid w:val="1BFB4237"/>
    <w:rsid w:val="1C091A2D"/>
    <w:rsid w:val="1C195764"/>
    <w:rsid w:val="1C375D79"/>
    <w:rsid w:val="1C5E7925"/>
    <w:rsid w:val="1C725F39"/>
    <w:rsid w:val="1C773AA6"/>
    <w:rsid w:val="1C803987"/>
    <w:rsid w:val="1CA55B7C"/>
    <w:rsid w:val="1CDD5CD3"/>
    <w:rsid w:val="1CE80FDE"/>
    <w:rsid w:val="1CF71C0F"/>
    <w:rsid w:val="1CFD070F"/>
    <w:rsid w:val="1D1C5902"/>
    <w:rsid w:val="1D2560A8"/>
    <w:rsid w:val="1D365709"/>
    <w:rsid w:val="1D55563E"/>
    <w:rsid w:val="1D5F6196"/>
    <w:rsid w:val="1D6132A5"/>
    <w:rsid w:val="1D617B99"/>
    <w:rsid w:val="1D8611E5"/>
    <w:rsid w:val="1D8E56D5"/>
    <w:rsid w:val="1D93510F"/>
    <w:rsid w:val="1D99700A"/>
    <w:rsid w:val="1D9A35A9"/>
    <w:rsid w:val="1DA51136"/>
    <w:rsid w:val="1DD16669"/>
    <w:rsid w:val="1DD42D48"/>
    <w:rsid w:val="1DF443A0"/>
    <w:rsid w:val="1DF63111"/>
    <w:rsid w:val="1E051ED3"/>
    <w:rsid w:val="1E12741D"/>
    <w:rsid w:val="1E167B21"/>
    <w:rsid w:val="1E32115C"/>
    <w:rsid w:val="1E366767"/>
    <w:rsid w:val="1E5D3215"/>
    <w:rsid w:val="1E7828DC"/>
    <w:rsid w:val="1E7A43DA"/>
    <w:rsid w:val="1E894AFB"/>
    <w:rsid w:val="1E9E3EB0"/>
    <w:rsid w:val="1EB97D7D"/>
    <w:rsid w:val="1ED16490"/>
    <w:rsid w:val="1EE6032F"/>
    <w:rsid w:val="1EFB52BB"/>
    <w:rsid w:val="1F1E56A3"/>
    <w:rsid w:val="1F1E750D"/>
    <w:rsid w:val="1F35221C"/>
    <w:rsid w:val="1F417E98"/>
    <w:rsid w:val="1F4D5304"/>
    <w:rsid w:val="1F62545B"/>
    <w:rsid w:val="1F79777E"/>
    <w:rsid w:val="1F7D351C"/>
    <w:rsid w:val="1F871773"/>
    <w:rsid w:val="1FA927AD"/>
    <w:rsid w:val="1FC20EB0"/>
    <w:rsid w:val="1FCD6C57"/>
    <w:rsid w:val="1FE12059"/>
    <w:rsid w:val="1FE3316F"/>
    <w:rsid w:val="1FE7539E"/>
    <w:rsid w:val="1FEB3581"/>
    <w:rsid w:val="1FF01949"/>
    <w:rsid w:val="20462904"/>
    <w:rsid w:val="20671BE0"/>
    <w:rsid w:val="207227D1"/>
    <w:rsid w:val="2072480B"/>
    <w:rsid w:val="20963CB8"/>
    <w:rsid w:val="20A81A1B"/>
    <w:rsid w:val="20B07FB6"/>
    <w:rsid w:val="20B646FB"/>
    <w:rsid w:val="20C9519F"/>
    <w:rsid w:val="20D72F44"/>
    <w:rsid w:val="20EA55B3"/>
    <w:rsid w:val="20F63D5D"/>
    <w:rsid w:val="211A0319"/>
    <w:rsid w:val="213276BA"/>
    <w:rsid w:val="213B74B1"/>
    <w:rsid w:val="213C7056"/>
    <w:rsid w:val="214764FB"/>
    <w:rsid w:val="215A2310"/>
    <w:rsid w:val="21677087"/>
    <w:rsid w:val="218577ED"/>
    <w:rsid w:val="21884BA0"/>
    <w:rsid w:val="219D08AB"/>
    <w:rsid w:val="21B0335D"/>
    <w:rsid w:val="21BA2C7D"/>
    <w:rsid w:val="21D0323E"/>
    <w:rsid w:val="21DE318A"/>
    <w:rsid w:val="21EF5B80"/>
    <w:rsid w:val="21F865C3"/>
    <w:rsid w:val="220715F3"/>
    <w:rsid w:val="220D3C83"/>
    <w:rsid w:val="22281741"/>
    <w:rsid w:val="22337313"/>
    <w:rsid w:val="2250276A"/>
    <w:rsid w:val="22576990"/>
    <w:rsid w:val="226B1B8E"/>
    <w:rsid w:val="226C6603"/>
    <w:rsid w:val="226D64CF"/>
    <w:rsid w:val="228A55EF"/>
    <w:rsid w:val="229E47A5"/>
    <w:rsid w:val="229E48DB"/>
    <w:rsid w:val="22A44C92"/>
    <w:rsid w:val="22BB548D"/>
    <w:rsid w:val="22F1590C"/>
    <w:rsid w:val="22F47480"/>
    <w:rsid w:val="22FA4207"/>
    <w:rsid w:val="230F40A2"/>
    <w:rsid w:val="23133FE2"/>
    <w:rsid w:val="234119C1"/>
    <w:rsid w:val="234454AB"/>
    <w:rsid w:val="235148C0"/>
    <w:rsid w:val="23745367"/>
    <w:rsid w:val="239B6116"/>
    <w:rsid w:val="23C33983"/>
    <w:rsid w:val="23D760B0"/>
    <w:rsid w:val="23DB3C19"/>
    <w:rsid w:val="23DE1C48"/>
    <w:rsid w:val="23E22FB8"/>
    <w:rsid w:val="23F70648"/>
    <w:rsid w:val="23FE035A"/>
    <w:rsid w:val="240210CD"/>
    <w:rsid w:val="2423656D"/>
    <w:rsid w:val="24253506"/>
    <w:rsid w:val="24284D18"/>
    <w:rsid w:val="242F0DFC"/>
    <w:rsid w:val="2458707D"/>
    <w:rsid w:val="245E2D69"/>
    <w:rsid w:val="246366C5"/>
    <w:rsid w:val="24A90B5F"/>
    <w:rsid w:val="24BF09F7"/>
    <w:rsid w:val="24DF218E"/>
    <w:rsid w:val="24DF4897"/>
    <w:rsid w:val="24F03091"/>
    <w:rsid w:val="2504630B"/>
    <w:rsid w:val="250D339F"/>
    <w:rsid w:val="25276E09"/>
    <w:rsid w:val="252D53FE"/>
    <w:rsid w:val="254B6F9C"/>
    <w:rsid w:val="255A2EAA"/>
    <w:rsid w:val="255D4ACB"/>
    <w:rsid w:val="256066CE"/>
    <w:rsid w:val="25760297"/>
    <w:rsid w:val="2576071C"/>
    <w:rsid w:val="259207E6"/>
    <w:rsid w:val="25BF6D75"/>
    <w:rsid w:val="25EB4087"/>
    <w:rsid w:val="25EC2D81"/>
    <w:rsid w:val="25F35525"/>
    <w:rsid w:val="25FC0296"/>
    <w:rsid w:val="26254FFC"/>
    <w:rsid w:val="263A6C9F"/>
    <w:rsid w:val="265621D2"/>
    <w:rsid w:val="26731E1F"/>
    <w:rsid w:val="269161DC"/>
    <w:rsid w:val="26B40B71"/>
    <w:rsid w:val="26D053FB"/>
    <w:rsid w:val="26DD40ED"/>
    <w:rsid w:val="26DD439F"/>
    <w:rsid w:val="26E1455F"/>
    <w:rsid w:val="26F55BF7"/>
    <w:rsid w:val="27007912"/>
    <w:rsid w:val="270A6CA5"/>
    <w:rsid w:val="270E19C3"/>
    <w:rsid w:val="2725351F"/>
    <w:rsid w:val="27267910"/>
    <w:rsid w:val="274116D1"/>
    <w:rsid w:val="275F0ADD"/>
    <w:rsid w:val="276240DD"/>
    <w:rsid w:val="276A5BAC"/>
    <w:rsid w:val="277057A2"/>
    <w:rsid w:val="277B34AD"/>
    <w:rsid w:val="277F117F"/>
    <w:rsid w:val="27A84748"/>
    <w:rsid w:val="27AC5CEC"/>
    <w:rsid w:val="27B76AED"/>
    <w:rsid w:val="27C350F5"/>
    <w:rsid w:val="27CC1334"/>
    <w:rsid w:val="27D21932"/>
    <w:rsid w:val="27EE1E60"/>
    <w:rsid w:val="282D21C3"/>
    <w:rsid w:val="283038F0"/>
    <w:rsid w:val="28415DBC"/>
    <w:rsid w:val="287527E4"/>
    <w:rsid w:val="287E2FFF"/>
    <w:rsid w:val="288504F3"/>
    <w:rsid w:val="2899133D"/>
    <w:rsid w:val="28B41FB2"/>
    <w:rsid w:val="28B83236"/>
    <w:rsid w:val="28F95420"/>
    <w:rsid w:val="291C2256"/>
    <w:rsid w:val="29206EB8"/>
    <w:rsid w:val="292F4054"/>
    <w:rsid w:val="293E52B8"/>
    <w:rsid w:val="29431F26"/>
    <w:rsid w:val="294F4B81"/>
    <w:rsid w:val="29512C9E"/>
    <w:rsid w:val="29595666"/>
    <w:rsid w:val="295F03EE"/>
    <w:rsid w:val="296169AC"/>
    <w:rsid w:val="29637999"/>
    <w:rsid w:val="296D5F87"/>
    <w:rsid w:val="297445E7"/>
    <w:rsid w:val="29786A70"/>
    <w:rsid w:val="2985050A"/>
    <w:rsid w:val="2987056A"/>
    <w:rsid w:val="29874881"/>
    <w:rsid w:val="299129D8"/>
    <w:rsid w:val="29D42587"/>
    <w:rsid w:val="29DB6414"/>
    <w:rsid w:val="29E325E0"/>
    <w:rsid w:val="29E9217D"/>
    <w:rsid w:val="29F03DCB"/>
    <w:rsid w:val="29F179E6"/>
    <w:rsid w:val="2A070FB7"/>
    <w:rsid w:val="2A2E2C3F"/>
    <w:rsid w:val="2A452503"/>
    <w:rsid w:val="2A5825CE"/>
    <w:rsid w:val="2A88659C"/>
    <w:rsid w:val="2A9108C1"/>
    <w:rsid w:val="2A952A67"/>
    <w:rsid w:val="2A994305"/>
    <w:rsid w:val="2A9B7DF8"/>
    <w:rsid w:val="2ABE5B1A"/>
    <w:rsid w:val="2AC22581"/>
    <w:rsid w:val="2AD321A5"/>
    <w:rsid w:val="2AEF70F8"/>
    <w:rsid w:val="2B0F45C8"/>
    <w:rsid w:val="2B2810A5"/>
    <w:rsid w:val="2B593AD5"/>
    <w:rsid w:val="2B702225"/>
    <w:rsid w:val="2B7E6B04"/>
    <w:rsid w:val="2B9B3F1D"/>
    <w:rsid w:val="2BA10873"/>
    <w:rsid w:val="2BA136A2"/>
    <w:rsid w:val="2BA936A8"/>
    <w:rsid w:val="2BB05DAB"/>
    <w:rsid w:val="2BBA6DEC"/>
    <w:rsid w:val="2BC03B14"/>
    <w:rsid w:val="2BF65788"/>
    <w:rsid w:val="2BF67606"/>
    <w:rsid w:val="2C315A5A"/>
    <w:rsid w:val="2C3342E6"/>
    <w:rsid w:val="2C4B1C25"/>
    <w:rsid w:val="2C592FC1"/>
    <w:rsid w:val="2C5A7AC4"/>
    <w:rsid w:val="2C5B0ED0"/>
    <w:rsid w:val="2C6F28B5"/>
    <w:rsid w:val="2C82299E"/>
    <w:rsid w:val="2C89576E"/>
    <w:rsid w:val="2C8B1733"/>
    <w:rsid w:val="2C9D3225"/>
    <w:rsid w:val="2CA71107"/>
    <w:rsid w:val="2CB903E0"/>
    <w:rsid w:val="2CD32198"/>
    <w:rsid w:val="2CD755B9"/>
    <w:rsid w:val="2CF07B57"/>
    <w:rsid w:val="2CF25F4F"/>
    <w:rsid w:val="2D061055"/>
    <w:rsid w:val="2D0D1BD8"/>
    <w:rsid w:val="2D154F37"/>
    <w:rsid w:val="2D465EBA"/>
    <w:rsid w:val="2D5062BE"/>
    <w:rsid w:val="2D7B54CA"/>
    <w:rsid w:val="2D825E5D"/>
    <w:rsid w:val="2D9A0F3B"/>
    <w:rsid w:val="2D9E56F5"/>
    <w:rsid w:val="2DA13989"/>
    <w:rsid w:val="2DD22879"/>
    <w:rsid w:val="2DDC3620"/>
    <w:rsid w:val="2DDD09AD"/>
    <w:rsid w:val="2DDF37A8"/>
    <w:rsid w:val="2DE450E6"/>
    <w:rsid w:val="2DF3523C"/>
    <w:rsid w:val="2DFD0F15"/>
    <w:rsid w:val="2E227850"/>
    <w:rsid w:val="2E43383F"/>
    <w:rsid w:val="2E4E06E6"/>
    <w:rsid w:val="2E567D39"/>
    <w:rsid w:val="2E667F96"/>
    <w:rsid w:val="2E7D5901"/>
    <w:rsid w:val="2E8226AB"/>
    <w:rsid w:val="2EB33456"/>
    <w:rsid w:val="2EBB5F58"/>
    <w:rsid w:val="2ED42524"/>
    <w:rsid w:val="2ED7601E"/>
    <w:rsid w:val="2EE713B8"/>
    <w:rsid w:val="2F114565"/>
    <w:rsid w:val="2F1A612E"/>
    <w:rsid w:val="2F266384"/>
    <w:rsid w:val="2F3B1E2F"/>
    <w:rsid w:val="2F3C4203"/>
    <w:rsid w:val="2F465323"/>
    <w:rsid w:val="2F4F58DB"/>
    <w:rsid w:val="2FD065E6"/>
    <w:rsid w:val="2FD96870"/>
    <w:rsid w:val="30084A9B"/>
    <w:rsid w:val="300F5684"/>
    <w:rsid w:val="30136908"/>
    <w:rsid w:val="30580BC9"/>
    <w:rsid w:val="30751371"/>
    <w:rsid w:val="308771AA"/>
    <w:rsid w:val="30A11D05"/>
    <w:rsid w:val="30BB52B9"/>
    <w:rsid w:val="30F90FEB"/>
    <w:rsid w:val="30FB7945"/>
    <w:rsid w:val="311E2ED7"/>
    <w:rsid w:val="312F769E"/>
    <w:rsid w:val="313F54DB"/>
    <w:rsid w:val="31425E97"/>
    <w:rsid w:val="31547BE0"/>
    <w:rsid w:val="315619EE"/>
    <w:rsid w:val="315C449C"/>
    <w:rsid w:val="316F3CB0"/>
    <w:rsid w:val="317A6513"/>
    <w:rsid w:val="31B36638"/>
    <w:rsid w:val="31B82709"/>
    <w:rsid w:val="31C81974"/>
    <w:rsid w:val="31CA656B"/>
    <w:rsid w:val="31D05482"/>
    <w:rsid w:val="31DE3363"/>
    <w:rsid w:val="32292413"/>
    <w:rsid w:val="32400B34"/>
    <w:rsid w:val="324571FC"/>
    <w:rsid w:val="3248776A"/>
    <w:rsid w:val="32591C6C"/>
    <w:rsid w:val="3267489A"/>
    <w:rsid w:val="329E6876"/>
    <w:rsid w:val="32A95256"/>
    <w:rsid w:val="32CF10D4"/>
    <w:rsid w:val="32EC51EE"/>
    <w:rsid w:val="333015F2"/>
    <w:rsid w:val="333556A7"/>
    <w:rsid w:val="334B6320"/>
    <w:rsid w:val="336124DA"/>
    <w:rsid w:val="33857B1D"/>
    <w:rsid w:val="33B45D0C"/>
    <w:rsid w:val="33C06DA7"/>
    <w:rsid w:val="33D934D4"/>
    <w:rsid w:val="33E934A8"/>
    <w:rsid w:val="33FA5A4C"/>
    <w:rsid w:val="33FE2F6A"/>
    <w:rsid w:val="340E07E5"/>
    <w:rsid w:val="34235BF7"/>
    <w:rsid w:val="346D4EA1"/>
    <w:rsid w:val="34916906"/>
    <w:rsid w:val="34A75871"/>
    <w:rsid w:val="34B63D06"/>
    <w:rsid w:val="34BD60DD"/>
    <w:rsid w:val="34BD6597"/>
    <w:rsid w:val="34C463DA"/>
    <w:rsid w:val="34DD5183"/>
    <w:rsid w:val="34E95524"/>
    <w:rsid w:val="34EB1C02"/>
    <w:rsid w:val="34F72B49"/>
    <w:rsid w:val="351F5A5F"/>
    <w:rsid w:val="353F1F4D"/>
    <w:rsid w:val="353F64D7"/>
    <w:rsid w:val="354C7358"/>
    <w:rsid w:val="356276C1"/>
    <w:rsid w:val="35646FEC"/>
    <w:rsid w:val="35865D12"/>
    <w:rsid w:val="358C5FA8"/>
    <w:rsid w:val="359E0708"/>
    <w:rsid w:val="35B91E6B"/>
    <w:rsid w:val="35C15DF1"/>
    <w:rsid w:val="35CD6EA7"/>
    <w:rsid w:val="35E2785D"/>
    <w:rsid w:val="35E62A57"/>
    <w:rsid w:val="35F757B9"/>
    <w:rsid w:val="36074A7F"/>
    <w:rsid w:val="3608593D"/>
    <w:rsid w:val="36226226"/>
    <w:rsid w:val="36394DA2"/>
    <w:rsid w:val="3647730B"/>
    <w:rsid w:val="3652453B"/>
    <w:rsid w:val="368875AD"/>
    <w:rsid w:val="36923549"/>
    <w:rsid w:val="36B75FBF"/>
    <w:rsid w:val="36BD0C45"/>
    <w:rsid w:val="36BF3346"/>
    <w:rsid w:val="36DC3F10"/>
    <w:rsid w:val="37022046"/>
    <w:rsid w:val="371E2C7C"/>
    <w:rsid w:val="372238D5"/>
    <w:rsid w:val="372331E8"/>
    <w:rsid w:val="372B12D5"/>
    <w:rsid w:val="37481132"/>
    <w:rsid w:val="375655FD"/>
    <w:rsid w:val="37590ECC"/>
    <w:rsid w:val="37597ED9"/>
    <w:rsid w:val="375D490D"/>
    <w:rsid w:val="37861B9D"/>
    <w:rsid w:val="379C6BE3"/>
    <w:rsid w:val="379C71E3"/>
    <w:rsid w:val="37B12C17"/>
    <w:rsid w:val="37B409D1"/>
    <w:rsid w:val="37B54749"/>
    <w:rsid w:val="37BB439E"/>
    <w:rsid w:val="37DB6A4E"/>
    <w:rsid w:val="37E00298"/>
    <w:rsid w:val="37F04A9C"/>
    <w:rsid w:val="381551E7"/>
    <w:rsid w:val="38195BB2"/>
    <w:rsid w:val="38341CC6"/>
    <w:rsid w:val="38387D6B"/>
    <w:rsid w:val="383D77DB"/>
    <w:rsid w:val="38784A60"/>
    <w:rsid w:val="388A7983"/>
    <w:rsid w:val="388C36FB"/>
    <w:rsid w:val="389D192B"/>
    <w:rsid w:val="38B302F9"/>
    <w:rsid w:val="38B90269"/>
    <w:rsid w:val="38DF6375"/>
    <w:rsid w:val="38F12CD3"/>
    <w:rsid w:val="38F94775"/>
    <w:rsid w:val="390E7AAB"/>
    <w:rsid w:val="39107255"/>
    <w:rsid w:val="391525C7"/>
    <w:rsid w:val="39262387"/>
    <w:rsid w:val="392971ED"/>
    <w:rsid w:val="392D22F8"/>
    <w:rsid w:val="39325651"/>
    <w:rsid w:val="39336ED0"/>
    <w:rsid w:val="39371D31"/>
    <w:rsid w:val="39475874"/>
    <w:rsid w:val="39835CA6"/>
    <w:rsid w:val="39AC380B"/>
    <w:rsid w:val="39BB230B"/>
    <w:rsid w:val="39C418E6"/>
    <w:rsid w:val="39D427E1"/>
    <w:rsid w:val="39E01121"/>
    <w:rsid w:val="39EE7AEE"/>
    <w:rsid w:val="3A0E3D76"/>
    <w:rsid w:val="3A140C5B"/>
    <w:rsid w:val="3A28018A"/>
    <w:rsid w:val="3A2F786B"/>
    <w:rsid w:val="3A3D7D87"/>
    <w:rsid w:val="3A4D6EBA"/>
    <w:rsid w:val="3A762DF6"/>
    <w:rsid w:val="3A8600A0"/>
    <w:rsid w:val="3A872856"/>
    <w:rsid w:val="3A916DA7"/>
    <w:rsid w:val="3AAB1A20"/>
    <w:rsid w:val="3AAE0CBA"/>
    <w:rsid w:val="3AB55EEC"/>
    <w:rsid w:val="3ABD6E9A"/>
    <w:rsid w:val="3AE72252"/>
    <w:rsid w:val="3AF9027A"/>
    <w:rsid w:val="3B111C96"/>
    <w:rsid w:val="3B1D063B"/>
    <w:rsid w:val="3B2A71FC"/>
    <w:rsid w:val="3B3763D1"/>
    <w:rsid w:val="3B6B6B08"/>
    <w:rsid w:val="3B6F75E7"/>
    <w:rsid w:val="3B7238E1"/>
    <w:rsid w:val="3B9763AB"/>
    <w:rsid w:val="3B9B0444"/>
    <w:rsid w:val="3BA12B54"/>
    <w:rsid w:val="3BA8620D"/>
    <w:rsid w:val="3BAE6350"/>
    <w:rsid w:val="3BB84D09"/>
    <w:rsid w:val="3BF770DE"/>
    <w:rsid w:val="3BFB7A0F"/>
    <w:rsid w:val="3C015002"/>
    <w:rsid w:val="3C1266E0"/>
    <w:rsid w:val="3C153DB5"/>
    <w:rsid w:val="3C166958"/>
    <w:rsid w:val="3C2D4BF2"/>
    <w:rsid w:val="3C2F6E1E"/>
    <w:rsid w:val="3C326FC2"/>
    <w:rsid w:val="3C3A3C9D"/>
    <w:rsid w:val="3C436AA3"/>
    <w:rsid w:val="3C4F64BA"/>
    <w:rsid w:val="3C8643A1"/>
    <w:rsid w:val="3CBC6FA9"/>
    <w:rsid w:val="3CC0653E"/>
    <w:rsid w:val="3CDA245A"/>
    <w:rsid w:val="3CDB2B33"/>
    <w:rsid w:val="3D0777F5"/>
    <w:rsid w:val="3D0C6BB9"/>
    <w:rsid w:val="3D115F7D"/>
    <w:rsid w:val="3D1E06B7"/>
    <w:rsid w:val="3D1E6743"/>
    <w:rsid w:val="3D2F28A7"/>
    <w:rsid w:val="3D4548DB"/>
    <w:rsid w:val="3D4C0C53"/>
    <w:rsid w:val="3D51080A"/>
    <w:rsid w:val="3D7E60D5"/>
    <w:rsid w:val="3D975A08"/>
    <w:rsid w:val="3D9917FC"/>
    <w:rsid w:val="3DB54DD9"/>
    <w:rsid w:val="3DCC51A4"/>
    <w:rsid w:val="3DFD6192"/>
    <w:rsid w:val="3E1014DE"/>
    <w:rsid w:val="3E1A0144"/>
    <w:rsid w:val="3E297D69"/>
    <w:rsid w:val="3E2C62E0"/>
    <w:rsid w:val="3E3C19A0"/>
    <w:rsid w:val="3E8A248B"/>
    <w:rsid w:val="3E9C080B"/>
    <w:rsid w:val="3EB76FF8"/>
    <w:rsid w:val="3EBE219F"/>
    <w:rsid w:val="3EDA0523"/>
    <w:rsid w:val="3F0763D8"/>
    <w:rsid w:val="3F0A7128"/>
    <w:rsid w:val="3F116709"/>
    <w:rsid w:val="3F1C3EEE"/>
    <w:rsid w:val="3F2A3467"/>
    <w:rsid w:val="3F4D274F"/>
    <w:rsid w:val="3F6302FB"/>
    <w:rsid w:val="3F666A6D"/>
    <w:rsid w:val="3F710F55"/>
    <w:rsid w:val="3F7239CD"/>
    <w:rsid w:val="3F776E55"/>
    <w:rsid w:val="3F882D9F"/>
    <w:rsid w:val="3F9F3D14"/>
    <w:rsid w:val="3FA77C5C"/>
    <w:rsid w:val="3FDA2743"/>
    <w:rsid w:val="3FDE41D1"/>
    <w:rsid w:val="3FE07E89"/>
    <w:rsid w:val="401D43BA"/>
    <w:rsid w:val="40264CCE"/>
    <w:rsid w:val="40296C51"/>
    <w:rsid w:val="40363F4D"/>
    <w:rsid w:val="404F5104"/>
    <w:rsid w:val="406002B7"/>
    <w:rsid w:val="407A6407"/>
    <w:rsid w:val="407E0275"/>
    <w:rsid w:val="40A06F15"/>
    <w:rsid w:val="40A95E4A"/>
    <w:rsid w:val="40D30C94"/>
    <w:rsid w:val="40FB141E"/>
    <w:rsid w:val="41272B75"/>
    <w:rsid w:val="41317AC9"/>
    <w:rsid w:val="414517BC"/>
    <w:rsid w:val="414B3477"/>
    <w:rsid w:val="41630D72"/>
    <w:rsid w:val="417D5732"/>
    <w:rsid w:val="417D6208"/>
    <w:rsid w:val="419158DF"/>
    <w:rsid w:val="419A3DF2"/>
    <w:rsid w:val="41A2189A"/>
    <w:rsid w:val="41AC739C"/>
    <w:rsid w:val="41B11ADD"/>
    <w:rsid w:val="41CB5A26"/>
    <w:rsid w:val="41D04F44"/>
    <w:rsid w:val="41E56495"/>
    <w:rsid w:val="41EB7EF0"/>
    <w:rsid w:val="41F51D68"/>
    <w:rsid w:val="41F823AB"/>
    <w:rsid w:val="41FC1829"/>
    <w:rsid w:val="4200449D"/>
    <w:rsid w:val="422D1E0D"/>
    <w:rsid w:val="423A3BCC"/>
    <w:rsid w:val="42436E99"/>
    <w:rsid w:val="42440744"/>
    <w:rsid w:val="424E570C"/>
    <w:rsid w:val="424E57D2"/>
    <w:rsid w:val="42501D99"/>
    <w:rsid w:val="42764152"/>
    <w:rsid w:val="427E29D8"/>
    <w:rsid w:val="429F4E62"/>
    <w:rsid w:val="42B26C49"/>
    <w:rsid w:val="42BC7E98"/>
    <w:rsid w:val="42C21106"/>
    <w:rsid w:val="42D04F92"/>
    <w:rsid w:val="42DC38D8"/>
    <w:rsid w:val="42DD4FC2"/>
    <w:rsid w:val="42FF2E7F"/>
    <w:rsid w:val="431247FD"/>
    <w:rsid w:val="43192D7A"/>
    <w:rsid w:val="4326545A"/>
    <w:rsid w:val="433A6FE6"/>
    <w:rsid w:val="433C6E2B"/>
    <w:rsid w:val="43480868"/>
    <w:rsid w:val="4350713C"/>
    <w:rsid w:val="435F1BBC"/>
    <w:rsid w:val="436653E0"/>
    <w:rsid w:val="438000D4"/>
    <w:rsid w:val="438617B1"/>
    <w:rsid w:val="43BE409F"/>
    <w:rsid w:val="43C006FD"/>
    <w:rsid w:val="43C02E3F"/>
    <w:rsid w:val="43C4431A"/>
    <w:rsid w:val="43C81360"/>
    <w:rsid w:val="43CC52F4"/>
    <w:rsid w:val="44056624"/>
    <w:rsid w:val="44120827"/>
    <w:rsid w:val="443D76C4"/>
    <w:rsid w:val="444C3D3F"/>
    <w:rsid w:val="44596DE5"/>
    <w:rsid w:val="44784639"/>
    <w:rsid w:val="4488746D"/>
    <w:rsid w:val="44B951CC"/>
    <w:rsid w:val="44BB226E"/>
    <w:rsid w:val="44CB5E5A"/>
    <w:rsid w:val="44CD14E0"/>
    <w:rsid w:val="44CD16F5"/>
    <w:rsid w:val="44F20B0B"/>
    <w:rsid w:val="4515060D"/>
    <w:rsid w:val="45220D5F"/>
    <w:rsid w:val="452E5F4C"/>
    <w:rsid w:val="45612018"/>
    <w:rsid w:val="45682DFA"/>
    <w:rsid w:val="456926CF"/>
    <w:rsid w:val="457B2EBC"/>
    <w:rsid w:val="457B3A1C"/>
    <w:rsid w:val="458946E9"/>
    <w:rsid w:val="45A47C0E"/>
    <w:rsid w:val="45ED5A46"/>
    <w:rsid w:val="45F44141"/>
    <w:rsid w:val="463B258E"/>
    <w:rsid w:val="46420921"/>
    <w:rsid w:val="46577FD6"/>
    <w:rsid w:val="468B47AB"/>
    <w:rsid w:val="468F3C95"/>
    <w:rsid w:val="46A37E04"/>
    <w:rsid w:val="46A77C72"/>
    <w:rsid w:val="46AD6644"/>
    <w:rsid w:val="46D955A7"/>
    <w:rsid w:val="46E14488"/>
    <w:rsid w:val="46F53798"/>
    <w:rsid w:val="47133957"/>
    <w:rsid w:val="474312E2"/>
    <w:rsid w:val="477F442B"/>
    <w:rsid w:val="47936635"/>
    <w:rsid w:val="47950834"/>
    <w:rsid w:val="47A07E0C"/>
    <w:rsid w:val="47A964B7"/>
    <w:rsid w:val="47DC362C"/>
    <w:rsid w:val="47E30789"/>
    <w:rsid w:val="48084669"/>
    <w:rsid w:val="480A7604"/>
    <w:rsid w:val="48121712"/>
    <w:rsid w:val="482C0DD1"/>
    <w:rsid w:val="483D0BB9"/>
    <w:rsid w:val="48465A2C"/>
    <w:rsid w:val="48697981"/>
    <w:rsid w:val="4870272E"/>
    <w:rsid w:val="4871646A"/>
    <w:rsid w:val="487433D2"/>
    <w:rsid w:val="488313FE"/>
    <w:rsid w:val="488828F3"/>
    <w:rsid w:val="48BF71D5"/>
    <w:rsid w:val="48C51160"/>
    <w:rsid w:val="48D11CBD"/>
    <w:rsid w:val="48D16682"/>
    <w:rsid w:val="49081C5C"/>
    <w:rsid w:val="49482592"/>
    <w:rsid w:val="49493543"/>
    <w:rsid w:val="49594EFB"/>
    <w:rsid w:val="495A71E0"/>
    <w:rsid w:val="49653BCB"/>
    <w:rsid w:val="49926934"/>
    <w:rsid w:val="499F2373"/>
    <w:rsid w:val="49A63EF1"/>
    <w:rsid w:val="49BA69B6"/>
    <w:rsid w:val="49DC7715"/>
    <w:rsid w:val="49F53858"/>
    <w:rsid w:val="49F931EA"/>
    <w:rsid w:val="4A023139"/>
    <w:rsid w:val="4A1A1CB8"/>
    <w:rsid w:val="4A3D6E8A"/>
    <w:rsid w:val="4A436112"/>
    <w:rsid w:val="4A5111CC"/>
    <w:rsid w:val="4A522801"/>
    <w:rsid w:val="4A5A06D0"/>
    <w:rsid w:val="4A5C4598"/>
    <w:rsid w:val="4A7B576F"/>
    <w:rsid w:val="4A904B0F"/>
    <w:rsid w:val="4A973815"/>
    <w:rsid w:val="4A98169F"/>
    <w:rsid w:val="4AA012BB"/>
    <w:rsid w:val="4ACE0C3A"/>
    <w:rsid w:val="4AD4796F"/>
    <w:rsid w:val="4ADB0391"/>
    <w:rsid w:val="4ADC5C52"/>
    <w:rsid w:val="4AEB03B3"/>
    <w:rsid w:val="4AED63CC"/>
    <w:rsid w:val="4AF561A9"/>
    <w:rsid w:val="4B1959DE"/>
    <w:rsid w:val="4B1D4687"/>
    <w:rsid w:val="4B21283B"/>
    <w:rsid w:val="4B241572"/>
    <w:rsid w:val="4B2D08F9"/>
    <w:rsid w:val="4B38010A"/>
    <w:rsid w:val="4B4B6742"/>
    <w:rsid w:val="4B614AD2"/>
    <w:rsid w:val="4B6E16D9"/>
    <w:rsid w:val="4B783EEB"/>
    <w:rsid w:val="4B8F7333"/>
    <w:rsid w:val="4BA07FCD"/>
    <w:rsid w:val="4BAA0444"/>
    <w:rsid w:val="4BBA0D7E"/>
    <w:rsid w:val="4BC36D42"/>
    <w:rsid w:val="4BC36FDC"/>
    <w:rsid w:val="4BD1526B"/>
    <w:rsid w:val="4BD96800"/>
    <w:rsid w:val="4BE6129F"/>
    <w:rsid w:val="4C2C66CC"/>
    <w:rsid w:val="4C4A0649"/>
    <w:rsid w:val="4C4E6E54"/>
    <w:rsid w:val="4C6C76C0"/>
    <w:rsid w:val="4C6E0FF4"/>
    <w:rsid w:val="4C7E5ECA"/>
    <w:rsid w:val="4C8449BE"/>
    <w:rsid w:val="4C876AA5"/>
    <w:rsid w:val="4C9E412D"/>
    <w:rsid w:val="4CB6746F"/>
    <w:rsid w:val="4CC3394F"/>
    <w:rsid w:val="4CC64336"/>
    <w:rsid w:val="4CC8208E"/>
    <w:rsid w:val="4CF431C6"/>
    <w:rsid w:val="4D0176AD"/>
    <w:rsid w:val="4D047657"/>
    <w:rsid w:val="4D0E00FB"/>
    <w:rsid w:val="4D176606"/>
    <w:rsid w:val="4D5C11FD"/>
    <w:rsid w:val="4D5D6FBD"/>
    <w:rsid w:val="4D616471"/>
    <w:rsid w:val="4D6E13CC"/>
    <w:rsid w:val="4D7D6BEE"/>
    <w:rsid w:val="4DA14831"/>
    <w:rsid w:val="4DC96400"/>
    <w:rsid w:val="4DEC4FB0"/>
    <w:rsid w:val="4DF30C68"/>
    <w:rsid w:val="4DF91C56"/>
    <w:rsid w:val="4E075D8A"/>
    <w:rsid w:val="4E15029D"/>
    <w:rsid w:val="4E1A1EF8"/>
    <w:rsid w:val="4E2348DD"/>
    <w:rsid w:val="4E3046D1"/>
    <w:rsid w:val="4E397133"/>
    <w:rsid w:val="4E5E4D9B"/>
    <w:rsid w:val="4E704ACE"/>
    <w:rsid w:val="4E7E005C"/>
    <w:rsid w:val="4E7E1866"/>
    <w:rsid w:val="4E8447A7"/>
    <w:rsid w:val="4E8B3A55"/>
    <w:rsid w:val="4E8D3976"/>
    <w:rsid w:val="4E910A1B"/>
    <w:rsid w:val="4EBB45A4"/>
    <w:rsid w:val="4EC00FAD"/>
    <w:rsid w:val="4EC2357B"/>
    <w:rsid w:val="4EC3679C"/>
    <w:rsid w:val="4EC654D0"/>
    <w:rsid w:val="4ED00689"/>
    <w:rsid w:val="4ED35788"/>
    <w:rsid w:val="4F3F2E1E"/>
    <w:rsid w:val="4F4A6568"/>
    <w:rsid w:val="4F58791E"/>
    <w:rsid w:val="4F652159"/>
    <w:rsid w:val="4F7A20A8"/>
    <w:rsid w:val="4F9661FD"/>
    <w:rsid w:val="4F9843DC"/>
    <w:rsid w:val="4F9E08D8"/>
    <w:rsid w:val="4FAE3587"/>
    <w:rsid w:val="4FC62A8C"/>
    <w:rsid w:val="4FE025A5"/>
    <w:rsid w:val="4FE20F0D"/>
    <w:rsid w:val="4FE51552"/>
    <w:rsid w:val="4FF876DD"/>
    <w:rsid w:val="500A4CC0"/>
    <w:rsid w:val="500D0826"/>
    <w:rsid w:val="500F7AE2"/>
    <w:rsid w:val="5012360C"/>
    <w:rsid w:val="502348F8"/>
    <w:rsid w:val="5050337E"/>
    <w:rsid w:val="50504C4B"/>
    <w:rsid w:val="5076286F"/>
    <w:rsid w:val="50785209"/>
    <w:rsid w:val="50864C28"/>
    <w:rsid w:val="509C6E7C"/>
    <w:rsid w:val="50BD049E"/>
    <w:rsid w:val="50C32CE8"/>
    <w:rsid w:val="50C858DE"/>
    <w:rsid w:val="50C874A7"/>
    <w:rsid w:val="50E13A61"/>
    <w:rsid w:val="5121381F"/>
    <w:rsid w:val="51263205"/>
    <w:rsid w:val="51527597"/>
    <w:rsid w:val="5162104E"/>
    <w:rsid w:val="51623C00"/>
    <w:rsid w:val="516306D9"/>
    <w:rsid w:val="516E7BEC"/>
    <w:rsid w:val="518C00E7"/>
    <w:rsid w:val="519F1952"/>
    <w:rsid w:val="51C309A8"/>
    <w:rsid w:val="51E176D6"/>
    <w:rsid w:val="51E50788"/>
    <w:rsid w:val="525A4854"/>
    <w:rsid w:val="5288688A"/>
    <w:rsid w:val="52A65B43"/>
    <w:rsid w:val="52C34BE9"/>
    <w:rsid w:val="52E41A7F"/>
    <w:rsid w:val="52EE05B8"/>
    <w:rsid w:val="52F158D4"/>
    <w:rsid w:val="53095C83"/>
    <w:rsid w:val="530E3233"/>
    <w:rsid w:val="53385DC7"/>
    <w:rsid w:val="53420AEC"/>
    <w:rsid w:val="536966BB"/>
    <w:rsid w:val="53712F23"/>
    <w:rsid w:val="5372466B"/>
    <w:rsid w:val="53816552"/>
    <w:rsid w:val="53A039CC"/>
    <w:rsid w:val="53A1505A"/>
    <w:rsid w:val="53B66E73"/>
    <w:rsid w:val="53BC5EEF"/>
    <w:rsid w:val="54063E08"/>
    <w:rsid w:val="54227392"/>
    <w:rsid w:val="543437E8"/>
    <w:rsid w:val="5436341E"/>
    <w:rsid w:val="545D5872"/>
    <w:rsid w:val="548215DA"/>
    <w:rsid w:val="549E5E6A"/>
    <w:rsid w:val="54A51975"/>
    <w:rsid w:val="54B020C8"/>
    <w:rsid w:val="54C70340"/>
    <w:rsid w:val="54CD6B31"/>
    <w:rsid w:val="54F73313"/>
    <w:rsid w:val="54F80955"/>
    <w:rsid w:val="54FA1929"/>
    <w:rsid w:val="54FF2D5F"/>
    <w:rsid w:val="5512068D"/>
    <w:rsid w:val="5524472E"/>
    <w:rsid w:val="552F5EF1"/>
    <w:rsid w:val="55410F72"/>
    <w:rsid w:val="554A6E1A"/>
    <w:rsid w:val="554F70FD"/>
    <w:rsid w:val="555170A7"/>
    <w:rsid w:val="55562C6F"/>
    <w:rsid w:val="555B1233"/>
    <w:rsid w:val="5560764A"/>
    <w:rsid w:val="557E5025"/>
    <w:rsid w:val="557F07F6"/>
    <w:rsid w:val="5587536D"/>
    <w:rsid w:val="559B174B"/>
    <w:rsid w:val="559F6C4C"/>
    <w:rsid w:val="55A00B58"/>
    <w:rsid w:val="55A439DB"/>
    <w:rsid w:val="55A827FE"/>
    <w:rsid w:val="55C74080"/>
    <w:rsid w:val="55CE0CF4"/>
    <w:rsid w:val="55DE4FAF"/>
    <w:rsid w:val="561C5C67"/>
    <w:rsid w:val="563A00D7"/>
    <w:rsid w:val="565F7902"/>
    <w:rsid w:val="569450F7"/>
    <w:rsid w:val="56B22A9C"/>
    <w:rsid w:val="56B87F4E"/>
    <w:rsid w:val="56CA026A"/>
    <w:rsid w:val="56D229EE"/>
    <w:rsid w:val="56D24E90"/>
    <w:rsid w:val="56D87741"/>
    <w:rsid w:val="56D95906"/>
    <w:rsid w:val="56E60E92"/>
    <w:rsid w:val="57171BBD"/>
    <w:rsid w:val="5717642E"/>
    <w:rsid w:val="5723790C"/>
    <w:rsid w:val="572F7EC3"/>
    <w:rsid w:val="576C5FC3"/>
    <w:rsid w:val="57992859"/>
    <w:rsid w:val="579F535A"/>
    <w:rsid w:val="57A00397"/>
    <w:rsid w:val="57A22629"/>
    <w:rsid w:val="57B72A76"/>
    <w:rsid w:val="57C3426C"/>
    <w:rsid w:val="57C422A6"/>
    <w:rsid w:val="57CE1F93"/>
    <w:rsid w:val="57EF2F07"/>
    <w:rsid w:val="57F05661"/>
    <w:rsid w:val="5805272B"/>
    <w:rsid w:val="580B5F93"/>
    <w:rsid w:val="58505B85"/>
    <w:rsid w:val="586720EA"/>
    <w:rsid w:val="586F4B44"/>
    <w:rsid w:val="587A0A23"/>
    <w:rsid w:val="58866BC2"/>
    <w:rsid w:val="588743D1"/>
    <w:rsid w:val="5887701A"/>
    <w:rsid w:val="58AB01C6"/>
    <w:rsid w:val="58AB4DD7"/>
    <w:rsid w:val="58AC56A8"/>
    <w:rsid w:val="58B55EFF"/>
    <w:rsid w:val="58C85117"/>
    <w:rsid w:val="58E8424F"/>
    <w:rsid w:val="59004561"/>
    <w:rsid w:val="591831D2"/>
    <w:rsid w:val="595E4F2B"/>
    <w:rsid w:val="59607763"/>
    <w:rsid w:val="59617FED"/>
    <w:rsid w:val="597162CA"/>
    <w:rsid w:val="59821DDC"/>
    <w:rsid w:val="598C3E39"/>
    <w:rsid w:val="59C0439F"/>
    <w:rsid w:val="59CD1087"/>
    <w:rsid w:val="59FF38D6"/>
    <w:rsid w:val="5A1777FB"/>
    <w:rsid w:val="5A265150"/>
    <w:rsid w:val="5A391EB3"/>
    <w:rsid w:val="5A3F4454"/>
    <w:rsid w:val="5A527009"/>
    <w:rsid w:val="5A695B47"/>
    <w:rsid w:val="5ABE2233"/>
    <w:rsid w:val="5ABF173F"/>
    <w:rsid w:val="5ACA709B"/>
    <w:rsid w:val="5AE2190C"/>
    <w:rsid w:val="5AF56A87"/>
    <w:rsid w:val="5B237CE3"/>
    <w:rsid w:val="5B327589"/>
    <w:rsid w:val="5B576786"/>
    <w:rsid w:val="5B664BB8"/>
    <w:rsid w:val="5B7A1F99"/>
    <w:rsid w:val="5BC8419B"/>
    <w:rsid w:val="5BCC3C8B"/>
    <w:rsid w:val="5BDF5D95"/>
    <w:rsid w:val="5BFE7528"/>
    <w:rsid w:val="5C0F39F3"/>
    <w:rsid w:val="5C1B782B"/>
    <w:rsid w:val="5C2D3061"/>
    <w:rsid w:val="5C316E92"/>
    <w:rsid w:val="5C3905AA"/>
    <w:rsid w:val="5C8D4E32"/>
    <w:rsid w:val="5C8F3298"/>
    <w:rsid w:val="5C8F6B07"/>
    <w:rsid w:val="5C922E1D"/>
    <w:rsid w:val="5C970CCE"/>
    <w:rsid w:val="5C981DBF"/>
    <w:rsid w:val="5C9A22D4"/>
    <w:rsid w:val="5CA940FC"/>
    <w:rsid w:val="5CCE55F8"/>
    <w:rsid w:val="5CCE757F"/>
    <w:rsid w:val="5CE565AC"/>
    <w:rsid w:val="5D0C61EF"/>
    <w:rsid w:val="5D303ACB"/>
    <w:rsid w:val="5D340BCA"/>
    <w:rsid w:val="5D44679A"/>
    <w:rsid w:val="5D494E68"/>
    <w:rsid w:val="5D69554A"/>
    <w:rsid w:val="5D8B37B8"/>
    <w:rsid w:val="5D902BE3"/>
    <w:rsid w:val="5D960639"/>
    <w:rsid w:val="5DA100D9"/>
    <w:rsid w:val="5DB04EE7"/>
    <w:rsid w:val="5DB63499"/>
    <w:rsid w:val="5DCA41FA"/>
    <w:rsid w:val="5DE042A0"/>
    <w:rsid w:val="5DF9408F"/>
    <w:rsid w:val="5DFE110E"/>
    <w:rsid w:val="5E062D59"/>
    <w:rsid w:val="5E234848"/>
    <w:rsid w:val="5E2467F1"/>
    <w:rsid w:val="5E3653EC"/>
    <w:rsid w:val="5E575858"/>
    <w:rsid w:val="5E596192"/>
    <w:rsid w:val="5E7F4CEF"/>
    <w:rsid w:val="5E84084D"/>
    <w:rsid w:val="5E9D34E8"/>
    <w:rsid w:val="5EAF0CAF"/>
    <w:rsid w:val="5EC701A5"/>
    <w:rsid w:val="5EEB4428"/>
    <w:rsid w:val="5EF17D9A"/>
    <w:rsid w:val="5F1A2B43"/>
    <w:rsid w:val="5F2F43ED"/>
    <w:rsid w:val="5F40386B"/>
    <w:rsid w:val="5F475654"/>
    <w:rsid w:val="5F5244A8"/>
    <w:rsid w:val="5F600D78"/>
    <w:rsid w:val="5F707EF0"/>
    <w:rsid w:val="5F7B3972"/>
    <w:rsid w:val="5F7D704B"/>
    <w:rsid w:val="5F822D18"/>
    <w:rsid w:val="5F984A82"/>
    <w:rsid w:val="5FB837BB"/>
    <w:rsid w:val="5FB96ED2"/>
    <w:rsid w:val="5FE57A29"/>
    <w:rsid w:val="6007175E"/>
    <w:rsid w:val="60085A26"/>
    <w:rsid w:val="60107EBF"/>
    <w:rsid w:val="60156139"/>
    <w:rsid w:val="602A19E2"/>
    <w:rsid w:val="602C0EA8"/>
    <w:rsid w:val="604638E0"/>
    <w:rsid w:val="604C498D"/>
    <w:rsid w:val="606852DD"/>
    <w:rsid w:val="6082700E"/>
    <w:rsid w:val="60857178"/>
    <w:rsid w:val="608A7C71"/>
    <w:rsid w:val="60964198"/>
    <w:rsid w:val="609E10F4"/>
    <w:rsid w:val="60A36469"/>
    <w:rsid w:val="60A6548B"/>
    <w:rsid w:val="60B60A66"/>
    <w:rsid w:val="60C6474C"/>
    <w:rsid w:val="60CC028A"/>
    <w:rsid w:val="60CC405A"/>
    <w:rsid w:val="60D513BE"/>
    <w:rsid w:val="60EB6E0E"/>
    <w:rsid w:val="60F30906"/>
    <w:rsid w:val="611F1682"/>
    <w:rsid w:val="61581FA1"/>
    <w:rsid w:val="615A5895"/>
    <w:rsid w:val="615C6F13"/>
    <w:rsid w:val="616D2329"/>
    <w:rsid w:val="617A2575"/>
    <w:rsid w:val="61BB564B"/>
    <w:rsid w:val="61C251E9"/>
    <w:rsid w:val="61CA10F6"/>
    <w:rsid w:val="61D54214"/>
    <w:rsid w:val="61DD281A"/>
    <w:rsid w:val="61E14399"/>
    <w:rsid w:val="61E215D8"/>
    <w:rsid w:val="61F4029B"/>
    <w:rsid w:val="61FD3956"/>
    <w:rsid w:val="621326B5"/>
    <w:rsid w:val="621B3775"/>
    <w:rsid w:val="62364782"/>
    <w:rsid w:val="62412CC5"/>
    <w:rsid w:val="628149C0"/>
    <w:rsid w:val="62872B04"/>
    <w:rsid w:val="62970A67"/>
    <w:rsid w:val="62A274F4"/>
    <w:rsid w:val="62C31218"/>
    <w:rsid w:val="62FB009D"/>
    <w:rsid w:val="62FE4B68"/>
    <w:rsid w:val="632020B3"/>
    <w:rsid w:val="63232573"/>
    <w:rsid w:val="63372EAC"/>
    <w:rsid w:val="63757F56"/>
    <w:rsid w:val="63822E81"/>
    <w:rsid w:val="63880D97"/>
    <w:rsid w:val="638861EE"/>
    <w:rsid w:val="6394356A"/>
    <w:rsid w:val="63A56543"/>
    <w:rsid w:val="63BF7F06"/>
    <w:rsid w:val="63C61B2C"/>
    <w:rsid w:val="63D40BE9"/>
    <w:rsid w:val="63E44A84"/>
    <w:rsid w:val="63EB5CF9"/>
    <w:rsid w:val="63EF1C7E"/>
    <w:rsid w:val="640758B2"/>
    <w:rsid w:val="64102431"/>
    <w:rsid w:val="64216B3E"/>
    <w:rsid w:val="647C39F6"/>
    <w:rsid w:val="64820354"/>
    <w:rsid w:val="648A6492"/>
    <w:rsid w:val="64916AA6"/>
    <w:rsid w:val="64A0080C"/>
    <w:rsid w:val="64A5243A"/>
    <w:rsid w:val="64CA1EB3"/>
    <w:rsid w:val="64DC71F6"/>
    <w:rsid w:val="64DE5CCE"/>
    <w:rsid w:val="64F531DE"/>
    <w:rsid w:val="64F9030A"/>
    <w:rsid w:val="65373578"/>
    <w:rsid w:val="654830B7"/>
    <w:rsid w:val="655D3762"/>
    <w:rsid w:val="65750D3B"/>
    <w:rsid w:val="659A5816"/>
    <w:rsid w:val="65AC00C4"/>
    <w:rsid w:val="65BA4F17"/>
    <w:rsid w:val="65D93686"/>
    <w:rsid w:val="65FD4766"/>
    <w:rsid w:val="66042121"/>
    <w:rsid w:val="66106F08"/>
    <w:rsid w:val="66370C74"/>
    <w:rsid w:val="663C7C5F"/>
    <w:rsid w:val="663D434A"/>
    <w:rsid w:val="66407CC5"/>
    <w:rsid w:val="66475C0F"/>
    <w:rsid w:val="664A0030"/>
    <w:rsid w:val="664D59C9"/>
    <w:rsid w:val="66686C8B"/>
    <w:rsid w:val="667C1704"/>
    <w:rsid w:val="66AD05D0"/>
    <w:rsid w:val="66BA3DCF"/>
    <w:rsid w:val="67006EDF"/>
    <w:rsid w:val="6706395B"/>
    <w:rsid w:val="670E4866"/>
    <w:rsid w:val="6719059F"/>
    <w:rsid w:val="67192DA5"/>
    <w:rsid w:val="671F124A"/>
    <w:rsid w:val="67273908"/>
    <w:rsid w:val="674E0FD2"/>
    <w:rsid w:val="67515F42"/>
    <w:rsid w:val="67641018"/>
    <w:rsid w:val="677A33C6"/>
    <w:rsid w:val="67984E5B"/>
    <w:rsid w:val="67A238E2"/>
    <w:rsid w:val="67A71109"/>
    <w:rsid w:val="67AF05BF"/>
    <w:rsid w:val="67DE57CC"/>
    <w:rsid w:val="67E36C19"/>
    <w:rsid w:val="68024591"/>
    <w:rsid w:val="68040309"/>
    <w:rsid w:val="681D13CB"/>
    <w:rsid w:val="681F6961"/>
    <w:rsid w:val="68373209"/>
    <w:rsid w:val="684C4B13"/>
    <w:rsid w:val="68610A2F"/>
    <w:rsid w:val="68664B20"/>
    <w:rsid w:val="68805514"/>
    <w:rsid w:val="68C33D20"/>
    <w:rsid w:val="68C736F8"/>
    <w:rsid w:val="68CA01FA"/>
    <w:rsid w:val="68D51CA5"/>
    <w:rsid w:val="68E20B21"/>
    <w:rsid w:val="68E37A1E"/>
    <w:rsid w:val="68FD4D2A"/>
    <w:rsid w:val="692E26CD"/>
    <w:rsid w:val="692E7D33"/>
    <w:rsid w:val="69316E2F"/>
    <w:rsid w:val="693B5FAC"/>
    <w:rsid w:val="6948699E"/>
    <w:rsid w:val="694E2071"/>
    <w:rsid w:val="696E24C1"/>
    <w:rsid w:val="69766163"/>
    <w:rsid w:val="697A3B33"/>
    <w:rsid w:val="69884B3C"/>
    <w:rsid w:val="69994871"/>
    <w:rsid w:val="69A229F8"/>
    <w:rsid w:val="69D44760"/>
    <w:rsid w:val="69FE53A2"/>
    <w:rsid w:val="6A1B4ECE"/>
    <w:rsid w:val="6A2A361C"/>
    <w:rsid w:val="6A303637"/>
    <w:rsid w:val="6A473BC7"/>
    <w:rsid w:val="6A520EC7"/>
    <w:rsid w:val="6A617E06"/>
    <w:rsid w:val="6A702012"/>
    <w:rsid w:val="6A760478"/>
    <w:rsid w:val="6A8458DE"/>
    <w:rsid w:val="6A8614A9"/>
    <w:rsid w:val="6A923BF5"/>
    <w:rsid w:val="6A9A5AB8"/>
    <w:rsid w:val="6AB67283"/>
    <w:rsid w:val="6AD85A8D"/>
    <w:rsid w:val="6ADC425A"/>
    <w:rsid w:val="6AE23394"/>
    <w:rsid w:val="6AF208ED"/>
    <w:rsid w:val="6AF87E20"/>
    <w:rsid w:val="6B021140"/>
    <w:rsid w:val="6B07083C"/>
    <w:rsid w:val="6B1145ED"/>
    <w:rsid w:val="6B136ED5"/>
    <w:rsid w:val="6B2516BA"/>
    <w:rsid w:val="6B294009"/>
    <w:rsid w:val="6B322639"/>
    <w:rsid w:val="6B677300"/>
    <w:rsid w:val="6BA52561"/>
    <w:rsid w:val="6BA93BE0"/>
    <w:rsid w:val="6BB12556"/>
    <w:rsid w:val="6BC05CD0"/>
    <w:rsid w:val="6BF14EDC"/>
    <w:rsid w:val="6C4173B4"/>
    <w:rsid w:val="6C4911C6"/>
    <w:rsid w:val="6C496C32"/>
    <w:rsid w:val="6C61459A"/>
    <w:rsid w:val="6C627CF4"/>
    <w:rsid w:val="6C636C38"/>
    <w:rsid w:val="6C6409DD"/>
    <w:rsid w:val="6C991968"/>
    <w:rsid w:val="6CC964EB"/>
    <w:rsid w:val="6CD82AD2"/>
    <w:rsid w:val="6CF51CA2"/>
    <w:rsid w:val="6CFE3ADF"/>
    <w:rsid w:val="6D003795"/>
    <w:rsid w:val="6D02028F"/>
    <w:rsid w:val="6D0A6F75"/>
    <w:rsid w:val="6D1F5ED9"/>
    <w:rsid w:val="6D3D254D"/>
    <w:rsid w:val="6D56197D"/>
    <w:rsid w:val="6D5B4E13"/>
    <w:rsid w:val="6D7E6A60"/>
    <w:rsid w:val="6D855E7E"/>
    <w:rsid w:val="6DB34098"/>
    <w:rsid w:val="6DB545B6"/>
    <w:rsid w:val="6DE02FB4"/>
    <w:rsid w:val="6DE93984"/>
    <w:rsid w:val="6DF505A2"/>
    <w:rsid w:val="6E006E77"/>
    <w:rsid w:val="6E261FE6"/>
    <w:rsid w:val="6E514CED"/>
    <w:rsid w:val="6E535698"/>
    <w:rsid w:val="6E68535D"/>
    <w:rsid w:val="6E7C509D"/>
    <w:rsid w:val="6E9F044C"/>
    <w:rsid w:val="6EB563D5"/>
    <w:rsid w:val="6ED76777"/>
    <w:rsid w:val="6ED92677"/>
    <w:rsid w:val="6EE00D01"/>
    <w:rsid w:val="6EF32C99"/>
    <w:rsid w:val="6EFA4214"/>
    <w:rsid w:val="6F225983"/>
    <w:rsid w:val="6F235519"/>
    <w:rsid w:val="6F2F3A1D"/>
    <w:rsid w:val="6F46362F"/>
    <w:rsid w:val="6F6B3A0F"/>
    <w:rsid w:val="6F6D5DAB"/>
    <w:rsid w:val="6F7E3097"/>
    <w:rsid w:val="6F8C57B4"/>
    <w:rsid w:val="6FAE587E"/>
    <w:rsid w:val="6FAF6B85"/>
    <w:rsid w:val="6FC10577"/>
    <w:rsid w:val="6FCF744E"/>
    <w:rsid w:val="6FD07425"/>
    <w:rsid w:val="6FF55DB3"/>
    <w:rsid w:val="6FFC5590"/>
    <w:rsid w:val="700E2D33"/>
    <w:rsid w:val="7015287E"/>
    <w:rsid w:val="701B3BFF"/>
    <w:rsid w:val="703012F9"/>
    <w:rsid w:val="70384EAD"/>
    <w:rsid w:val="70404539"/>
    <w:rsid w:val="70407164"/>
    <w:rsid w:val="705F019F"/>
    <w:rsid w:val="705F3D12"/>
    <w:rsid w:val="706D1DD0"/>
    <w:rsid w:val="70761FC0"/>
    <w:rsid w:val="70827C5B"/>
    <w:rsid w:val="70856B87"/>
    <w:rsid w:val="70A66401"/>
    <w:rsid w:val="70AD5162"/>
    <w:rsid w:val="70D527EE"/>
    <w:rsid w:val="70D93300"/>
    <w:rsid w:val="70E138DD"/>
    <w:rsid w:val="70E61363"/>
    <w:rsid w:val="713C36F4"/>
    <w:rsid w:val="71503577"/>
    <w:rsid w:val="715B5300"/>
    <w:rsid w:val="717E20CC"/>
    <w:rsid w:val="71844269"/>
    <w:rsid w:val="71D27F8A"/>
    <w:rsid w:val="71F5213D"/>
    <w:rsid w:val="71F5314A"/>
    <w:rsid w:val="7217238C"/>
    <w:rsid w:val="72200435"/>
    <w:rsid w:val="72386BAA"/>
    <w:rsid w:val="72403600"/>
    <w:rsid w:val="7249402A"/>
    <w:rsid w:val="72503CF2"/>
    <w:rsid w:val="72553024"/>
    <w:rsid w:val="726074F4"/>
    <w:rsid w:val="72962054"/>
    <w:rsid w:val="72FD3E74"/>
    <w:rsid w:val="73122968"/>
    <w:rsid w:val="731735E6"/>
    <w:rsid w:val="731F5D5E"/>
    <w:rsid w:val="73401E57"/>
    <w:rsid w:val="734D525A"/>
    <w:rsid w:val="735A4E46"/>
    <w:rsid w:val="73725365"/>
    <w:rsid w:val="73760658"/>
    <w:rsid w:val="73946A9B"/>
    <w:rsid w:val="73C51AD5"/>
    <w:rsid w:val="73C66DBA"/>
    <w:rsid w:val="73CA05F0"/>
    <w:rsid w:val="73D634A1"/>
    <w:rsid w:val="73D67B9D"/>
    <w:rsid w:val="73FF0779"/>
    <w:rsid w:val="7407365B"/>
    <w:rsid w:val="741E793C"/>
    <w:rsid w:val="744516F3"/>
    <w:rsid w:val="74481B4E"/>
    <w:rsid w:val="745E3944"/>
    <w:rsid w:val="74A71017"/>
    <w:rsid w:val="75427C9E"/>
    <w:rsid w:val="75451CE5"/>
    <w:rsid w:val="75475CD9"/>
    <w:rsid w:val="754A2A18"/>
    <w:rsid w:val="755C190B"/>
    <w:rsid w:val="755E016A"/>
    <w:rsid w:val="75634271"/>
    <w:rsid w:val="75774810"/>
    <w:rsid w:val="7589417D"/>
    <w:rsid w:val="759474F6"/>
    <w:rsid w:val="75994910"/>
    <w:rsid w:val="75BF1D13"/>
    <w:rsid w:val="761426A7"/>
    <w:rsid w:val="761C3675"/>
    <w:rsid w:val="7622250D"/>
    <w:rsid w:val="762378B9"/>
    <w:rsid w:val="762B1157"/>
    <w:rsid w:val="76321F98"/>
    <w:rsid w:val="7635099D"/>
    <w:rsid w:val="764626FF"/>
    <w:rsid w:val="764D4A74"/>
    <w:rsid w:val="76603812"/>
    <w:rsid w:val="7662726E"/>
    <w:rsid w:val="7678463F"/>
    <w:rsid w:val="768B1894"/>
    <w:rsid w:val="76B715B6"/>
    <w:rsid w:val="76CD1EF2"/>
    <w:rsid w:val="76E10B8E"/>
    <w:rsid w:val="76E9106D"/>
    <w:rsid w:val="76EE4A59"/>
    <w:rsid w:val="771A32EC"/>
    <w:rsid w:val="772A798F"/>
    <w:rsid w:val="772C33D8"/>
    <w:rsid w:val="773E1A3E"/>
    <w:rsid w:val="77762421"/>
    <w:rsid w:val="77816C51"/>
    <w:rsid w:val="77B56B1F"/>
    <w:rsid w:val="77DA7275"/>
    <w:rsid w:val="77E4483F"/>
    <w:rsid w:val="77F11182"/>
    <w:rsid w:val="77FF6938"/>
    <w:rsid w:val="780F09F4"/>
    <w:rsid w:val="782077DD"/>
    <w:rsid w:val="78313325"/>
    <w:rsid w:val="7835274E"/>
    <w:rsid w:val="784A5F89"/>
    <w:rsid w:val="784E5531"/>
    <w:rsid w:val="78607E83"/>
    <w:rsid w:val="786B60D7"/>
    <w:rsid w:val="788534BD"/>
    <w:rsid w:val="789B1AF3"/>
    <w:rsid w:val="78A90480"/>
    <w:rsid w:val="78B611AB"/>
    <w:rsid w:val="78B96426"/>
    <w:rsid w:val="78F47660"/>
    <w:rsid w:val="79046CA6"/>
    <w:rsid w:val="791D0E11"/>
    <w:rsid w:val="79230D40"/>
    <w:rsid w:val="795103AC"/>
    <w:rsid w:val="797F25A0"/>
    <w:rsid w:val="79891712"/>
    <w:rsid w:val="798A3F09"/>
    <w:rsid w:val="79912F32"/>
    <w:rsid w:val="799A099F"/>
    <w:rsid w:val="79D26FA2"/>
    <w:rsid w:val="79E166FC"/>
    <w:rsid w:val="7A01177C"/>
    <w:rsid w:val="7A0A5C53"/>
    <w:rsid w:val="7A1042DD"/>
    <w:rsid w:val="7A1B25D2"/>
    <w:rsid w:val="7A350C92"/>
    <w:rsid w:val="7A354616"/>
    <w:rsid w:val="7A364017"/>
    <w:rsid w:val="7A4B256A"/>
    <w:rsid w:val="7A554FEF"/>
    <w:rsid w:val="7A8265E1"/>
    <w:rsid w:val="7A991B06"/>
    <w:rsid w:val="7AD5112F"/>
    <w:rsid w:val="7AE71AF0"/>
    <w:rsid w:val="7AEC0876"/>
    <w:rsid w:val="7AFF156B"/>
    <w:rsid w:val="7B060A2D"/>
    <w:rsid w:val="7B165584"/>
    <w:rsid w:val="7B2E7324"/>
    <w:rsid w:val="7B335E6A"/>
    <w:rsid w:val="7B554F5B"/>
    <w:rsid w:val="7B5B0B1A"/>
    <w:rsid w:val="7B686D42"/>
    <w:rsid w:val="7B841746"/>
    <w:rsid w:val="7B864A5B"/>
    <w:rsid w:val="7B967CCA"/>
    <w:rsid w:val="7BB25107"/>
    <w:rsid w:val="7BB76594"/>
    <w:rsid w:val="7BCD5CE6"/>
    <w:rsid w:val="7BD43AA5"/>
    <w:rsid w:val="7BD679BF"/>
    <w:rsid w:val="7BDB712A"/>
    <w:rsid w:val="7C025A66"/>
    <w:rsid w:val="7C1903CF"/>
    <w:rsid w:val="7C2A25DC"/>
    <w:rsid w:val="7C492337"/>
    <w:rsid w:val="7C4C6D5F"/>
    <w:rsid w:val="7C6C5AC7"/>
    <w:rsid w:val="7C7C5254"/>
    <w:rsid w:val="7C7D4E77"/>
    <w:rsid w:val="7CC6544B"/>
    <w:rsid w:val="7CDB5685"/>
    <w:rsid w:val="7CEE2AEC"/>
    <w:rsid w:val="7D006E99"/>
    <w:rsid w:val="7D0239FF"/>
    <w:rsid w:val="7D267421"/>
    <w:rsid w:val="7D5E40CD"/>
    <w:rsid w:val="7D5F1584"/>
    <w:rsid w:val="7D8A7F9A"/>
    <w:rsid w:val="7D975A1A"/>
    <w:rsid w:val="7DAC0ABA"/>
    <w:rsid w:val="7DB53F98"/>
    <w:rsid w:val="7DCD56F2"/>
    <w:rsid w:val="7DD14E1C"/>
    <w:rsid w:val="7DDD71DA"/>
    <w:rsid w:val="7DED34F1"/>
    <w:rsid w:val="7DEE32AD"/>
    <w:rsid w:val="7DEE7639"/>
    <w:rsid w:val="7DF233ED"/>
    <w:rsid w:val="7DF37669"/>
    <w:rsid w:val="7DF84465"/>
    <w:rsid w:val="7E313C18"/>
    <w:rsid w:val="7E9F37B9"/>
    <w:rsid w:val="7EA6197A"/>
    <w:rsid w:val="7EA9411B"/>
    <w:rsid w:val="7EAD3051"/>
    <w:rsid w:val="7EB06469"/>
    <w:rsid w:val="7EB73ECF"/>
    <w:rsid w:val="7EC86FCE"/>
    <w:rsid w:val="7ECC15AA"/>
    <w:rsid w:val="7ED10D4F"/>
    <w:rsid w:val="7EF50554"/>
    <w:rsid w:val="7EFE38AC"/>
    <w:rsid w:val="7F001CE7"/>
    <w:rsid w:val="7F260EBE"/>
    <w:rsid w:val="7F4B759C"/>
    <w:rsid w:val="7F5345F8"/>
    <w:rsid w:val="7F6455C7"/>
    <w:rsid w:val="7F6F0306"/>
    <w:rsid w:val="7F79352E"/>
    <w:rsid w:val="7F840255"/>
    <w:rsid w:val="7FA9174D"/>
    <w:rsid w:val="7FAC50B6"/>
    <w:rsid w:val="7FBF360E"/>
    <w:rsid w:val="7FDA4BAC"/>
    <w:rsid w:val="7FE467BE"/>
    <w:rsid w:val="7FE47E50"/>
    <w:rsid w:val="7FE5185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3">
    <w:name w:val="Normal Indent"/>
    <w:basedOn w:val="1"/>
    <w:next w:val="1"/>
    <w:qFormat/>
    <w:uiPriority w:val="0"/>
    <w:pPr>
      <w:ind w:firstLine="420" w:firstLineChars="200"/>
    </w:pPr>
    <w:rPr>
      <w:szCs w:val="20"/>
    </w:rPr>
  </w:style>
  <w:style w:type="paragraph" w:styleId="4">
    <w:name w:val="annotation text"/>
    <w:basedOn w:val="1"/>
    <w:link w:val="27"/>
    <w:semiHidden/>
    <w:qFormat/>
    <w:uiPriority w:val="0"/>
    <w:pPr>
      <w:jc w:val="left"/>
    </w:pPr>
    <w:rPr>
      <w:kern w:val="0"/>
      <w:sz w:val="24"/>
      <w:szCs w:val="20"/>
    </w:rPr>
  </w:style>
  <w:style w:type="paragraph" w:styleId="5">
    <w:name w:val="Body Text"/>
    <w:basedOn w:val="1"/>
    <w:next w:val="6"/>
    <w:link w:val="29"/>
    <w:qFormat/>
    <w:uiPriority w:val="0"/>
    <w:pPr>
      <w:widowControl/>
      <w:snapToGrid w:val="0"/>
      <w:spacing w:before="60" w:after="160" w:line="259" w:lineRule="auto"/>
      <w:ind w:right="113"/>
    </w:pPr>
    <w:rPr>
      <w:kern w:val="0"/>
      <w:sz w:val="18"/>
      <w:szCs w:val="20"/>
    </w:rPr>
  </w:style>
  <w:style w:type="paragraph" w:styleId="6">
    <w:name w:val="List Bullet 5"/>
    <w:basedOn w:val="1"/>
    <w:qFormat/>
    <w:uiPriority w:val="0"/>
    <w:pPr>
      <w:numPr>
        <w:ilvl w:val="0"/>
        <w:numId w:val="1"/>
      </w:numPr>
    </w:pPr>
  </w:style>
  <w:style w:type="paragraph" w:styleId="7">
    <w:name w:val="Body Text Indent"/>
    <w:basedOn w:val="1"/>
    <w:next w:val="3"/>
    <w:link w:val="28"/>
    <w:qFormat/>
    <w:uiPriority w:val="0"/>
    <w:pPr>
      <w:spacing w:after="120"/>
      <w:ind w:left="420" w:leftChars="200"/>
    </w:pPr>
    <w:rPr>
      <w:kern w:val="0"/>
      <w:sz w:val="24"/>
      <w:szCs w:val="20"/>
    </w:rPr>
  </w:style>
  <w:style w:type="paragraph" w:styleId="8">
    <w:name w:val="Block Text"/>
    <w:basedOn w:val="1"/>
    <w:qFormat/>
    <w:uiPriority w:val="0"/>
    <w:pPr>
      <w:widowControl/>
      <w:spacing w:after="120"/>
      <w:ind w:left="1440" w:leftChars="700" w:right="1440" w:rightChars="700"/>
      <w:jc w:val="left"/>
    </w:pPr>
    <w:rPr>
      <w:rFonts w:ascii="宋体" w:hAnsi="宋体" w:cs="宋体"/>
      <w:kern w:val="0"/>
      <w:sz w:val="24"/>
    </w:rPr>
  </w:style>
  <w:style w:type="paragraph" w:styleId="9">
    <w:name w:val="Plain Text"/>
    <w:basedOn w:val="1"/>
    <w:qFormat/>
    <w:uiPriority w:val="0"/>
    <w:rPr>
      <w:rFonts w:ascii="宋体" w:hAnsi="Courier New" w:cs="Courier New"/>
      <w:sz w:val="21"/>
      <w:szCs w:val="21"/>
    </w:rPr>
  </w:style>
  <w:style w:type="paragraph" w:styleId="10">
    <w:name w:val="Date"/>
    <w:basedOn w:val="1"/>
    <w:next w:val="1"/>
    <w:link w:val="30"/>
    <w:qFormat/>
    <w:uiPriority w:val="0"/>
    <w:pPr>
      <w:ind w:left="100" w:leftChars="2500"/>
    </w:pPr>
    <w:rPr>
      <w:kern w:val="0"/>
      <w:sz w:val="24"/>
      <w:szCs w:val="20"/>
    </w:rPr>
  </w:style>
  <w:style w:type="paragraph" w:styleId="11">
    <w:name w:val="Balloon Text"/>
    <w:basedOn w:val="1"/>
    <w:link w:val="31"/>
    <w:semiHidden/>
    <w:qFormat/>
    <w:uiPriority w:val="0"/>
    <w:rPr>
      <w:kern w:val="0"/>
      <w:sz w:val="18"/>
      <w:szCs w:val="20"/>
    </w:rPr>
  </w:style>
  <w:style w:type="paragraph" w:styleId="12">
    <w:name w:val="footer"/>
    <w:basedOn w:val="1"/>
    <w:link w:val="32"/>
    <w:qFormat/>
    <w:uiPriority w:val="99"/>
    <w:pPr>
      <w:tabs>
        <w:tab w:val="center" w:pos="4153"/>
        <w:tab w:val="right" w:pos="8306"/>
      </w:tabs>
      <w:snapToGrid w:val="0"/>
      <w:jc w:val="left"/>
    </w:pPr>
    <w:rPr>
      <w:kern w:val="0"/>
      <w:sz w:val="18"/>
      <w:szCs w:val="20"/>
    </w:rPr>
  </w:style>
  <w:style w:type="paragraph" w:styleId="13">
    <w:name w:val="header"/>
    <w:basedOn w:val="1"/>
    <w:link w:val="33"/>
    <w:qFormat/>
    <w:uiPriority w:val="0"/>
    <w:pPr>
      <w:pBdr>
        <w:bottom w:val="single" w:color="auto" w:sz="6" w:space="1"/>
      </w:pBdr>
      <w:tabs>
        <w:tab w:val="center" w:pos="4153"/>
        <w:tab w:val="right" w:pos="8306"/>
      </w:tabs>
      <w:snapToGrid w:val="0"/>
      <w:jc w:val="center"/>
    </w:pPr>
    <w:rPr>
      <w:kern w:val="0"/>
      <w:sz w:val="18"/>
      <w:szCs w:val="20"/>
    </w:rPr>
  </w:style>
  <w:style w:type="paragraph" w:styleId="14">
    <w:name w:val="Normal (Web)"/>
    <w:basedOn w:val="1"/>
    <w:link w:val="34"/>
    <w:qFormat/>
    <w:uiPriority w:val="0"/>
    <w:pPr>
      <w:widowControl/>
      <w:spacing w:before="100" w:beforeAutospacing="1" w:after="100" w:afterAutospacing="1"/>
      <w:jc w:val="left"/>
    </w:pPr>
    <w:rPr>
      <w:rFonts w:ascii="宋体" w:hAnsi="宋体"/>
      <w:kern w:val="0"/>
      <w:sz w:val="24"/>
      <w:szCs w:val="20"/>
    </w:rPr>
  </w:style>
  <w:style w:type="paragraph" w:styleId="15">
    <w:name w:val="annotation subject"/>
    <w:basedOn w:val="4"/>
    <w:next w:val="4"/>
    <w:link w:val="35"/>
    <w:semiHidden/>
    <w:qFormat/>
    <w:uiPriority w:val="0"/>
    <w:rPr>
      <w:b/>
      <w:sz w:val="24"/>
      <w:szCs w:val="20"/>
    </w:rPr>
  </w:style>
  <w:style w:type="paragraph" w:styleId="16">
    <w:name w:val="Body Text First Indent 2"/>
    <w:basedOn w:val="7"/>
    <w:next w:val="17"/>
    <w:qFormat/>
    <w:uiPriority w:val="0"/>
    <w:pPr>
      <w:ind w:firstLine="420" w:firstLineChars="200"/>
    </w:pPr>
  </w:style>
  <w:style w:type="paragraph" w:customStyle="1" w:styleId="17">
    <w:name w:val="Default"/>
    <w:basedOn w:val="18"/>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8">
    <w:name w:val="标题 段落4级"/>
    <w:basedOn w:val="19"/>
    <w:next w:val="4"/>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19">
    <w:name w:val="正文 文本"/>
    <w:qFormat/>
    <w:uiPriority w:val="0"/>
    <w:pPr>
      <w:widowControl w:val="0"/>
      <w:snapToGrid w:val="0"/>
      <w:spacing w:line="500" w:lineRule="exact"/>
      <w:ind w:firstLine="200" w:firstLineChars="200"/>
      <w:jc w:val="both"/>
    </w:pPr>
    <w:rPr>
      <w:rFonts w:ascii="Times New Roman" w:hAnsi="Times New Roman" w:eastAsia="仿宋_GB2312" w:cs="Times New Roman"/>
      <w:kern w:val="2"/>
      <w:sz w:val="28"/>
      <w:szCs w:val="24"/>
      <w:lang w:val="en-US" w:eastAsia="zh-CN" w:bidi="ar-SA"/>
    </w:rPr>
  </w:style>
  <w:style w:type="table" w:styleId="21">
    <w:name w:val="Table Grid"/>
    <w:basedOn w:val="20"/>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basedOn w:val="22"/>
    <w:qFormat/>
    <w:uiPriority w:val="0"/>
  </w:style>
  <w:style w:type="character" w:styleId="24">
    <w:name w:val="FollowedHyperlink"/>
    <w:basedOn w:val="22"/>
    <w:qFormat/>
    <w:uiPriority w:val="0"/>
    <w:rPr>
      <w:color w:val="800080"/>
      <w:u w:val="single"/>
    </w:rPr>
  </w:style>
  <w:style w:type="character" w:styleId="25">
    <w:name w:val="Emphasis"/>
    <w:basedOn w:val="22"/>
    <w:qFormat/>
    <w:uiPriority w:val="0"/>
    <w:rPr>
      <w:i/>
    </w:rPr>
  </w:style>
  <w:style w:type="character" w:styleId="26">
    <w:name w:val="annotation reference"/>
    <w:semiHidden/>
    <w:qFormat/>
    <w:uiPriority w:val="0"/>
    <w:rPr>
      <w:sz w:val="21"/>
    </w:rPr>
  </w:style>
  <w:style w:type="character" w:customStyle="1" w:styleId="27">
    <w:name w:val="批注文字 Char"/>
    <w:link w:val="4"/>
    <w:qFormat/>
    <w:uiPriority w:val="0"/>
    <w:rPr>
      <w:rFonts w:ascii="Times New Roman" w:hAnsi="Times New Roman" w:eastAsia="宋体"/>
      <w:sz w:val="24"/>
    </w:rPr>
  </w:style>
  <w:style w:type="character" w:customStyle="1" w:styleId="28">
    <w:name w:val="正文文本缩进 Char"/>
    <w:link w:val="7"/>
    <w:semiHidden/>
    <w:qFormat/>
    <w:uiPriority w:val="0"/>
    <w:rPr>
      <w:rFonts w:ascii="Times New Roman" w:hAnsi="Times New Roman" w:eastAsia="宋体"/>
      <w:sz w:val="24"/>
    </w:rPr>
  </w:style>
  <w:style w:type="character" w:customStyle="1" w:styleId="29">
    <w:name w:val="正文文本 Char"/>
    <w:link w:val="5"/>
    <w:qFormat/>
    <w:uiPriority w:val="0"/>
    <w:rPr>
      <w:sz w:val="18"/>
    </w:rPr>
  </w:style>
  <w:style w:type="character" w:customStyle="1" w:styleId="30">
    <w:name w:val="日期 Char"/>
    <w:link w:val="10"/>
    <w:qFormat/>
    <w:uiPriority w:val="0"/>
    <w:rPr>
      <w:rFonts w:ascii="Times New Roman" w:hAnsi="Times New Roman" w:eastAsia="宋体"/>
      <w:sz w:val="24"/>
    </w:rPr>
  </w:style>
  <w:style w:type="character" w:customStyle="1" w:styleId="31">
    <w:name w:val="批注框文本 Char"/>
    <w:link w:val="11"/>
    <w:semiHidden/>
    <w:qFormat/>
    <w:uiPriority w:val="0"/>
    <w:rPr>
      <w:rFonts w:ascii="Times New Roman" w:hAnsi="Times New Roman" w:eastAsia="宋体"/>
      <w:sz w:val="18"/>
    </w:rPr>
  </w:style>
  <w:style w:type="character" w:customStyle="1" w:styleId="32">
    <w:name w:val="页脚 Char"/>
    <w:link w:val="12"/>
    <w:qFormat/>
    <w:uiPriority w:val="99"/>
    <w:rPr>
      <w:sz w:val="18"/>
    </w:rPr>
  </w:style>
  <w:style w:type="character" w:customStyle="1" w:styleId="33">
    <w:name w:val="页眉 Char"/>
    <w:link w:val="13"/>
    <w:qFormat/>
    <w:uiPriority w:val="0"/>
    <w:rPr>
      <w:sz w:val="18"/>
    </w:rPr>
  </w:style>
  <w:style w:type="character" w:customStyle="1" w:styleId="34">
    <w:name w:val="普通(网站) Char"/>
    <w:link w:val="14"/>
    <w:qFormat/>
    <w:uiPriority w:val="0"/>
    <w:rPr>
      <w:rFonts w:ascii="宋体" w:hAnsi="宋体" w:eastAsia="宋体"/>
      <w:sz w:val="24"/>
    </w:rPr>
  </w:style>
  <w:style w:type="character" w:customStyle="1" w:styleId="35">
    <w:name w:val="批注主题 Char"/>
    <w:link w:val="15"/>
    <w:semiHidden/>
    <w:qFormat/>
    <w:uiPriority w:val="0"/>
    <w:rPr>
      <w:rFonts w:ascii="Times New Roman" w:hAnsi="Times New Roman" w:eastAsia="宋体"/>
      <w:b/>
      <w:kern w:val="2"/>
      <w:sz w:val="24"/>
    </w:rPr>
  </w:style>
  <w:style w:type="paragraph" w:customStyle="1" w:styleId="36">
    <w:name w:val="表格"/>
    <w:basedOn w:val="1"/>
    <w:link w:val="37"/>
    <w:qFormat/>
    <w:uiPriority w:val="0"/>
    <w:pPr>
      <w:adjustRightInd w:val="0"/>
      <w:snapToGrid w:val="0"/>
      <w:spacing w:beforeLines="10" w:afterLines="10" w:line="259" w:lineRule="auto"/>
      <w:jc w:val="center"/>
    </w:pPr>
    <w:rPr>
      <w:rFonts w:ascii="宋体"/>
      <w:kern w:val="0"/>
      <w:szCs w:val="20"/>
    </w:rPr>
  </w:style>
  <w:style w:type="character" w:customStyle="1" w:styleId="37">
    <w:name w:val="表格 Char"/>
    <w:link w:val="36"/>
    <w:qFormat/>
    <w:uiPriority w:val="0"/>
    <w:rPr>
      <w:rFonts w:ascii="宋体"/>
      <w:sz w:val="21"/>
    </w:rPr>
  </w:style>
  <w:style w:type="paragraph" w:customStyle="1" w:styleId="38">
    <w:name w:val="纯文本1"/>
    <w:basedOn w:val="1"/>
    <w:qFormat/>
    <w:uiPriority w:val="0"/>
    <w:pPr>
      <w:adjustRightInd w:val="0"/>
    </w:pPr>
    <w:rPr>
      <w:rFonts w:ascii="宋体" w:hAnsi="Courier New"/>
      <w:szCs w:val="20"/>
    </w:rPr>
  </w:style>
  <w:style w:type="character" w:customStyle="1" w:styleId="39">
    <w:name w:val="页脚 字符"/>
    <w:basedOn w:val="22"/>
    <w:qFormat/>
    <w:uiPriority w:val="99"/>
  </w:style>
  <w:style w:type="character" w:customStyle="1" w:styleId="40">
    <w:name w:val="正文文本 字符1"/>
    <w:semiHidden/>
    <w:qFormat/>
    <w:uiPriority w:val="0"/>
    <w:rPr>
      <w:rFonts w:ascii="Times New Roman" w:hAnsi="Times New Roman" w:eastAsia="宋体"/>
      <w:sz w:val="24"/>
    </w:rPr>
  </w:style>
  <w:style w:type="character" w:customStyle="1" w:styleId="41">
    <w:name w:val="日期 字符"/>
    <w:semiHidden/>
    <w:qFormat/>
    <w:uiPriority w:val="0"/>
    <w:rPr>
      <w:rFonts w:ascii="Times New Roman" w:hAnsi="Times New Roman" w:eastAsia="宋体"/>
      <w:sz w:val="24"/>
    </w:rPr>
  </w:style>
  <w:style w:type="character" w:customStyle="1" w:styleId="42">
    <w:name w:val="批注文字 字符1"/>
    <w:semiHidden/>
    <w:qFormat/>
    <w:uiPriority w:val="0"/>
    <w:rPr>
      <w:rFonts w:ascii="Times New Roman" w:hAnsi="Times New Roman" w:eastAsia="宋体"/>
      <w:sz w:val="24"/>
    </w:rPr>
  </w:style>
  <w:style w:type="paragraph" w:customStyle="1" w:styleId="43">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4">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45">
    <w:name w:val="表格文字2"/>
    <w:basedOn w:val="1"/>
    <w:qFormat/>
    <w:uiPriority w:val="0"/>
    <w:pPr>
      <w:tabs>
        <w:tab w:val="left" w:pos="277"/>
        <w:tab w:val="left" w:pos="600"/>
        <w:tab w:val="left" w:pos="780"/>
        <w:tab w:val="left" w:pos="2517"/>
      </w:tabs>
      <w:adjustRightInd w:val="0"/>
      <w:snapToGrid w:val="0"/>
      <w:jc w:val="center"/>
      <w:textAlignment w:val="baseline"/>
    </w:pPr>
    <w:rPr>
      <w:kern w:val="0"/>
      <w:szCs w:val="21"/>
    </w:rPr>
  </w:style>
  <w:style w:type="paragraph" w:customStyle="1" w:styleId="46">
    <w:name w:val="报告表正文"/>
    <w:basedOn w:val="47"/>
    <w:qFormat/>
    <w:uiPriority w:val="0"/>
    <w:pPr>
      <w:adjustRightInd w:val="0"/>
      <w:spacing w:line="312" w:lineRule="auto"/>
      <w:ind w:left="113" w:right="113" w:firstLine="482"/>
      <w:jc w:val="left"/>
      <w:textAlignment w:val="baseline"/>
    </w:pPr>
    <w:rPr>
      <w:kern w:val="0"/>
      <w:sz w:val="24"/>
      <w:szCs w:val="20"/>
    </w:rPr>
  </w:style>
  <w:style w:type="paragraph" w:customStyle="1" w:styleId="47">
    <w:name w:val="列表1"/>
    <w:basedOn w:val="1"/>
    <w:qFormat/>
    <w:uiPriority w:val="0"/>
    <w:pPr>
      <w:spacing w:line="400" w:lineRule="exact"/>
      <w:jc w:val="center"/>
    </w:pPr>
    <w:rPr>
      <w:rFonts w:ascii="宋体" w:hAnsi="宋体" w:eastAsia="仿宋_GB2312"/>
      <w:sz w:val="24"/>
      <w:szCs w:val="20"/>
    </w:rPr>
  </w:style>
  <w:style w:type="paragraph" w:customStyle="1" w:styleId="48">
    <w:name w:val="填表内容"/>
    <w:basedOn w:val="1"/>
    <w:qFormat/>
    <w:uiPriority w:val="0"/>
    <w:pPr>
      <w:adjustRightInd w:val="0"/>
      <w:spacing w:line="480" w:lineRule="exact"/>
      <w:ind w:firstLine="560" w:firstLineChars="200"/>
      <w:jc w:val="left"/>
      <w:textAlignment w:val="baseline"/>
    </w:pPr>
    <w:rPr>
      <w:rFonts w:ascii="楷体_GB2312" w:eastAsia="楷体_GB2312"/>
      <w:sz w:val="28"/>
      <w:szCs w:val="20"/>
    </w:rPr>
  </w:style>
  <w:style w:type="paragraph" w:customStyle="1" w:styleId="49">
    <w:name w:val="表内"/>
    <w:basedOn w:val="1"/>
    <w:qFormat/>
    <w:uiPriority w:val="0"/>
    <w:pPr>
      <w:adjustRightInd w:val="0"/>
      <w:snapToGrid w:val="0"/>
      <w:spacing w:line="360" w:lineRule="auto"/>
      <w:ind w:firstLine="482"/>
    </w:pPr>
    <w:rPr>
      <w:sz w:val="24"/>
      <w:szCs w:val="21"/>
    </w:rPr>
  </w:style>
  <w:style w:type="paragraph" w:customStyle="1" w:styleId="50">
    <w:name w:val="表图"/>
    <w:basedOn w:val="1"/>
    <w:next w:val="1"/>
    <w:qFormat/>
    <w:uiPriority w:val="0"/>
    <w:pPr>
      <w:adjustRightInd w:val="0"/>
      <w:snapToGrid w:val="0"/>
      <w:spacing w:after="200"/>
      <w:jc w:val="center"/>
    </w:pPr>
    <w:rPr>
      <w:color w:val="000000"/>
      <w:szCs w:val="22"/>
    </w:rPr>
  </w:style>
  <w:style w:type="paragraph" w:customStyle="1" w:styleId="51">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2">
    <w:name w:val="Table Text"/>
    <w:basedOn w:val="1"/>
    <w:semiHidden/>
    <w:qFormat/>
    <w:uiPriority w:val="0"/>
    <w:rPr>
      <w:rFonts w:ascii="宋体" w:hAnsi="宋体" w:eastAsia="宋体" w:cs="宋体"/>
      <w:sz w:val="20"/>
      <w:szCs w:val="20"/>
      <w:lang w:val="en-US" w:eastAsia="en-US" w:bidi="ar-SA"/>
    </w:rPr>
  </w:style>
  <w:style w:type="character" w:customStyle="1" w:styleId="53">
    <w:name w:val="font31"/>
    <w:basedOn w:val="22"/>
    <w:qFormat/>
    <w:uiPriority w:val="0"/>
    <w:rPr>
      <w:rFonts w:ascii="宋体" w:hAnsi="宋体" w:eastAsia="宋体" w:cs="宋体"/>
      <w:color w:val="000000"/>
      <w:sz w:val="22"/>
      <w:szCs w:val="22"/>
      <w:u w:val="none"/>
    </w:rPr>
  </w:style>
  <w:style w:type="paragraph" w:customStyle="1" w:styleId="54">
    <w:name w:val="A表头"/>
    <w:basedOn w:val="55"/>
    <w:qFormat/>
    <w:uiPriority w:val="0"/>
    <w:pPr>
      <w:ind w:firstLine="0" w:firstLineChars="0"/>
      <w:jc w:val="center"/>
      <w:outlineLvl w:val="2"/>
    </w:pPr>
    <w:rPr>
      <w:rFonts w:hAnsi="宋体"/>
      <w:b/>
      <w:bCs/>
      <w:spacing w:val="-1"/>
      <w:lang w:val="zh-CN" w:bidi="zh-CN"/>
    </w:rPr>
  </w:style>
  <w:style w:type="paragraph" w:customStyle="1" w:styleId="55">
    <w:name w:val="A正文"/>
    <w:basedOn w:val="1"/>
    <w:qFormat/>
    <w:uiPriority w:val="0"/>
    <w:pPr>
      <w:adjustRightInd w:val="0"/>
      <w:snapToGrid w:val="0"/>
      <w:spacing w:line="288" w:lineRule="auto"/>
      <w:ind w:firstLine="420" w:firstLineChars="200"/>
    </w:pPr>
    <w:rPr>
      <w:rFonts w:eastAsia="仿宋"/>
      <w:snapToGrid w:val="0"/>
      <w:kern w:val="0"/>
      <w:szCs w:val="21"/>
    </w:rPr>
  </w:style>
  <w:style w:type="paragraph" w:customStyle="1" w:styleId="56">
    <w:name w:val="表头"/>
    <w:basedOn w:val="1"/>
    <w:autoRedefine/>
    <w:qFormat/>
    <w:uiPriority w:val="0"/>
    <w:pPr>
      <w:widowControl/>
      <w:spacing w:beforeAutospacing="0" w:afterAutospacing="0" w:line="240" w:lineRule="auto"/>
      <w:ind w:firstLine="0" w:firstLineChars="0"/>
      <w:jc w:val="center"/>
      <w:outlineLvl w:val="0"/>
    </w:pPr>
    <w:rPr>
      <w:rFonts w:hint="default" w:ascii="Times New Roman" w:hAnsi="Times New Roman" w:eastAsia="宋体"/>
      <w:b/>
      <w:bCs/>
      <w:snapToGrid w:val="0"/>
      <w:color w:val="auto"/>
      <w:kern w:val="0"/>
      <w:sz w:val="21"/>
      <w:szCs w:val="21"/>
    </w:rPr>
  </w:style>
  <w:style w:type="paragraph" w:customStyle="1" w:styleId="57">
    <w:name w:val="表格或图"/>
    <w:basedOn w:val="1"/>
    <w:qFormat/>
    <w:uiPriority w:val="0"/>
    <w:pPr>
      <w:spacing w:line="240" w:lineRule="auto"/>
      <w:jc w:val="center"/>
    </w:pPr>
    <w:rPr>
      <w:rFonts w:cs="Times New Roman"/>
      <w:bCs/>
      <w:sz w:val="21"/>
      <w:szCs w:val="32"/>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2.png"/><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12.wmf"/><Relationship Id="rId27" Type="http://schemas.openxmlformats.org/officeDocument/2006/relationships/oleObject" Target="embeddings/oleObject11.bin"/><Relationship Id="rId26" Type="http://schemas.openxmlformats.org/officeDocument/2006/relationships/image" Target="media/image11.wmf"/><Relationship Id="rId25" Type="http://schemas.openxmlformats.org/officeDocument/2006/relationships/oleObject" Target="embeddings/oleObject10.bin"/><Relationship Id="rId24" Type="http://schemas.openxmlformats.org/officeDocument/2006/relationships/image" Target="media/image10.wmf"/><Relationship Id="rId23" Type="http://schemas.openxmlformats.org/officeDocument/2006/relationships/oleObject" Target="embeddings/oleObject9.bin"/><Relationship Id="rId22" Type="http://schemas.openxmlformats.org/officeDocument/2006/relationships/image" Target="media/image9.wmf"/><Relationship Id="rId21" Type="http://schemas.openxmlformats.org/officeDocument/2006/relationships/oleObject" Target="embeddings/oleObject8.bin"/><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7.wmf"/><Relationship Id="rId17" Type="http://schemas.openxmlformats.org/officeDocument/2006/relationships/oleObject" Target="embeddings/oleObject6.bin"/><Relationship Id="rId16" Type="http://schemas.openxmlformats.org/officeDocument/2006/relationships/image" Target="media/image6.wmf"/><Relationship Id="rId15" Type="http://schemas.openxmlformats.org/officeDocument/2006/relationships/oleObject" Target="embeddings/oleObject5.bin"/><Relationship Id="rId14" Type="http://schemas.openxmlformats.org/officeDocument/2006/relationships/image" Target="media/image5.wmf"/><Relationship Id="rId13" Type="http://schemas.openxmlformats.org/officeDocument/2006/relationships/oleObject" Target="embeddings/oleObject4.bin"/><Relationship Id="rId12" Type="http://schemas.openxmlformats.org/officeDocument/2006/relationships/image" Target="media/image4.emf"/><Relationship Id="rId11" Type="http://schemas.openxmlformats.org/officeDocument/2006/relationships/oleObject" Target="embeddings/oleObject3.bin"/><Relationship Id="rId10" Type="http://schemas.openxmlformats.org/officeDocument/2006/relationships/image" Target="media/image3.w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Info spid="_x0000_s2594"/>
    <customShpInfo spid="_x0000_s259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105</Pages>
  <Words>40949</Words>
  <Characters>47800</Characters>
  <Lines>324</Lines>
  <Paragraphs>91</Paragraphs>
  <TotalTime>14</TotalTime>
  <ScaleCrop>false</ScaleCrop>
  <LinksUpToDate>false</LinksUpToDate>
  <CharactersWithSpaces>48200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嗯</dc:creator>
  <cp:lastModifiedBy>a moon</cp:lastModifiedBy>
  <cp:lastPrinted>2023-11-02T03:39:00Z</cp:lastPrinted>
  <dcterms:modified xsi:type="dcterms:W3CDTF">2025-08-27T03:41:47Z</dcterms:modified>
  <dc:title>附件2</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9901C9E80C6D4929BFB50975AEAE8CCF_13</vt:lpwstr>
  </property>
  <property fmtid="{D5CDD505-2E9C-101B-9397-08002B2CF9AE}" pid="4" name="KSOTemplateDocerSaveRecord">
    <vt:lpwstr>eyJoZGlkIjoiOWIwOTc1N2ZjYTgzNTU1ZjhhMzEzZTEwYjExMzIyNmIiLCJ1c2VySWQiOiIyNjEyMzM3ODAifQ==</vt:lpwstr>
  </property>
</Properties>
</file>